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曲靖供电局110kV变电站电力监控系统网络安全态势感知建设项目</w:t>
      </w:r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扩容计划</w:t>
      </w:r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（HXDL-ITSS-0613）</w:t>
      </w:r>
    </w:p>
    <w:p>
      <w:pPr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09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984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095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984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095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984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095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</w:t>
            </w:r>
            <w:bookmarkStart w:id="0" w:name="_GoBack"/>
            <w:bookmarkEnd w:id="0"/>
            <w:r>
              <w:rPr>
                <w:rFonts w:hint="eastAsia"/>
                <w:u w:val="single"/>
                <w:vertAlign w:val="baseline"/>
                <w:lang w:val="en-US" w:eastAsia="zh-CN"/>
              </w:rPr>
              <w:t>.07</w:t>
            </w:r>
          </w:p>
        </w:tc>
      </w:tr>
    </w:tbl>
    <w:p>
      <w:pPr>
        <w:pStyle w:val="1"/>
        <w:bidi w:val="0"/>
        <w:rPr>
          <w:rFonts w:hint="eastAsia"/>
        </w:rPr>
      </w:pPr>
      <w:r>
        <w:rPr>
          <w:rFonts w:hint="default"/>
          <w:lang w:val="en-US" w:eastAsia="zh-CN"/>
        </w:rPr>
        <w:br w:type="page"/>
      </w:r>
      <w:r>
        <w:rPr>
          <w:rFonts w:hint="eastAsia"/>
        </w:rPr>
        <w:t>项目概述与目标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本计划基于已获双方认可的《服务器扩容技术方案》，旨在详细规划从启动到最终验收的全过程，确保服务器扩容项目能够按期、保质、平滑地完成，最终达成提升系统性能、容量与可靠性的核心目标。</w:t>
      </w:r>
    </w:p>
    <w:p>
      <w:pPr>
        <w:rPr>
          <w:rFonts w:hint="eastAsia"/>
        </w:rPr>
      </w:pPr>
    </w:p>
    <w:p>
      <w:pPr>
        <w:pStyle w:val="1"/>
        <w:bidi w:val="0"/>
        <w:rPr>
          <w:rFonts w:hint="eastAsia"/>
        </w:rPr>
      </w:pPr>
      <w:r>
        <w:rPr>
          <w:rFonts w:hint="eastAsia"/>
        </w:rPr>
        <w:t>总体里程碑计划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里程碑节点</w:t>
            </w:r>
          </w:p>
        </w:tc>
        <w:tc>
          <w:tcPr>
            <w:tcW w:w="2130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交付物/达成标准</w:t>
            </w:r>
          </w:p>
        </w:tc>
        <w:tc>
          <w:tcPr>
            <w:tcW w:w="2131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2131" w:type="dxa"/>
          </w:tcPr>
          <w:p>
            <w:pPr>
              <w:widowControl w:val="0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责任方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项目启动</w:t>
            </w:r>
          </w:p>
        </w:tc>
        <w:tc>
          <w:tcPr>
            <w:tcW w:w="2130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扩容详细设计说明书</w:t>
            </w:r>
          </w:p>
        </w:tc>
        <w:tc>
          <w:tcPr>
            <w:tcW w:w="2131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2025年8月14日</w:t>
            </w:r>
          </w:p>
        </w:tc>
        <w:tc>
          <w:tcPr>
            <w:tcW w:w="2131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乙方提交、甲方确认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硬件到场</w:t>
            </w:r>
          </w:p>
        </w:tc>
        <w:tc>
          <w:tcPr>
            <w:tcW w:w="2130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新增服务器到货验收</w:t>
            </w:r>
          </w:p>
        </w:tc>
        <w:tc>
          <w:tcPr>
            <w:tcW w:w="2131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2025年9月25日</w:t>
            </w:r>
          </w:p>
        </w:tc>
        <w:tc>
          <w:tcPr>
            <w:tcW w:w="2131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甲方/采购方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安装部署完成</w:t>
            </w:r>
          </w:p>
        </w:tc>
        <w:tc>
          <w:tcPr>
            <w:tcW w:w="2130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所有硬件部署完成</w:t>
            </w:r>
          </w:p>
        </w:tc>
        <w:tc>
          <w:tcPr>
            <w:tcW w:w="2131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2025年10月17日</w:t>
            </w:r>
          </w:p>
        </w:tc>
        <w:tc>
          <w:tcPr>
            <w:tcW w:w="2131" w:type="dxa"/>
          </w:tcPr>
          <w:p>
            <w:pPr>
              <w:widowControl w:val="0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乙方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系统交割上线</w:t>
            </w:r>
          </w:p>
        </w:tc>
        <w:tc>
          <w:tcPr>
            <w:tcW w:w="2130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新服务器集群</w:t>
            </w:r>
          </w:p>
        </w:tc>
        <w:tc>
          <w:tcPr>
            <w:tcW w:w="2131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2025年10月24日</w:t>
            </w:r>
          </w:p>
        </w:tc>
        <w:tc>
          <w:tcPr>
            <w:tcW w:w="2131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乙方执行、甲方确认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项目验收</w:t>
            </w:r>
          </w:p>
        </w:tc>
        <w:tc>
          <w:tcPr>
            <w:tcW w:w="2130" w:type="dxa"/>
          </w:tcPr>
          <w:p>
            <w:pPr>
              <w:widowControl w:val="0"/>
              <w:rPr>
                <w:rFonts w:eastAsia="宋体"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《</w:t>
            </w:r>
            <w:r>
              <w:rPr>
                <w:rFonts w:hint="eastAsia"/>
                <w:vertAlign w:val="baseline"/>
                <w:lang w:val="en-US" w:eastAsia="zh-CN"/>
              </w:rPr>
              <w:t>项目验收报告</w:t>
            </w:r>
            <w:r>
              <w:rPr>
                <w:rFonts w:hint="eastAsia"/>
                <w:vertAlign w:val="baseline"/>
                <w:lang w:eastAsia="zh-CN"/>
              </w:rPr>
              <w:t>》</w:t>
            </w:r>
          </w:p>
        </w:tc>
        <w:tc>
          <w:tcPr>
            <w:tcW w:w="2131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2025年10月31日</w:t>
            </w:r>
          </w:p>
        </w:tc>
        <w:tc>
          <w:tcPr>
            <w:tcW w:w="2131" w:type="dxa"/>
          </w:tcPr>
          <w:p>
            <w:pPr>
              <w:widowControl w:val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甲乙双方</w:t>
            </w:r>
          </w:p>
        </w:tc>
      </w:tr>
    </w:tbl>
    <w:p>
      <w:pPr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总工期约55工作日</w:t>
      </w:r>
    </w:p>
    <w:p>
      <w:pPr>
        <w:pStyle w:val="1"/>
        <w:bidi w:val="0"/>
        <w:rPr>
          <w:rFonts w:hint="eastAsia"/>
        </w:rPr>
      </w:pPr>
      <w:r>
        <w:rPr>
          <w:rFonts w:hint="eastAsia"/>
        </w:rPr>
        <w:t>详细工作计划表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第一阶段：方案设计与准备 (2025.08.01 - 2025.08.14)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1234"/>
        <w:gridCol w:w="2371"/>
        <w:gridCol w:w="2076"/>
        <w:gridCol w:w="1138"/>
        <w:gridCol w:w="108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项目启动会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明确项目目标、团队、沟通机制、计划评审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《项目启动会议纪要》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08月01日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现状深度评估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监控现有集群性能，出具瓶颈分析报告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《现有服务器资源评估报告》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乙方技术专家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08月04-08日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扩容方案详细设计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完成架构、配置、高可用等详细设计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《服务器扩容详细设计说明书》V1.0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乙方架构师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08月11-13日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设计评审与确认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甲方组织评审，乙方修改定稿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签字确认的《详细设计说明书》V1.1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甲方技术负责人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08月14日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第二阶段：采购与环境准备 (2025.08.15 - 2025.09.25)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5"/>
        <w:gridCol w:w="1167"/>
        <w:gridCol w:w="2553"/>
        <w:gridCol w:w="1691"/>
        <w:gridCol w:w="942"/>
        <w:gridCol w:w="157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硬件采购清单发布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乙方根据确认的设计方案，提供最终采购技术规格书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《硬件采购技术规格书》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08月15日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硬件采购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甲方或指定方完成采购流程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采购合同/订单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甲方/采购方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08月18日-09月19日（视流程）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机房环境准备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甲方协调完成机柜空间、电源、网络端口准备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《机房环境准备就绪确认单》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09月18日前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硬件到货验收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设备到货，甲乙双方共同开箱验货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《设备到货验收单》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09月25日（暂定）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第三阶段：安装部署与集成 (2025.09.26 - 2025.70.17)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6"/>
        <w:gridCol w:w="1213"/>
        <w:gridCol w:w="2739"/>
        <w:gridCol w:w="1490"/>
        <w:gridCol w:w="1397"/>
        <w:gridCol w:w="1073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硬件上架与调试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服务器物理上架、接线、加电、硬件诊断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《硬件上架调试记录》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09月26-30日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系统软件安装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安装操作系统、虚拟化平台、基础服务等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《系统软件安装清单》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10月06-07日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态势感知组件部署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部署分析引擎、存储节点等应用软件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《应用部署配置文档》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10月08-10日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集群与高可用配置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配置负载均衡、集群服务、共享存储、备份策略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《集群配置手册》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乙方资深工程师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10月13-14日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系统初步联调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内部网络通信、服务调用、基础功能验证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《初步联调测试报告》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10月15-16日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割接方案评审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制定详细数据迁移/服务切换步骤、回退方案，并评审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《系统割接实施方案》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乙方制定，双方评审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10月17日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第四阶段：系统割接与上线 (2025.70.20 - 2025.70.24)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4"/>
        <w:gridCol w:w="1154"/>
        <w:gridCol w:w="2323"/>
        <w:gridCol w:w="1629"/>
        <w:gridCol w:w="1338"/>
        <w:gridCol w:w="146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割接前备份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对现有系统进行全量备份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备份完成确认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10月20日（业务结束后）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正式割接实施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按评审后的方案执行数据迁移与服务切换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《割接操作日志》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乙方（甲方监督）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10月21日（夜间窗口）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割接后验证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验证业务功能、数据完整性、服务状态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《割接后业务验证报告》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10月22日上午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系统试运行开始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新集群正式承载业务，进入观察期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10月22日下午起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第五阶段：测试、培训与收尾 (2025.70.23 - 2025.70.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)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1205"/>
        <w:gridCol w:w="2352"/>
        <w:gridCol w:w="2098"/>
        <w:gridCol w:w="1098"/>
        <w:gridCol w:w="113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性能压力测试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模拟高负载，验证性能指标是否达标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《性能压力测试报告》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10月23-24日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高可用切换测试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模拟故障，测试集群切换功能与时间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《高可用测试报告》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10月27日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用户培训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对甲方运维人员进行新架构与运维培训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《培训签到表》、《培训材料》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乙方讲师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10月28日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文档汇编与交付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整理并提交所有项目文档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《项目交付文档清单》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10月29-30日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项目最终验收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双方依据验收标准评审，签署验收报告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《项目最终验收报告》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双方代表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10月31日</w:t>
            </w:r>
          </w:p>
        </w:tc>
      </w:tr>
    </w:tbl>
    <w:p>
      <w:pPr>
        <w:pStyle w:val="1"/>
        <w:bidi w:val="0"/>
        <w:rPr>
          <w:rFonts w:hint="eastAsia"/>
        </w:rPr>
      </w:pPr>
      <w:r>
        <w:rPr>
          <w:rFonts w:hint="eastAsia"/>
        </w:rPr>
        <w:t xml:space="preserve"> 沟通管理计划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例会制度：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周例会： 每周五下午召开，汇报进展、解决问题、同步下周计划。双方项目经理、技术负责人参加。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专项会议： 针对设计评审、割接方案评审、验收等关键节点召开。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沟通渠道：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建立专用项目群（如企业微信/钉钉群），用于日常沟通。重要决策和确认需通过邮件等书面形式留存。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问题升级机制：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常规问题在项目组内解决；涉及重大变更、资源冲突或延期风险时，升级至双方高层领导决策。</w:t>
      </w:r>
    </w:p>
    <w:p>
      <w:pPr>
        <w:rPr>
          <w:rFonts w:hint="eastAsia"/>
        </w:rPr>
      </w:pPr>
    </w:p>
    <w:p>
      <w:pPr>
        <w:pStyle w:val="1"/>
        <w:bidi w:val="0"/>
        <w:rPr>
          <w:rFonts w:hint="eastAsia"/>
        </w:rPr>
      </w:pPr>
      <w:r>
        <w:rPr>
          <w:rFonts w:hint="eastAsia"/>
        </w:rPr>
        <w:t>风险管理计划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794"/>
        <w:gridCol w:w="679"/>
        <w:gridCol w:w="4775"/>
        <w:gridCol w:w="952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可能性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应对措施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硬件采购延迟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提前启动采购流程，设定明确的到货最后期限，并准备备用品牌型号。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甲方/采购方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割接导致业务中断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极高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制定详尽的、经过评审和演练的割接与回退方案；选择业务量最低的时间窗口操作。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新旧系统兼容性问题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在联调阶段进行充分兼容性测试；准备必要的驱动或补丁程序。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性能提升未达预期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在压力测试阶段早期暴露问题，留出时间进行参数调优或架构微调。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</w:tr>
    </w:tbl>
    <w:p>
      <w:pPr>
        <w:rPr>
          <w:rFonts w:hint="eastAsia"/>
        </w:rPr>
      </w:pPr>
    </w:p>
    <w:p>
      <w:pPr>
        <w:pStyle w:val="1"/>
        <w:bidi w:val="0"/>
        <w:rPr>
          <w:rFonts w:hint="eastAsia"/>
        </w:rPr>
      </w:pPr>
      <w:r>
        <w:rPr>
          <w:rFonts w:hint="eastAsia"/>
        </w:rPr>
        <w:t>交付物清单</w:t>
      </w:r>
    </w:p>
    <w:p>
      <w:pPr>
        <w:rPr>
          <w:rFonts w:hint="eastAsia"/>
        </w:rPr>
      </w:pP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项目完成后，乙方需向甲方交付以下文档（电子版+纸质盖章版）：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《服务器扩容详细设计说明书》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《服务器扩容实施报告》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《系统割接实施方案》及《割接操作日志》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《性能压力测试报告》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《高可用测试报告》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《项目最终验收报告》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更新后的《系统运维手册》、《集群配置文档》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全部培训材料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90F2B01"/>
    <w:multiLevelType w:val="singleLevel"/>
    <w:tmpl w:val="A90F2B0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873</Words>
  <Characters>1061</Characters>
  <Application>Microsoft Office Word</Application>
  <DocSecurity>0</DocSecurity>
  <Lines>0</Lines>
  <Paragraphs>0</Paragraphs>
  <ScaleCrop>false</ScaleCrop>
  <Company/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2025-12-12T23:18:06Z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