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2025年运维服务技术管理计划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（HXDL-ITSS-0702）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郑运龙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郑运龙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0" w:name="heading_2"/>
      <w:r>
        <w:t>研发部现状</w:t>
      </w:r>
      <w:bookmarkEnd w:id="0"/>
    </w:p>
    <w:p>
      <w:pPr>
        <w:pStyle w:val="2"/>
        <w:bidi w:val="0"/>
      </w:pPr>
      <w:bookmarkStart w:id="1" w:name="heading_3"/>
      <w:r>
        <w:t>组织架构</w:t>
      </w:r>
      <w:bookmarkEnd w:id="1"/>
    </w:p>
    <w:p>
      <w:pPr>
        <w:pStyle w:val="a1"/>
        <w:bidi w:val="0"/>
      </w:pPr>
      <w:r>
        <w:t>研发部主要从事营销供电、安全生产、经营管理等业务应用系统研发和具体实施工作，共设立4个业务线，分别为业务应用一线、业务应用二线、业务应用三线、业务应用四线，后续可根据业务需求柔性组建业务线。</w:t>
      </w:r>
    </w:p>
    <w:p>
      <w:pPr>
        <w:pStyle w:val="2"/>
        <w:bidi w:val="0"/>
      </w:pPr>
      <w:bookmarkStart w:id="2" w:name="heading_6"/>
      <w:r>
        <w:t>应用创新</w:t>
      </w:r>
      <w:bookmarkEnd w:id="2"/>
    </w:p>
    <w:p>
      <w:pPr>
        <w:pStyle w:val="a1"/>
        <w:bidi w:val="0"/>
      </w:pPr>
      <w:r>
        <w:t>已完成多个创新项目建设，包括：基于区块链的内模交易应用实践（二期）、指尖上的职工之家、物联标识系统、电力交易全景展示系统、基于电网资产统一身份编码的资产全寿命深化应用、演习全程可视化技术支持服务等。</w:t>
      </w:r>
    </w:p>
    <w:p>
      <w:pPr>
        <w:pStyle w:val="1"/>
        <w:bidi w:val="0"/>
      </w:pPr>
      <w:bookmarkStart w:id="3" w:name="heading_7"/>
      <w:r>
        <w:t>业务发展规划</w:t>
      </w:r>
      <w:bookmarkEnd w:id="3"/>
    </w:p>
    <w:p>
      <w:pPr>
        <w:pStyle w:val="2"/>
        <w:bidi w:val="0"/>
      </w:pPr>
      <w:bookmarkStart w:id="4" w:name="heading_8"/>
      <w:r>
        <w:t>总体发展思路</w:t>
      </w:r>
      <w:bookmarkEnd w:id="4"/>
    </w:p>
    <w:p>
      <w:pPr>
        <w:pStyle w:val="a1"/>
        <w:bidi w:val="0"/>
      </w:pPr>
      <w:r>
        <w:t>立足软件系统开发、通信工程建设、信息通信运维、产品研制与商业拓展、互联网新业态五大板块业务，构建全方位技术服务能力。</w:t>
      </w:r>
    </w:p>
    <w:p>
      <w:pPr>
        <w:pStyle w:val="2"/>
        <w:bidi w:val="0"/>
      </w:pPr>
      <w:bookmarkStart w:id="5" w:name="heading_9"/>
      <w:r>
        <w:t>近期业务发展计划</w:t>
      </w:r>
      <w:bookmarkEnd w:id="5"/>
    </w:p>
    <w:p>
      <w:pPr>
        <w:pStyle w:val="3"/>
        <w:bidi w:val="0"/>
      </w:pPr>
      <w:r>
        <w:t>核心目标</w:t>
      </w:r>
    </w:p>
    <w:p>
      <w:pPr>
        <w:pStyle w:val="a1"/>
        <w:bidi w:val="0"/>
      </w:pPr>
      <w:r>
        <w:t>提升技术及业务交付能力，立足湖南，专注电力客户，做好电力生产、营销、调度等业务的信息化建设支撑。</w:t>
      </w:r>
    </w:p>
    <w:p>
      <w:pPr>
        <w:pStyle w:val="3"/>
        <w:bidi w:val="0"/>
      </w:pPr>
      <w:r>
        <w:t>实施计划</w:t>
      </w:r>
    </w:p>
    <w:p>
      <w:pPr>
        <w:pStyle w:val="a1"/>
        <w:bidi w:val="0"/>
      </w:pPr>
      <w:r>
        <w:t>夯实基础：做好现有项目的建设实施工作，以国网湖南电力公司为核心服务对象，严格把控产品质量、提升用户体验。</w:t>
      </w:r>
    </w:p>
    <w:p>
      <w:pPr>
        <w:pStyle w:val="a1"/>
        <w:bidi w:val="0"/>
      </w:pPr>
      <w:r>
        <w:t>全面融入：深度参与湖南公司的中台赋能、移动应用、区块链、智慧物联等方向的建设工作，前瞻性分析整理公共资源，为后期产品化夯实基础。</w:t>
      </w:r>
    </w:p>
    <w:p>
      <w:pPr>
        <w:pStyle w:val="a1"/>
        <w:bidi w:val="0"/>
      </w:pPr>
      <w:r>
        <w:t>体系建设：建立完善的软件产品研发体系，通过"计划-实施-检查-</w:t>
      </w:r>
      <w:r>
        <w:rPr>
          <w:rFonts w:hint="eastAsia"/>
          <w:lang w:val="en-US" w:eastAsia="zh-CN"/>
        </w:rPr>
        <w:t>改进</w:t>
      </w:r>
      <w:r>
        <w:t>"的PDCA循环促进研发部能力提升，创新软件研发方法论。</w:t>
      </w:r>
    </w:p>
    <w:p>
      <w:pPr>
        <w:pStyle w:val="a1"/>
        <w:bidi w:val="0"/>
      </w:pPr>
      <w:r>
        <w:t>人才引进：通过校园招聘、社会招聘、行业挖猎等多种途径引进高素质技术及管理人才。</w:t>
      </w:r>
    </w:p>
    <w:p>
      <w:pPr>
        <w:pStyle w:val="1"/>
        <w:bidi w:val="0"/>
      </w:pPr>
      <w:bookmarkStart w:id="6" w:name="heading_10"/>
      <w:r>
        <w:t>研发设备、工具及网络环境</w:t>
      </w:r>
      <w:bookmarkEnd w:id="6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设备/工具类别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具体名称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主要型号/规格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研发主要设备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服务器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POWEREDGE 1750 等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交换机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CATALYST 4506 等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计算机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联想、DELL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路由器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TP-LINK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数据库系统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各类数据库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SQL Server 2005、Oracle 11g、DB2、MySQL 等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操作系统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各类操作系统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Windows Server 20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、Windows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 xml:space="preserve">、Windows 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、Redhat Linux、Scovnix 等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系统分析与设计工具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设计类工具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Axure、PowerDesigner、Visio、Vml 等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开发工具与环境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开发类工具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MyEclipse、OperaMasks、EmEditor8、PL/SQL Developer 7.1、Astrum InstallWizard2.2、Java.Vc.nel 等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测试工具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测试类工具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Postman、JUnit 等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配置管理工具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管理类平台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信息通信一体化调度运维支撑平台(SG-I6000)、信息通信专业管理系统、资产管理平台等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项目管理工具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项目类工具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Svn、禅道等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办公及其他管理工具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办公类软件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Office2016、极速 PDF 阅读器</w:t>
            </w:r>
          </w:p>
        </w:tc>
      </w:tr>
    </w:tbl>
    <w:p>
      <w:pPr>
        <w:pStyle w:val="1"/>
        <w:bidi w:val="0"/>
      </w:pPr>
      <w:bookmarkStart w:id="7" w:name="heading_11"/>
      <w:r>
        <w:t>202</w:t>
      </w:r>
      <w:r>
        <w:rPr>
          <w:rFonts w:hint="eastAsia"/>
          <w:lang w:val="en-US" w:eastAsia="zh-CN"/>
        </w:rPr>
        <w:t>5</w:t>
      </w:r>
      <w:r>
        <w:t>年运维工具研发计划</w:t>
      </w:r>
      <w:bookmarkEnd w:id="7"/>
    </w:p>
    <w:p>
      <w:pPr>
        <w:pStyle w:val="2"/>
        <w:bidi w:val="0"/>
      </w:pPr>
      <w:bookmarkStart w:id="8" w:name="heading_12"/>
      <w:r>
        <w:t>物管平台-物联标识系统研发计划</w:t>
      </w:r>
      <w:bookmarkEnd w:id="8"/>
      <w:bookmarkStart w:id="9" w:name="heading_13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644"/>
        <w:gridCol w:w="562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任务阶段</w:t>
            </w:r>
          </w:p>
        </w:tc>
        <w:tc>
          <w:tcPr>
            <w:tcW w:w="1644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时间节点</w:t>
            </w:r>
          </w:p>
        </w:tc>
        <w:tc>
          <w:tcPr>
            <w:tcW w:w="5627" w:type="dxa"/>
          </w:tcPr>
          <w:p>
            <w:pPr>
              <w:pStyle w:val="a1"/>
              <w:widowControl w:val="0"/>
              <w:bidi w:val="0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工作内容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需求调研</w:t>
            </w:r>
          </w:p>
        </w:tc>
        <w:tc>
          <w:tcPr>
            <w:tcW w:w="1644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2025年4-5月</w:t>
            </w:r>
          </w:p>
        </w:tc>
        <w:tc>
          <w:tcPr>
            <w:tcW w:w="5627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完成需求调研，编制需求说明书，进行原型设计，完成数据库表设计和数据来源梳理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/>
        </w:trPr>
        <w:tc>
          <w:tcPr>
            <w:tcW w:w="1249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</w:t>
            </w:r>
          </w:p>
        </w:tc>
        <w:tc>
          <w:tcPr>
            <w:tcW w:w="1644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2025年6-7月</w:t>
            </w:r>
          </w:p>
        </w:tc>
        <w:tc>
          <w:tcPr>
            <w:tcW w:w="5627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完成前端页面开发和后台接口调试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上线准备</w:t>
            </w:r>
          </w:p>
        </w:tc>
        <w:tc>
          <w:tcPr>
            <w:tcW w:w="1644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5627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进行联调，解决已知问题，达到上线标准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系统上线</w:t>
            </w:r>
          </w:p>
        </w:tc>
        <w:tc>
          <w:tcPr>
            <w:tcW w:w="1644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5627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晚上系统上线</w:t>
            </w:r>
          </w:p>
        </w:tc>
      </w:tr>
    </w:tbl>
    <w:p>
      <w:pPr>
        <w:pStyle w:val="a1"/>
        <w:bidi w:val="0"/>
      </w:pPr>
    </w:p>
    <w:p>
      <w:pPr>
        <w:pStyle w:val="2"/>
        <w:bidi w:val="0"/>
      </w:pPr>
      <w:r>
        <w:t>隔离装置监控处置工具研发计划</w:t>
      </w:r>
      <w:bookmarkEnd w:id="9"/>
    </w:p>
    <w:tbl>
      <w:tblPr>
        <w:tblStyle w:val="TableNormal0"/>
        <w:tblW w:w="8616" w:type="dxa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3"/>
        <w:gridCol w:w="2013"/>
        <w:gridCol w:w="5240"/>
      </w:tblGrid>
      <w:tr>
        <w:tblPrEx>
          <w:tblW w:w="8616" w:type="dxa"/>
          <w:tblInd w:w="14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1363" w:type="dxa"/>
          </w:tcPr>
          <w:p>
            <w:pPr>
              <w:pStyle w:val="TableText"/>
              <w:spacing w:before="115" w:line="220" w:lineRule="auto"/>
              <w:ind w:left="111"/>
            </w:pPr>
            <w:r>
              <w:rPr>
                <w:b/>
                <w:bCs/>
                <w:spacing w:val="-5"/>
              </w:rPr>
              <w:t>任务阶段</w:t>
            </w:r>
          </w:p>
        </w:tc>
        <w:tc>
          <w:tcPr>
            <w:tcW w:w="2013" w:type="dxa"/>
          </w:tcPr>
          <w:p>
            <w:pPr>
              <w:pStyle w:val="TableText"/>
              <w:spacing w:before="116" w:line="220" w:lineRule="auto"/>
              <w:ind w:left="120"/>
            </w:pPr>
            <w:r>
              <w:rPr>
                <w:b/>
                <w:bCs/>
                <w:spacing w:val="-7"/>
              </w:rPr>
              <w:t>时间节点</w:t>
            </w:r>
          </w:p>
        </w:tc>
        <w:tc>
          <w:tcPr>
            <w:tcW w:w="5240" w:type="dxa"/>
          </w:tcPr>
          <w:p>
            <w:pPr>
              <w:pStyle w:val="TableText"/>
              <w:spacing w:before="115" w:line="220" w:lineRule="auto"/>
              <w:ind w:left="114"/>
            </w:pPr>
            <w:r>
              <w:rPr>
                <w:b/>
                <w:bCs/>
                <w:spacing w:val="-5"/>
              </w:rPr>
              <w:t>工作内容</w:t>
            </w:r>
          </w:p>
        </w:tc>
      </w:tr>
      <w:tr>
        <w:tblPrEx>
          <w:tblW w:w="8616" w:type="dxa"/>
          <w:tblInd w:w="1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/>
        </w:trPr>
        <w:tc>
          <w:tcPr>
            <w:tcW w:w="1363" w:type="dxa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116"/>
              <w:rPr>
                <w:rFonts w:hint="eastAsia"/>
                <w:spacing w:val="-3"/>
                <w:lang w:val="en-US" w:eastAsia="zh-CN"/>
              </w:rPr>
            </w:pPr>
            <w:r>
              <w:rPr>
                <w:spacing w:val="-3"/>
              </w:rPr>
              <w:t>项目</w:t>
            </w:r>
            <w:r>
              <w:rPr>
                <w:rFonts w:hint="eastAsia"/>
                <w:spacing w:val="-3"/>
                <w:lang w:val="en-US" w:eastAsia="zh-CN"/>
              </w:rPr>
              <w:t>调研</w:t>
            </w:r>
          </w:p>
          <w:p>
            <w:pPr>
              <w:pStyle w:val="TableText"/>
              <w:spacing w:before="78" w:line="220" w:lineRule="auto"/>
              <w:ind w:left="116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需求确认</w:t>
            </w:r>
          </w:p>
        </w:tc>
        <w:tc>
          <w:tcPr>
            <w:tcW w:w="2013" w:type="dxa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112"/>
            </w:pPr>
            <w:r>
              <w:rPr>
                <w:spacing w:val="-6"/>
              </w:rPr>
              <w:t>2025年1月</w:t>
            </w:r>
          </w:p>
        </w:tc>
        <w:tc>
          <w:tcPr>
            <w:tcW w:w="5240" w:type="dxa"/>
          </w:tcPr>
          <w:p>
            <w:pPr>
              <w:pStyle w:val="TableText"/>
              <w:numPr>
                <w:ilvl w:val="0"/>
                <w:numId w:val="2"/>
              </w:numPr>
              <w:spacing w:before="111" w:line="220" w:lineRule="auto"/>
              <w:ind w:left="425" w:hanging="425" w:leftChars="0" w:firstLineChars="0"/>
            </w:pPr>
            <w:r>
              <w:rPr>
                <w:spacing w:val="-4"/>
              </w:rPr>
              <w:t>项目相关人员沟通，进行相关技术调研及</w:t>
            </w:r>
            <w:r>
              <w:rPr>
                <w:spacing w:val="-5"/>
              </w:rPr>
              <w:t>预演；</w:t>
            </w:r>
          </w:p>
          <w:p>
            <w:pPr>
              <w:pStyle w:val="TableText"/>
              <w:numPr>
                <w:ilvl w:val="0"/>
                <w:numId w:val="2"/>
              </w:numPr>
              <w:spacing w:before="182" w:line="220" w:lineRule="auto"/>
              <w:ind w:left="425" w:hanging="425" w:leftChars="0" w:firstLineChars="0"/>
              <w:rPr>
                <w:spacing w:val="-8"/>
              </w:rPr>
            </w:pPr>
            <w:r>
              <w:rPr>
                <w:spacing w:val="-8"/>
              </w:rPr>
              <w:t>编写项目规划；</w:t>
            </w:r>
          </w:p>
          <w:p>
            <w:pPr>
              <w:pStyle w:val="TableText"/>
              <w:numPr>
                <w:ilvl w:val="0"/>
                <w:numId w:val="2"/>
              </w:numPr>
              <w:spacing w:before="182" w:line="220" w:lineRule="auto"/>
              <w:ind w:left="425" w:hanging="425" w:leftChars="0" w:firstLineChars="0"/>
              <w:rPr>
                <w:rFonts w:eastAsia="宋体" w:hint="default"/>
                <w:spacing w:val="-8"/>
                <w:lang w:val="en-US" w:eastAsia="zh-CN"/>
              </w:rPr>
            </w:pPr>
            <w:r>
              <w:rPr>
                <w:rFonts w:hint="eastAsia"/>
                <w:spacing w:val="-8"/>
                <w:lang w:val="en-US" w:eastAsia="zh-CN"/>
              </w:rPr>
              <w:t>业务部门签字确认</w:t>
            </w:r>
          </w:p>
        </w:tc>
      </w:tr>
      <w:tr>
        <w:tblPrEx>
          <w:tblW w:w="8616" w:type="dxa"/>
          <w:tblInd w:w="1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</w:trPr>
        <w:tc>
          <w:tcPr>
            <w:tcW w:w="1363" w:type="dxa"/>
          </w:tcPr>
          <w:p>
            <w:pPr>
              <w:pStyle w:val="TableText"/>
              <w:spacing w:before="113" w:line="220" w:lineRule="auto"/>
              <w:ind w:left="125"/>
            </w:pPr>
            <w:r>
              <w:rPr>
                <w:spacing w:val="-5"/>
              </w:rPr>
              <w:t>需求分析</w:t>
            </w:r>
          </w:p>
        </w:tc>
        <w:tc>
          <w:tcPr>
            <w:tcW w:w="2013" w:type="dxa"/>
          </w:tcPr>
          <w:p>
            <w:pPr>
              <w:pStyle w:val="TableText"/>
              <w:spacing w:before="112" w:line="220" w:lineRule="auto"/>
              <w:ind w:left="112"/>
            </w:pPr>
            <w:r>
              <w:rPr>
                <w:spacing w:val="-4"/>
              </w:rPr>
              <w:t>2025年</w:t>
            </w:r>
            <w:r>
              <w:rPr>
                <w:rFonts w:hint="eastAsia"/>
                <w:spacing w:val="-4"/>
                <w:lang w:val="en-US" w:eastAsia="zh-CN"/>
              </w:rPr>
              <w:t>2</w:t>
            </w:r>
            <w:r>
              <w:rPr>
                <w:spacing w:val="-4"/>
              </w:rPr>
              <w:t>月</w:t>
            </w:r>
          </w:p>
        </w:tc>
        <w:tc>
          <w:tcPr>
            <w:tcW w:w="5240" w:type="dxa"/>
          </w:tcPr>
          <w:p>
            <w:pPr>
              <w:pStyle w:val="TableText"/>
              <w:spacing w:before="112" w:line="220" w:lineRule="auto"/>
              <w:ind w:left="113"/>
            </w:pPr>
            <w:r>
              <w:rPr>
                <w:spacing w:val="-1"/>
              </w:rPr>
              <w:t>调研用户需求及相关行业产品，形成优化需求说明</w:t>
            </w:r>
          </w:p>
        </w:tc>
      </w:tr>
      <w:tr>
        <w:tblPrEx>
          <w:tblW w:w="8616" w:type="dxa"/>
          <w:tblInd w:w="1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/>
        </w:trPr>
        <w:tc>
          <w:tcPr>
            <w:tcW w:w="1363" w:type="dxa"/>
          </w:tcPr>
          <w:p>
            <w:pPr>
              <w:pStyle w:val="TableText"/>
              <w:spacing w:before="78" w:line="363" w:lineRule="auto"/>
              <w:ind w:left="118" w:right="169" w:hanging="2"/>
            </w:pPr>
            <w:r>
              <w:rPr>
                <w:spacing w:val="-3"/>
              </w:rPr>
              <w:t>项目筹备</w:t>
            </w:r>
            <w:r>
              <w:rPr>
                <w:rFonts w:hint="eastAsia"/>
                <w:spacing w:val="-3"/>
                <w:lang w:val="en-US" w:eastAsia="zh-CN"/>
              </w:rPr>
              <w:t>和</w:t>
            </w:r>
            <w:r>
              <w:rPr>
                <w:spacing w:val="-3"/>
              </w:rPr>
              <w:t>总体设计</w:t>
            </w:r>
          </w:p>
        </w:tc>
        <w:tc>
          <w:tcPr>
            <w:tcW w:w="2013" w:type="dxa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112"/>
            </w:pPr>
            <w:r>
              <w:rPr>
                <w:spacing w:val="-4"/>
              </w:rPr>
              <w:t>2025年2月</w:t>
            </w:r>
          </w:p>
        </w:tc>
        <w:tc>
          <w:tcPr>
            <w:tcW w:w="5240" w:type="dxa"/>
          </w:tcPr>
          <w:p>
            <w:pPr>
              <w:pStyle w:val="TableText"/>
              <w:numPr>
                <w:ilvl w:val="0"/>
                <w:numId w:val="3"/>
              </w:numPr>
              <w:spacing w:before="113" w:line="221" w:lineRule="auto"/>
              <w:ind w:left="425" w:hanging="425" w:leftChars="0" w:firstLineChars="0"/>
            </w:pPr>
            <w:r>
              <w:rPr>
                <w:spacing w:val="-12"/>
              </w:rPr>
              <w:t>组建小组；</w:t>
            </w:r>
          </w:p>
          <w:p>
            <w:pPr>
              <w:pStyle w:val="TableText"/>
              <w:numPr>
                <w:ilvl w:val="0"/>
                <w:numId w:val="3"/>
              </w:numPr>
              <w:spacing w:before="180" w:line="220" w:lineRule="auto"/>
              <w:ind w:left="425" w:hanging="425" w:leftChars="0" w:firstLineChars="0"/>
            </w:pPr>
            <w:r>
              <w:rPr>
                <w:spacing w:val="-5"/>
              </w:rPr>
              <w:t>完成系统设计方案编制；</w:t>
            </w:r>
          </w:p>
          <w:p>
            <w:pPr>
              <w:pStyle w:val="TableText"/>
              <w:numPr>
                <w:ilvl w:val="0"/>
                <w:numId w:val="3"/>
              </w:numPr>
              <w:spacing w:before="182" w:line="220" w:lineRule="auto"/>
              <w:ind w:left="425" w:hanging="425" w:leftChars="0" w:firstLineChars="0"/>
            </w:pPr>
            <w:r>
              <w:rPr>
                <w:spacing w:val="-4"/>
              </w:rPr>
              <w:t>规划评审，评审通过后进行立项；</w:t>
            </w:r>
          </w:p>
        </w:tc>
      </w:tr>
      <w:tr>
        <w:tblPrEx>
          <w:tblW w:w="8616" w:type="dxa"/>
          <w:tblInd w:w="1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/>
        </w:trPr>
        <w:tc>
          <w:tcPr>
            <w:tcW w:w="1363" w:type="dxa"/>
          </w:tcPr>
          <w:p>
            <w:pPr>
              <w:pStyle w:val="TableText"/>
              <w:spacing w:before="78" w:line="220" w:lineRule="auto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功能</w:t>
            </w:r>
            <w:r>
              <w:rPr>
                <w:spacing w:val="-2"/>
              </w:rPr>
              <w:t>研发</w:t>
            </w:r>
            <w:r>
              <w:rPr>
                <w:rFonts w:hint="eastAsia"/>
                <w:spacing w:val="-2"/>
                <w:lang w:val="en-US" w:eastAsia="zh-CN"/>
              </w:rPr>
              <w:t>和迭代测试</w:t>
            </w:r>
          </w:p>
        </w:tc>
        <w:tc>
          <w:tcPr>
            <w:tcW w:w="2013" w:type="dxa"/>
          </w:tcPr>
          <w:p>
            <w:pPr>
              <w:pStyle w:val="TableText"/>
              <w:spacing w:before="78" w:line="220" w:lineRule="auto"/>
              <w:ind w:left="112"/>
            </w:pPr>
            <w:r>
              <w:rPr>
                <w:spacing w:val="-4"/>
              </w:rPr>
              <w:t>2025年3月</w:t>
            </w:r>
            <w:r>
              <w:rPr>
                <w:spacing w:val="-3"/>
              </w:rPr>
              <w:t>-</w:t>
            </w:r>
            <w:r>
              <w:rPr>
                <w:rFonts w:hint="eastAsia"/>
                <w:spacing w:val="-3"/>
                <w:lang w:val="en-US" w:eastAsia="zh-CN"/>
              </w:rPr>
              <w:t>5</w:t>
            </w:r>
            <w:r>
              <w:rPr>
                <w:spacing w:val="-3"/>
              </w:rPr>
              <w:t>月</w:t>
            </w:r>
          </w:p>
        </w:tc>
        <w:tc>
          <w:tcPr>
            <w:tcW w:w="5240" w:type="dxa"/>
          </w:tcPr>
          <w:p>
            <w:pPr>
              <w:pStyle w:val="TableText"/>
              <w:numPr>
                <w:ilvl w:val="0"/>
                <w:numId w:val="4"/>
              </w:numPr>
              <w:spacing w:before="182" w:line="220" w:lineRule="auto"/>
              <w:ind w:left="141"/>
              <w:rPr>
                <w:rFonts w:hint="default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完成全部功能开发和内部测试</w:t>
            </w:r>
          </w:p>
        </w:tc>
      </w:tr>
      <w:tr>
        <w:tblPrEx>
          <w:tblW w:w="8616" w:type="dxa"/>
          <w:tblInd w:w="1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/>
        </w:trPr>
        <w:tc>
          <w:tcPr>
            <w:tcW w:w="1363" w:type="dxa"/>
          </w:tcPr>
          <w:p>
            <w:pPr>
              <w:pStyle w:val="TableText"/>
              <w:spacing w:before="78" w:line="220" w:lineRule="auto"/>
              <w:ind w:left="112"/>
              <w:rPr>
                <w:rFonts w:eastAsia="宋体"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上线前评测</w:t>
            </w:r>
          </w:p>
        </w:tc>
        <w:tc>
          <w:tcPr>
            <w:tcW w:w="2013" w:type="dxa"/>
          </w:tcPr>
          <w:p>
            <w:pPr>
              <w:pStyle w:val="TableText"/>
              <w:spacing w:before="119" w:line="220" w:lineRule="auto"/>
              <w:ind w:left="112"/>
              <w:rPr>
                <w:rFonts w:eastAsia="宋体" w:hint="default"/>
                <w:spacing w:val="-4"/>
                <w:lang w:val="en-US" w:eastAsia="zh-CN"/>
              </w:rPr>
            </w:pPr>
            <w:r>
              <w:rPr>
                <w:spacing w:val="-4"/>
              </w:rPr>
              <w:t>2025年</w:t>
            </w:r>
            <w:r>
              <w:rPr>
                <w:rFonts w:hint="eastAsia"/>
                <w:spacing w:val="-3"/>
                <w:lang w:val="en-US" w:eastAsia="zh-CN"/>
              </w:rPr>
              <w:t>6</w:t>
            </w:r>
            <w:r>
              <w:rPr>
                <w:spacing w:val="-3"/>
              </w:rPr>
              <w:t>月</w:t>
            </w:r>
          </w:p>
        </w:tc>
        <w:tc>
          <w:tcPr>
            <w:tcW w:w="5240" w:type="dxa"/>
          </w:tcPr>
          <w:p>
            <w:pPr>
              <w:pStyle w:val="TableText"/>
              <w:spacing w:before="120" w:line="311" w:lineRule="auto"/>
              <w:ind w:right="272"/>
              <w:rPr>
                <w:rFonts w:eastAsia="宋体" w:hint="default"/>
                <w:spacing w:val="-1"/>
                <w:lang w:val="en-US" w:eastAsia="zh-CN"/>
              </w:rPr>
            </w:pPr>
            <w:r>
              <w:rPr>
                <w:rFonts w:eastAsia="宋体" w:hint="eastAsia"/>
                <w:spacing w:val="-1"/>
                <w:lang w:val="en-US" w:eastAsia="zh-CN"/>
              </w:rPr>
              <w:t>开展省信通问题评测和问题整改</w:t>
            </w:r>
          </w:p>
        </w:tc>
      </w:tr>
      <w:tr>
        <w:tblPrEx>
          <w:tblW w:w="8616" w:type="dxa"/>
          <w:tblInd w:w="1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/>
        </w:trPr>
        <w:tc>
          <w:tcPr>
            <w:tcW w:w="1363" w:type="dxa"/>
          </w:tcPr>
          <w:p>
            <w:pPr>
              <w:pStyle w:val="TableText"/>
              <w:spacing w:before="78" w:line="220" w:lineRule="auto"/>
              <w:ind w:left="112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BUG修复</w:t>
            </w:r>
          </w:p>
        </w:tc>
        <w:tc>
          <w:tcPr>
            <w:tcW w:w="2013" w:type="dxa"/>
          </w:tcPr>
          <w:p>
            <w:pPr>
              <w:pStyle w:val="TableText"/>
              <w:spacing w:before="119" w:line="220" w:lineRule="auto"/>
              <w:ind w:left="112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2025年6月</w:t>
            </w:r>
          </w:p>
        </w:tc>
        <w:tc>
          <w:tcPr>
            <w:tcW w:w="5240" w:type="dxa"/>
          </w:tcPr>
          <w:p>
            <w:pPr>
              <w:pStyle w:val="TableText"/>
              <w:spacing w:before="120" w:line="311" w:lineRule="auto"/>
              <w:ind w:right="272"/>
              <w:rPr>
                <w:rFonts w:eastAsia="宋体"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运维服务部试运行，对发现的bug进行修复</w:t>
            </w:r>
          </w:p>
        </w:tc>
      </w:tr>
      <w:tr>
        <w:tblPrEx>
          <w:tblW w:w="8616" w:type="dxa"/>
          <w:tblInd w:w="1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/>
        </w:trPr>
        <w:tc>
          <w:tcPr>
            <w:tcW w:w="1363" w:type="dxa"/>
          </w:tcPr>
          <w:p>
            <w:pPr>
              <w:pStyle w:val="TableText"/>
              <w:spacing w:before="78" w:line="220" w:lineRule="auto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上线试运行</w:t>
            </w:r>
          </w:p>
        </w:tc>
        <w:tc>
          <w:tcPr>
            <w:tcW w:w="2013" w:type="dxa"/>
          </w:tcPr>
          <w:p>
            <w:pPr>
              <w:pStyle w:val="TableText"/>
              <w:spacing w:before="119" w:line="220" w:lineRule="auto"/>
              <w:ind w:left="112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2025年7月</w:t>
            </w:r>
          </w:p>
        </w:tc>
        <w:tc>
          <w:tcPr>
            <w:tcW w:w="5240" w:type="dxa"/>
          </w:tcPr>
          <w:p>
            <w:pPr>
              <w:pStyle w:val="TableText"/>
              <w:spacing w:before="120" w:line="311" w:lineRule="auto"/>
              <w:ind w:right="272"/>
              <w:rPr>
                <w:rFonts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编写上线试运行材料，开展上线试运行签字流程</w:t>
            </w:r>
          </w:p>
        </w:tc>
      </w:tr>
      <w:tr>
        <w:tblPrEx>
          <w:tblW w:w="8616" w:type="dxa"/>
          <w:tblInd w:w="1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/>
        </w:trPr>
        <w:tc>
          <w:tcPr>
            <w:tcW w:w="1363" w:type="dxa"/>
          </w:tcPr>
          <w:p>
            <w:pPr>
              <w:pStyle w:val="TableText"/>
              <w:spacing w:before="78" w:line="220" w:lineRule="auto"/>
              <w:ind w:left="112"/>
              <w:rPr>
                <w:rFonts w:hint="default"/>
                <w:spacing w:val="-3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验收</w:t>
            </w:r>
          </w:p>
        </w:tc>
        <w:tc>
          <w:tcPr>
            <w:tcW w:w="2013" w:type="dxa"/>
          </w:tcPr>
          <w:p>
            <w:pPr>
              <w:pStyle w:val="TableText"/>
              <w:spacing w:before="119" w:line="220" w:lineRule="auto"/>
              <w:ind w:left="112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2025年8月-10月</w:t>
            </w:r>
          </w:p>
        </w:tc>
        <w:tc>
          <w:tcPr>
            <w:tcW w:w="5240" w:type="dxa"/>
          </w:tcPr>
          <w:p>
            <w:pPr>
              <w:pStyle w:val="TableText"/>
              <w:spacing w:before="120" w:line="311" w:lineRule="auto"/>
              <w:ind w:right="272"/>
              <w:rPr>
                <w:rFonts w:hint="default"/>
                <w:spacing w:val="-1"/>
                <w:lang w:val="en-US" w:eastAsia="zh-CN"/>
              </w:rPr>
            </w:pPr>
            <w:r>
              <w:rPr>
                <w:rFonts w:hint="eastAsia"/>
                <w:spacing w:val="-1"/>
                <w:lang w:val="en-US" w:eastAsia="zh-CN"/>
              </w:rPr>
              <w:t>试运行期间功能完善、编写验收报告并完成验收工作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2025年运维手册研发规划</w:t>
      </w:r>
    </w:p>
    <w:p>
      <w:pPr>
        <w:pStyle w:val="a1"/>
        <w:bidi w:val="0"/>
        <w:rPr>
          <w:rFonts w:hint="eastAsia"/>
          <w:lang w:val="en-US" w:eastAsia="zh-CN"/>
        </w:rPr>
      </w:pPr>
      <w:r>
        <w:t>在过往的系统部署与运维过程中，服务器操作缺乏统一规范，导致配置差异、维护困难、故障响应不及时等问题频发。为提升设备管理效率、降低人为操作风险，本手册将系统梳理服务器从初始化配置、日常维护、安全加固到故障排查的全流程标准化操作步骤，明确权限管理、日志审计、备份恢复等关键环节的执行要求，形成可复制、可追溯的服务器运维基准，助力运维人员快速上手、规范操作。</w:t>
      </w:r>
      <w:r>
        <w:rPr>
          <w:rFonts w:hint="eastAsia"/>
          <w:lang w:val="en-US" w:eastAsia="zh-CN"/>
        </w:rPr>
        <w:t>决定研发《PC服务器标准化操作指导书》</w:t>
      </w:r>
    </w:p>
    <w:p>
      <w:pPr>
        <w:pStyle w:val="a1"/>
        <w:bidi w:val="0"/>
      </w:pPr>
      <w:r>
        <w:t>随着网络安全态势感知系统建设的深入推进，系统功能日趋复杂，运行维护面临操作不统一、应急响应依赖个人经验。</w:t>
      </w:r>
      <w:r>
        <w:rPr>
          <w:rFonts w:hint="eastAsia"/>
          <w:lang w:val="en-US" w:eastAsia="zh-CN"/>
        </w:rPr>
        <w:t>决定研发《</w:t>
      </w:r>
      <w:r>
        <w:rPr>
          <w:rFonts w:hint="default"/>
          <w:lang w:val="en-US" w:eastAsia="zh-CN"/>
        </w:rPr>
        <w:t>曲靖供电局110kV变电站电力监控系统网络安全态势感知</w:t>
      </w:r>
      <w:r>
        <w:rPr>
          <w:rFonts w:hint="eastAsia"/>
          <w:lang w:val="en-US" w:eastAsia="zh-CN"/>
        </w:rPr>
        <w:t>系统运行手册》用于</w:t>
      </w:r>
      <w:r>
        <w:t>提供清晰的操作指引与决策支持，确保运维人员能够高效、准确地执行监控、分析与响应任务，全面提升系统运行的安全性与稳定性。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5"/>
        <w:gridCol w:w="147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5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《PC服务器标准化操作指导书》</w:t>
            </w:r>
          </w:p>
        </w:tc>
        <w:tc>
          <w:tcPr>
            <w:tcW w:w="1477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7045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曲靖供电局110kV变电站电力监控系统网络安全态势感知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系统运行手册》</w:t>
            </w:r>
          </w:p>
        </w:tc>
        <w:tc>
          <w:tcPr>
            <w:tcW w:w="1477" w:type="dxa"/>
          </w:tcPr>
          <w:p>
            <w:pPr>
              <w:pStyle w:val="a1"/>
              <w:widowControl w:val="0"/>
              <w:bidi w:val="0"/>
              <w:ind w:left="0" w:firstLine="0" w:leftChars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</w:tr>
    </w:tbl>
    <w:p>
      <w:pPr>
        <w:pStyle w:val="a1"/>
        <w:bidi w:val="0"/>
        <w:ind w:left="0" w:firstLine="0" w:leftChars="0" w:firstLineChars="0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运维研发投入</w:t>
      </w:r>
    </w:p>
    <w:p>
      <w:pPr>
        <w:pStyle w:val="a1"/>
        <w:rPr>
          <w:rFonts w:hint="eastAsia"/>
          <w:lang w:val="en-US" w:eastAsia="zh-CN"/>
        </w:rPr>
      </w:pPr>
    </w:p>
    <w:p>
      <w:pPr>
        <w:pStyle w:val="a1"/>
        <w:rPr>
          <w:rFonts w:hint="eastAsia"/>
          <w:lang w:val="en-US" w:eastAsia="zh-CN"/>
        </w:rPr>
      </w:pPr>
    </w:p>
    <w:tbl>
      <w:tblPr>
        <w:tblStyle w:val="TableNormal"/>
        <w:tblpPr w:leftFromText="180" w:rightFromText="180" w:vertAnchor="text" w:horzAnchor="page" w:tblpX="1769" w:tblpY="716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275"/>
        <w:gridCol w:w="1248"/>
        <w:gridCol w:w="1248"/>
        <w:gridCol w:w="194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项目类别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项目名称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研发方式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资金投入（万元）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人员投入（人）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运维工具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物管平台-物联标识系统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8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4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运维工具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隔离装置监控处置工具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PC服务器标准化操作指导书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eastAsia="等线" w:hAnsi="Arial" w:cs="Arial"/>
                <w:sz w:val="22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eastAsia="等线" w:hAnsi="Arial" w:cs="Arial"/>
                <w:sz w:val="22"/>
              </w:rPr>
            </w:pP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曲靖供电局110kV变电站电力监控系统网络安全态势感知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系统运行手册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eastAsia="等线" w:hAnsi="Arial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eastAsia="等线" w:hAnsi="Arial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合计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20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eastAsia="宋体" w:hint="default"/>
                <w:lang w:val="en-US" w:eastAsia="zh-CN"/>
              </w:rPr>
            </w:pPr>
          </w:p>
        </w:tc>
      </w:tr>
    </w:tbl>
    <w:p>
      <w:pPr>
        <w:pStyle w:val="a1"/>
        <w:bidi w:val="0"/>
        <w:ind w:left="0" w:firstLine="0" w:leftChars="0" w:firstLineChars="0"/>
        <w:rPr>
          <w:rFonts w:hint="default"/>
          <w:lang w:val="en-US" w:eastAsia="zh-CN"/>
        </w:rPr>
      </w:pPr>
    </w:p>
    <w:p>
      <w:pPr>
        <w:pStyle w:val="a1"/>
        <w:bidi w:val="0"/>
        <w:ind w:left="0" w:firstLine="0" w:leftChars="0" w:firstLineChars="0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新技术研发</w:t>
      </w:r>
    </w:p>
    <w:p>
      <w:pPr>
        <w:pStyle w:val="a1"/>
        <w:bidi w:val="0"/>
        <w:rPr>
          <w:rFonts w:hint="default"/>
          <w:lang w:val="en-US" w:eastAsia="zh-CN"/>
        </w:rPr>
      </w:pPr>
      <w:r>
        <w:t>基于Python技术栈，研发新一代</w:t>
      </w:r>
      <w:r>
        <w:rPr>
          <w:rFonts w:hint="eastAsia"/>
          <w:lang w:val="en-US" w:eastAsia="zh-CN"/>
        </w:rPr>
        <w:t>资源</w:t>
      </w:r>
      <w:r>
        <w:t>智能监控系统。重点构建多协议数据采集、实时数据处理与智能分析三大核心模块，通过机器学习算法实现设备健康评估与发电功率预测。项目旨在提升监控实时性与运维智能化水平</w:t>
      </w:r>
      <w:bookmarkStart w:id="10" w:name="_GoBack"/>
      <w:bookmarkEnd w:id="10"/>
      <w:r>
        <w:t>，并形成具有自主知识产权的行业解决方案。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731E146"/>
    <w:multiLevelType w:val="singleLevel"/>
    <w:tmpl w:val="E731E14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6B4F1D3"/>
    <w:multiLevelType w:val="singleLevel"/>
    <w:tmpl w:val="36B4F1D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F33FD06"/>
    <w:multiLevelType w:val="singleLevel"/>
    <w:tmpl w:val="6F33FD0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1902</Words>
  <Characters>2272</Characters>
  <Application>Microsoft Office Word</Application>
  <DocSecurity>0</DocSecurity>
  <Lines>0</Lines>
  <Paragraphs>0</Paragraphs>
  <ScaleCrop>false</ScaleCrop>
  <Company/>
  <LinksUpToDate>false</LinksUpToDate>
  <CharactersWithSpaces>2293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2025-12-14T19:38:53Z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