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19282"/>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bookmarkStart w:id="1" w:name="_Toc32037"/>
      <w:r>
        <w:rPr>
          <w:rFonts w:hint="eastAsia"/>
          <w:lang w:val="en-US" w:eastAsia="zh-CN"/>
        </w:rPr>
        <w:t>备品备件管理制度</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2" w:name="_Toc29162"/>
      <w:r>
        <w:rPr>
          <w:rFonts w:hint="eastAsia"/>
          <w:lang w:val="en-US" w:eastAsia="zh-CN"/>
        </w:rPr>
        <w:t>（HXDL-ITSS-0803）</w:t>
      </w:r>
      <w:bookmarkEnd w:id="2"/>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3" w:name="_Toc16525"/>
      <w:r>
        <w:rPr>
          <w:rFonts w:ascii="宋体" w:eastAsia="宋体" w:hAnsi="宋体" w:cs="宋体"/>
          <w:b/>
          <w:bCs/>
          <w:spacing w:val="-4"/>
          <w:sz w:val="30"/>
          <w:szCs w:val="30"/>
        </w:rPr>
        <w:t>文件编制和变更履历</w:t>
      </w:r>
      <w:bookmarkEnd w:id="3"/>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65615"/>
        <w:docPartObj>
          <w:docPartGallery w:val="Table of Contents"/>
          <w:docPartUnique/>
        </w:docPartObj>
      </w:sdtPr>
      <w:sdtContent>
        <w:p>
          <w:pPr>
            <w:spacing w:before="0" w:beforeLines="0" w:after="0" w:afterLines="0" w:line="240" w:lineRule="auto"/>
            <w:ind w:left="0" w:right="0" w:firstLine="0" w:leftChars="0" w:rightChars="0" w:firstLineChars="0"/>
            <w:jc w:val="center"/>
          </w:pPr>
          <w:bookmarkStart w:id="4" w:name="heading_2"/>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_Toc19282 </w:instrText>
          </w:r>
          <w:r>
            <w:fldChar w:fldCharType="separate"/>
          </w:r>
          <w:r>
            <w:rPr>
              <w:rFonts w:hint="eastAsia"/>
              <w:lang w:val="en-US" w:eastAsia="zh-CN"/>
            </w:rPr>
            <w:t>天津市华夏电缆有限公司</w:t>
          </w:r>
          <w:r>
            <w:tab/>
          </w:r>
          <w:r>
            <w:fldChar w:fldCharType="begin"/>
          </w:r>
          <w:r>
            <w:instrText xml:space="preserve"> PAGEREF _Toc19282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_Toc32037 </w:instrText>
          </w:r>
          <w:r>
            <w:fldChar w:fldCharType="separate"/>
          </w:r>
          <w:r>
            <w:rPr>
              <w:rFonts w:hint="eastAsia"/>
              <w:lang w:val="en-US" w:eastAsia="zh-CN"/>
            </w:rPr>
            <w:t>备品备件管理制度</w:t>
          </w:r>
          <w:r>
            <w:tab/>
          </w:r>
          <w:r>
            <w:fldChar w:fldCharType="begin"/>
          </w:r>
          <w:r>
            <w:instrText xml:space="preserve"> PAGEREF _Toc32037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_Toc29162 </w:instrText>
          </w:r>
          <w:r>
            <w:fldChar w:fldCharType="separate"/>
          </w:r>
          <w:r>
            <w:rPr>
              <w:rFonts w:hint="eastAsia"/>
              <w:lang w:val="en-US" w:eastAsia="zh-CN"/>
            </w:rPr>
            <w:t>（HXDL-ITSS-0803）</w:t>
          </w:r>
          <w:r>
            <w:tab/>
          </w:r>
          <w:r>
            <w:fldChar w:fldCharType="begin"/>
          </w:r>
          <w:r>
            <w:instrText xml:space="preserve"> PAGEREF _Toc29162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_Toc16525 </w:instrText>
          </w:r>
          <w:r>
            <w:fldChar w:fldCharType="separate"/>
          </w:r>
          <w:r>
            <w:rPr>
              <w:rFonts w:ascii="宋体" w:eastAsia="宋体" w:hAnsi="宋体" w:cs="宋体"/>
              <w:bCs/>
              <w:spacing w:val="-4"/>
              <w:szCs w:val="30"/>
            </w:rPr>
            <w:t>文件编制和变更履历</w:t>
          </w:r>
          <w:r>
            <w:tab/>
          </w:r>
          <w:r>
            <w:fldChar w:fldCharType="begin"/>
          </w:r>
          <w:r>
            <w:instrText xml:space="preserve"> PAGEREF _Toc16525 \h </w:instrText>
          </w:r>
          <w:r>
            <w:fldChar w:fldCharType="separate"/>
          </w:r>
          <w:r>
            <w:t>2</w:t>
          </w:r>
          <w:r>
            <w:fldChar w:fldCharType="end"/>
          </w:r>
          <w:r>
            <w:fldChar w:fldCharType="end"/>
          </w:r>
        </w:p>
        <w:p>
          <w:pPr>
            <w:pStyle w:val="TOC1"/>
            <w:tabs>
              <w:tab w:val="right" w:leader="dot" w:pos="8306"/>
            </w:tabs>
          </w:pPr>
          <w:r>
            <w:fldChar w:fldCharType="begin"/>
          </w:r>
          <w:r>
            <w:instrText xml:space="preserve"> HYPERLINK \l _Toc10941 </w:instrText>
          </w:r>
          <w:r>
            <w:fldChar w:fldCharType="separate"/>
          </w:r>
          <w:r>
            <w:rPr>
              <w:rFonts w:hint="default"/>
            </w:rPr>
            <w:t xml:space="preserve">1. </w:t>
          </w:r>
          <w:r>
            <w:t>目的</w:t>
          </w:r>
          <w:r>
            <w:tab/>
          </w:r>
          <w:r>
            <w:fldChar w:fldCharType="begin"/>
          </w:r>
          <w:r>
            <w:instrText xml:space="preserve"> PAGEREF _Toc10941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_Toc4882 </w:instrText>
          </w:r>
          <w:r>
            <w:fldChar w:fldCharType="separate"/>
          </w:r>
          <w:r>
            <w:rPr>
              <w:rFonts w:hint="default"/>
            </w:rPr>
            <w:t xml:space="preserve">2. </w:t>
          </w:r>
          <w:r>
            <w:t>适用范围</w:t>
          </w:r>
          <w:r>
            <w:tab/>
          </w:r>
          <w:r>
            <w:fldChar w:fldCharType="begin"/>
          </w:r>
          <w:r>
            <w:instrText xml:space="preserve"> PAGEREF _Toc4882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_Toc10704 </w:instrText>
          </w:r>
          <w:r>
            <w:fldChar w:fldCharType="separate"/>
          </w:r>
          <w:r>
            <w:rPr>
              <w:rFonts w:hint="default"/>
            </w:rPr>
            <w:t xml:space="preserve">3. </w:t>
          </w:r>
          <w:r>
            <w:t>职责</w:t>
          </w:r>
          <w:r>
            <w:tab/>
          </w:r>
          <w:r>
            <w:fldChar w:fldCharType="begin"/>
          </w:r>
          <w:r>
            <w:instrText xml:space="preserve"> PAGEREF _Toc10704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_Toc26896 </w:instrText>
          </w:r>
          <w:r>
            <w:fldChar w:fldCharType="separate"/>
          </w:r>
          <w:r>
            <w:rPr>
              <w:rFonts w:hint="default"/>
            </w:rPr>
            <w:t xml:space="preserve">3.1. </w:t>
          </w:r>
          <w:r>
            <w:rPr>
              <w:rFonts w:hint="eastAsia"/>
              <w:lang w:val="en-US" w:eastAsia="zh-CN"/>
            </w:rPr>
            <w:t>运维部</w:t>
          </w:r>
          <w:r>
            <w:t>经理</w:t>
          </w:r>
          <w:r>
            <w:tab/>
          </w:r>
          <w:r>
            <w:fldChar w:fldCharType="begin"/>
          </w:r>
          <w:r>
            <w:instrText xml:space="preserve"> PAGEREF _Toc26896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_Toc2260 </w:instrText>
          </w:r>
          <w:r>
            <w:fldChar w:fldCharType="separate"/>
          </w:r>
          <w:r>
            <w:rPr>
              <w:rFonts w:hint="default"/>
              <w:lang w:val="en-US" w:eastAsia="zh-CN"/>
            </w:rPr>
            <w:t xml:space="preserve">3.2. </w:t>
          </w:r>
          <w:r>
            <w:rPr>
              <w:rFonts w:hint="eastAsia"/>
              <w:lang w:val="en-US" w:eastAsia="zh-CN"/>
            </w:rPr>
            <w:t>备件库</w:t>
          </w:r>
          <w:r>
            <w:tab/>
          </w:r>
          <w:r>
            <w:fldChar w:fldCharType="begin"/>
          </w:r>
          <w:r>
            <w:instrText xml:space="preserve"> PAGEREF _Toc2260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_Toc6443 </w:instrText>
          </w:r>
          <w:r>
            <w:fldChar w:fldCharType="separate"/>
          </w:r>
          <w:r>
            <w:rPr>
              <w:rFonts w:hint="default"/>
            </w:rPr>
            <w:t xml:space="preserve">3.3. </w:t>
          </w:r>
          <w:r>
            <w:rPr>
              <w:rFonts w:hint="eastAsia"/>
              <w:lang w:val="en-US" w:eastAsia="zh-CN"/>
            </w:rPr>
            <w:t>备件库管理员</w:t>
          </w:r>
          <w:r>
            <w:tab/>
          </w:r>
          <w:r>
            <w:fldChar w:fldCharType="begin"/>
          </w:r>
          <w:r>
            <w:instrText xml:space="preserve"> PAGEREF _Toc6443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_Toc16556 </w:instrText>
          </w:r>
          <w:r>
            <w:fldChar w:fldCharType="separate"/>
          </w:r>
          <w:r>
            <w:rPr>
              <w:rFonts w:hint="default"/>
            </w:rPr>
            <w:t xml:space="preserve">3.4. </w:t>
          </w:r>
          <w:r>
            <w:t>备品备件使用部门</w:t>
          </w:r>
          <w:r>
            <w:tab/>
          </w:r>
          <w:r>
            <w:fldChar w:fldCharType="begin"/>
          </w:r>
          <w:r>
            <w:instrText xml:space="preserve"> PAGEREF _Toc16556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_Toc2629 </w:instrText>
          </w:r>
          <w:r>
            <w:fldChar w:fldCharType="separate"/>
          </w:r>
          <w:r>
            <w:rPr>
              <w:rFonts w:hint="default"/>
            </w:rPr>
            <w:t xml:space="preserve">4. </w:t>
          </w:r>
          <w:r>
            <w:t>备品备件的分类和定义</w:t>
          </w:r>
          <w:r>
            <w:tab/>
          </w:r>
          <w:r>
            <w:fldChar w:fldCharType="begin"/>
          </w:r>
          <w:r>
            <w:instrText xml:space="preserve"> PAGEREF _Toc2629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_Toc20503 </w:instrText>
          </w:r>
          <w:r>
            <w:fldChar w:fldCharType="separate"/>
          </w:r>
          <w:r>
            <w:rPr>
              <w:rFonts w:hint="default"/>
            </w:rPr>
            <w:t xml:space="preserve">5. </w:t>
          </w:r>
          <w:r>
            <w:t>备品备件库的响应级别管理</w:t>
          </w:r>
          <w:r>
            <w:tab/>
          </w:r>
          <w:r>
            <w:fldChar w:fldCharType="begin"/>
          </w:r>
          <w:r>
            <w:instrText xml:space="preserve"> PAGEREF _Toc20503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_Toc11775 </w:instrText>
          </w:r>
          <w:r>
            <w:fldChar w:fldCharType="separate"/>
          </w:r>
          <w:r>
            <w:rPr>
              <w:rFonts w:hint="default"/>
            </w:rPr>
            <w:t xml:space="preserve">5.1. </w:t>
          </w:r>
          <w:r>
            <w:t>故障级别判定原则</w:t>
          </w:r>
          <w:r>
            <w:tab/>
          </w:r>
          <w:r>
            <w:fldChar w:fldCharType="begin"/>
          </w:r>
          <w:r>
            <w:instrText xml:space="preserve"> PAGEREF _Toc11775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_Toc162 </w:instrText>
          </w:r>
          <w:r>
            <w:fldChar w:fldCharType="separate"/>
          </w:r>
          <w:r>
            <w:rPr>
              <w:rFonts w:hint="default"/>
            </w:rPr>
            <w:t xml:space="preserve">5.2. </w:t>
          </w:r>
          <w:r>
            <w:t>响应级别定义</w:t>
          </w:r>
          <w:r>
            <w:tab/>
          </w:r>
          <w:r>
            <w:fldChar w:fldCharType="begin"/>
          </w:r>
          <w:r>
            <w:instrText xml:space="preserve"> PAGEREF _Toc162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_Toc5205 </w:instrText>
          </w:r>
          <w:r>
            <w:fldChar w:fldCharType="separate"/>
          </w:r>
          <w:r>
            <w:rPr>
              <w:rFonts w:hint="default"/>
            </w:rPr>
            <w:t xml:space="preserve">6. </w:t>
          </w:r>
          <w:r>
            <w:t>备品备件备货规则</w:t>
          </w:r>
          <w:r>
            <w:tab/>
          </w:r>
          <w:r>
            <w:fldChar w:fldCharType="begin"/>
          </w:r>
          <w:r>
            <w:instrText xml:space="preserve"> PAGEREF _Toc5205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_Toc1114 </w:instrText>
          </w:r>
          <w:r>
            <w:fldChar w:fldCharType="separate"/>
          </w:r>
          <w:r>
            <w:rPr>
              <w:rFonts w:hint="default"/>
            </w:rPr>
            <w:t xml:space="preserve">7. </w:t>
          </w:r>
          <w:r>
            <w:t>备品备件备货出入库流程</w:t>
          </w:r>
          <w:r>
            <w:tab/>
          </w:r>
          <w:r>
            <w:fldChar w:fldCharType="begin"/>
          </w:r>
          <w:r>
            <w:instrText xml:space="preserve"> PAGEREF _Toc1114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_Toc2333 </w:instrText>
          </w:r>
          <w:r>
            <w:fldChar w:fldCharType="separate"/>
          </w:r>
          <w:r>
            <w:rPr>
              <w:rFonts w:hint="default"/>
            </w:rPr>
            <w:t xml:space="preserve">7.1. </w:t>
          </w:r>
          <w:r>
            <w:t>入库流程</w:t>
          </w:r>
          <w:r>
            <w:tab/>
          </w:r>
          <w:r>
            <w:fldChar w:fldCharType="begin"/>
          </w:r>
          <w:r>
            <w:instrText xml:space="preserve"> PAGEREF _Toc2333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_Toc14801 </w:instrText>
          </w:r>
          <w:r>
            <w:fldChar w:fldCharType="separate"/>
          </w:r>
          <w:r>
            <w:rPr>
              <w:rFonts w:hint="default"/>
            </w:rPr>
            <w:t xml:space="preserve">7.2. </w:t>
          </w:r>
          <w:r>
            <w:t>出库流程</w:t>
          </w:r>
          <w:r>
            <w:tab/>
          </w:r>
          <w:r>
            <w:fldChar w:fldCharType="begin"/>
          </w:r>
          <w:r>
            <w:instrText xml:space="preserve"> PAGEREF _Toc14801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_Toc29291 </w:instrText>
          </w:r>
          <w:r>
            <w:fldChar w:fldCharType="separate"/>
          </w:r>
          <w:r>
            <w:rPr>
              <w:rFonts w:hint="default"/>
            </w:rPr>
            <w:t xml:space="preserve">7.3. </w:t>
          </w:r>
          <w:r>
            <w:t>出入库管理及注意事项</w:t>
          </w:r>
          <w:r>
            <w:tab/>
          </w:r>
          <w:r>
            <w:fldChar w:fldCharType="begin"/>
          </w:r>
          <w:r>
            <w:instrText xml:space="preserve"> PAGEREF _Toc29291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_Toc4461 </w:instrText>
          </w:r>
          <w:r>
            <w:fldChar w:fldCharType="separate"/>
          </w:r>
          <w:r>
            <w:rPr>
              <w:rFonts w:hint="default"/>
            </w:rPr>
            <w:t xml:space="preserve">7.3.1. </w:t>
          </w:r>
          <w:r>
            <w:t>备品备件的入库检验</w:t>
          </w:r>
          <w:r>
            <w:tab/>
          </w:r>
          <w:r>
            <w:fldChar w:fldCharType="begin"/>
          </w:r>
          <w:r>
            <w:instrText xml:space="preserve"> PAGEREF _Toc4461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_Toc7977 </w:instrText>
          </w:r>
          <w:r>
            <w:fldChar w:fldCharType="separate"/>
          </w:r>
          <w:r>
            <w:rPr>
              <w:rFonts w:hint="default"/>
            </w:rPr>
            <w:t xml:space="preserve">7.3.2. </w:t>
          </w:r>
          <w:r>
            <w:t>备品备件的出库</w:t>
          </w:r>
          <w:r>
            <w:tab/>
          </w:r>
          <w:r>
            <w:fldChar w:fldCharType="begin"/>
          </w:r>
          <w:r>
            <w:instrText xml:space="preserve"> PAGEREF _Toc7977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_Toc9760 </w:instrText>
          </w:r>
          <w:r>
            <w:fldChar w:fldCharType="separate"/>
          </w:r>
          <w:r>
            <w:rPr>
              <w:rFonts w:hint="default"/>
            </w:rPr>
            <w:t xml:space="preserve">7.3.3. </w:t>
          </w:r>
          <w:r>
            <w:t>备品备件的保管、定期检测</w:t>
          </w:r>
          <w:r>
            <w:tab/>
          </w:r>
          <w:r>
            <w:fldChar w:fldCharType="begin"/>
          </w:r>
          <w:r>
            <w:instrText xml:space="preserve"> PAGEREF _Toc9760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_Toc28520 </w:instrText>
          </w:r>
          <w:r>
            <w:fldChar w:fldCharType="separate"/>
          </w:r>
          <w:r>
            <w:rPr>
              <w:rFonts w:hint="default"/>
            </w:rPr>
            <w:t xml:space="preserve">7.3.4. </w:t>
          </w:r>
          <w:r>
            <w:t>备品备件的返修</w:t>
          </w:r>
          <w:r>
            <w:tab/>
          </w:r>
          <w:r>
            <w:fldChar w:fldCharType="begin"/>
          </w:r>
          <w:r>
            <w:instrText xml:space="preserve"> PAGEREF _Toc28520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_Toc27899 </w:instrText>
          </w:r>
          <w:r>
            <w:fldChar w:fldCharType="separate"/>
          </w:r>
          <w:r>
            <w:rPr>
              <w:rFonts w:hint="default"/>
            </w:rPr>
            <w:t xml:space="preserve">7.3.5. </w:t>
          </w:r>
          <w:r>
            <w:t>注意事项</w:t>
          </w:r>
          <w:r>
            <w:tab/>
          </w:r>
          <w:r>
            <w:fldChar w:fldCharType="begin"/>
          </w:r>
          <w:r>
            <w:instrText xml:space="preserve"> PAGEREF _Toc27899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_Toc19503 </w:instrText>
          </w:r>
          <w:r>
            <w:fldChar w:fldCharType="separate"/>
          </w:r>
          <w:r>
            <w:rPr>
              <w:rFonts w:hint="default"/>
            </w:rPr>
            <w:t xml:space="preserve">7.4. </w:t>
          </w:r>
          <w:r>
            <w:t>备品备件的报废</w:t>
          </w:r>
          <w:r>
            <w:tab/>
          </w:r>
          <w:r>
            <w:fldChar w:fldCharType="begin"/>
          </w:r>
          <w:r>
            <w:instrText xml:space="preserve"> PAGEREF _Toc19503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_Toc14906 </w:instrText>
          </w:r>
          <w:r>
            <w:fldChar w:fldCharType="separate"/>
          </w:r>
          <w:r>
            <w:rPr>
              <w:rFonts w:hint="default"/>
            </w:rPr>
            <w:t xml:space="preserve">8. </w:t>
          </w:r>
          <w:r>
            <w:t>KPI指标</w:t>
          </w:r>
          <w:r>
            <w:tab/>
          </w:r>
          <w:r>
            <w:fldChar w:fldCharType="begin"/>
          </w:r>
          <w:r>
            <w:instrText xml:space="preserve"> PAGEREF _Toc14906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_Toc21207 </w:instrText>
          </w:r>
          <w:r>
            <w:fldChar w:fldCharType="separate"/>
          </w:r>
          <w:r>
            <w:rPr>
              <w:rFonts w:hint="default"/>
            </w:rPr>
            <w:t xml:space="preserve">9. </w:t>
          </w:r>
          <w:r>
            <w:t>相关记录</w:t>
          </w:r>
          <w:r>
            <w:tab/>
          </w:r>
          <w:r>
            <w:fldChar w:fldCharType="begin"/>
          </w:r>
          <w:r>
            <w:instrText xml:space="preserve"> PAGEREF _Toc21207 \h </w:instrText>
          </w:r>
          <w:r>
            <w:fldChar w:fldCharType="separate"/>
          </w:r>
          <w:r>
            <w:t>9</w:t>
          </w:r>
          <w:r>
            <w:fldChar w:fldCharType="end"/>
          </w:r>
          <w:r>
            <w:fldChar w:fldCharType="end"/>
          </w:r>
        </w:p>
        <w:p>
          <w:r>
            <w:fldChar w:fldCharType="end"/>
          </w:r>
        </w:p>
      </w:sdtContent>
    </w:sdt>
    <w:p>
      <w: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0941"/>
      <w:r>
        <w:t>目的</w:t>
      </w:r>
      <w:bookmarkEnd w:id="4"/>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为加强公司备品备件管理，提高资金周转率，加大备品备件使用效率，特制订本制度。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4882"/>
      <w:r>
        <w:t>适用范围</w:t>
      </w:r>
      <w:bookmarkEnd w:id="6"/>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本制度适用于公司对备品备件及其使用环境进行管理的一切活动，包括备品备件库的响应、管理、活动定期总结及持续改进等。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4"/>
      <w:bookmarkStart w:id="9" w:name="_Toc10704"/>
      <w:r>
        <w:t>职责</w:t>
      </w:r>
      <w:bookmarkEnd w:id="8"/>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26896"/>
      <w:r>
        <w:rPr>
          <w:rFonts w:hint="eastAsia"/>
          <w:lang w:val="en-US" w:eastAsia="zh-CN"/>
        </w:rPr>
        <w:t>运维部</w:t>
      </w:r>
      <w:r>
        <w:t>经理</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负责公司所有备品备件的备货计划制定，保证备品备件的按时供应，同时尽可能降低库存，减少占用资金。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260"/>
      <w:r>
        <w:rPr>
          <w:rFonts w:hint="eastAsia"/>
          <w:lang w:val="en-US" w:eastAsia="zh-CN"/>
        </w:rPr>
        <w:t>备件库</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负责对</w:t>
      </w:r>
      <w:r>
        <w:rPr>
          <w:rFonts w:hint="eastAsia"/>
          <w:lang w:val="en-US" w:eastAsia="zh-CN"/>
        </w:rPr>
        <w:t>服务台</w:t>
      </w:r>
      <w:r>
        <w:t>提交的采购计划清单落实采购，确保及时、保质保量提供物资供应。</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6443"/>
      <w:r>
        <w:rPr>
          <w:rFonts w:hint="eastAsia"/>
          <w:lang w:val="en-US" w:eastAsia="zh-CN"/>
        </w:rPr>
        <w:t>备件库管理员</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负责备品备件的到货确认、送检和入库，并严格按照仓库管理制度要求对物资进行存放和出入库操作。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6556"/>
      <w:r>
        <w:t>备品备件使用部门</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负责提供备品备件的使用计划，并安排备品备件的领用和寄修。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备件库</w:t>
      </w:r>
      <w:r>
        <w:t>对备品备件完好性管理、</w:t>
      </w:r>
      <w:r>
        <w:rPr>
          <w:rFonts w:hint="eastAsia"/>
          <w:lang w:eastAsia="zh-CN"/>
        </w:rPr>
        <w:t>运维部</w:t>
      </w:r>
      <w:r>
        <w:t>对完好性检测的技术支持。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5"/>
      <w:bookmarkStart w:id="15" w:name="_Toc2629"/>
      <w:r>
        <w:t>备品备件的分类和定义</w:t>
      </w:r>
      <w:bookmarkEnd w:id="14"/>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备品备件包含公司运维过程中为产品检修、正常运行维护所提供的外购设备。根据存储地点和用途，将备品备件分为二类：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第一类为常规备货，存储地点在公司仓库；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第二类为合同规定要求现场备货，存储在用户现场。</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6"/>
      <w:bookmarkStart w:id="17" w:name="_Toc20503"/>
      <w:r>
        <w:t>备品备件库的响应级别管理</w:t>
      </w:r>
      <w:bookmarkEnd w:id="16"/>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备品备件响应按照发生的故障级别及跟客户的合同来进行分级别响应。</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7"/>
      <w:bookmarkStart w:id="19" w:name="_Toc11775"/>
      <w:r>
        <w:t>故障级别判定原则</w:t>
      </w:r>
      <w:bookmarkEnd w:id="18"/>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一级(重大)故障：因核心系统设备或服务端软件系统瘫痪，造成关键业务或整个业务系统功能丧失性故障（如：数据库瘫痪、核心服务程序故障、整个系统无数据等）。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二级(严重)故障：因主要系统设备或服务端软件系统故障，造成部分关键业务或整个业务系统功能间歇性不可用或数据丢失（如无法产生预警、中心部分无数据采集、终端无法登陆等）。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三级(一般)故障：辅助系统在运行过程中发生的不影响主要业务系统使用或间接性故障（如：个别站点无数据上报、终端软件偶尔报错等）。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8"/>
      <w:bookmarkStart w:id="21" w:name="_Toc162"/>
      <w:r>
        <w:t>响应级别定义</w:t>
      </w:r>
      <w:bookmarkEnd w:id="20"/>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一级备件响应：24 小时响应维护现场对备品备件的需求，及时向维护单位寄送备件，备件寄送一般不超过4 小时，发生重大故障时备件送达现场时间不超过12 小时（不含跨省异地调拨时间）。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二级备件响应：24 小时响应维护现场对备品备件的需求，及时向维护单位寄送备件，备件寄送一般不超过8 小时，发生重大故障时备件送达现场时间不超过24 小时（不含跨省异地调拨时间）。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三级备件响应：24 小时响应维护现场对备品备件的需求，及时向维护单位寄送备件，备件寄送一般不超过24 小时，发生重大故障时备件送达现场时间不超过48 小时（不含跨省异地调拨时间）。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对在本地有项目现场备件</w:t>
      </w:r>
      <w:r>
        <w:rPr>
          <w:rFonts w:hint="eastAsia"/>
          <w:lang w:eastAsia="zh-CN"/>
        </w:rPr>
        <w:t>备件库</w:t>
      </w:r>
      <w:r>
        <w:t>的项目，24 小时响应维护现场对备件的需求。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9"/>
      <w:bookmarkStart w:id="23" w:name="_Toc5205"/>
      <w:r>
        <w:t>备品备件</w:t>
      </w:r>
      <w:bookmarkStart w:id="24" w:name="_GoBack"/>
      <w:bookmarkEnd w:id="24"/>
      <w:r>
        <w:t>规则</w:t>
      </w:r>
      <w:bookmarkEnd w:id="22"/>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w:t>
      </w:r>
      <w:r>
        <w:t>根据上一年度公司的运维服务情况，统计出全年各备品备件的使用量，并提交</w:t>
      </w:r>
      <w:r>
        <w:rPr>
          <w:rFonts w:hint="eastAsia"/>
          <w:lang w:eastAsia="zh-CN"/>
        </w:rPr>
        <w:t>运维部</w:t>
      </w:r>
      <w:r>
        <w:t>经理，由</w:t>
      </w:r>
      <w:r>
        <w:rPr>
          <w:rFonts w:hint="eastAsia"/>
          <w:lang w:eastAsia="zh-CN"/>
        </w:rPr>
        <w:t>运维部</w:t>
      </w:r>
      <w:r>
        <w:t>经理来制定整个年度备货计划。</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0"/>
      <w:bookmarkStart w:id="26" w:name="_Toc1114"/>
      <w:r>
        <w:t>备品备件备货出入库流程</w:t>
      </w:r>
      <w:bookmarkEnd w:id="25"/>
      <w:bookmarkEnd w:id="2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1"/>
      <w:bookmarkStart w:id="28" w:name="_Toc2333"/>
      <w:r>
        <w:t>入库流程</w:t>
      </w:r>
      <w:bookmarkEnd w:id="27"/>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备品备件入库需经过以下环节，涉及岗位及流程如下：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w:t>
      </w:r>
      <w:r>
        <w:rPr>
          <w:rFonts w:hint="eastAsia"/>
          <w:lang w:val="en-US" w:eastAsia="zh-CN"/>
        </w:rPr>
        <w:t>经理</w:t>
      </w:r>
      <w:r>
        <w:t>发起采购需求→</w:t>
      </w:r>
      <w:r>
        <w:rPr>
          <w:rFonts w:hint="eastAsia"/>
          <w:lang w:val="en-US" w:eastAsia="zh-CN"/>
        </w:rPr>
        <w:t>运维部</w:t>
      </w:r>
      <w:r>
        <w:t>经理审核→</w:t>
      </w:r>
      <w:r>
        <w:rPr>
          <w:rFonts w:hint="eastAsia"/>
          <w:lang w:val="en-US" w:eastAsia="zh-CN"/>
        </w:rPr>
        <w:t>人力资源部</w:t>
      </w:r>
      <w:r>
        <w:t>经理审核→分管副总审批 →</w:t>
      </w:r>
      <w:r>
        <w:rPr>
          <w:rFonts w:hint="eastAsia"/>
          <w:lang w:val="en-US" w:eastAsia="zh-CN"/>
        </w:rPr>
        <w:t>采购部</w:t>
      </w:r>
      <w:r>
        <w:t>落实采购→备件库</w:t>
      </w:r>
      <w:r>
        <w:rPr>
          <w:rFonts w:hint="eastAsia"/>
          <w:lang w:val="en-US" w:eastAsia="zh-CN"/>
        </w:rPr>
        <w:t>管理员</w:t>
      </w:r>
      <w:r>
        <w:t>进行到货确认、送检及入库登记。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2"/>
      <w:bookmarkStart w:id="30" w:name="_Toc14801"/>
      <w:r>
        <w:t>出库流程</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备品备件出库需经过以下环节，涉及岗位及流程如下：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领用人提交《领料单》→</w:t>
      </w:r>
      <w:r>
        <w:rPr>
          <w:rFonts w:hint="eastAsia"/>
          <w:lang w:val="en-US" w:eastAsia="zh-CN"/>
        </w:rPr>
        <w:t>运维部</w:t>
      </w:r>
      <w:r>
        <w:t>经理审批→</w:t>
      </w:r>
      <w:r>
        <w:rPr>
          <w:rFonts w:hint="eastAsia"/>
          <w:lang w:eastAsia="zh-CN"/>
        </w:rPr>
        <w:t>备件库</w:t>
      </w:r>
      <w:r>
        <w:t>审核→备件库管理员核对物资并办理出库→ 领用人确认领用 → 流程结束。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3"/>
      <w:bookmarkStart w:id="32" w:name="_Toc29291"/>
      <w:r>
        <w:t>出入库管理及注意事项</w:t>
      </w:r>
      <w:bookmarkEnd w:id="31"/>
      <w:bookmarkEnd w:id="3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4"/>
      <w:bookmarkStart w:id="34" w:name="_Toc4461"/>
      <w:r>
        <w:t>备品备件的入库检验</w:t>
      </w:r>
      <w:bookmarkEnd w:id="33"/>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对于原材料备品备件，由</w:t>
      </w:r>
      <w:r>
        <w:rPr>
          <w:rFonts w:hint="eastAsia"/>
          <w:lang w:val="en-US" w:eastAsia="zh-CN"/>
        </w:rPr>
        <w:t>备件库管理员</w:t>
      </w:r>
      <w:r>
        <w:t>进行进货检验。检验合格后开具《入库单》办理入库。</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5"/>
      <w:bookmarkStart w:id="36" w:name="_Toc7977"/>
      <w:r>
        <w:t>备品备件的出库</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领料人须凭《领料单》从</w:t>
      </w:r>
      <w:r>
        <w:rPr>
          <w:rFonts w:hint="eastAsia"/>
          <w:lang w:eastAsia="zh-CN"/>
        </w:rPr>
        <w:t>备件库</w:t>
      </w:r>
      <w:r>
        <w:t>领用物资。在《领料单》中应明确填写项目名称、领用物资的品牌、规格、型号、数量，经领料人、部门负责人和</w:t>
      </w:r>
      <w:r>
        <w:rPr>
          <w:rFonts w:hint="eastAsia"/>
          <w:lang w:eastAsia="zh-CN"/>
        </w:rPr>
        <w:t>备件库</w:t>
      </w:r>
      <w:r>
        <w:t>签字方为有效。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出货前，需仔细核对领料单和待发物品，无误后予以领用出库。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领用物品如自生产日期起已超过6个月未出库的，由领用人领用后提交</w:t>
      </w:r>
      <w:r>
        <w:rPr>
          <w:rFonts w:hint="eastAsia"/>
          <w:lang w:eastAsia="zh-CN"/>
        </w:rPr>
        <w:t>服务台</w:t>
      </w:r>
      <w:r>
        <w:t>进行检验，确保无问题后向客户发出。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16"/>
      <w:bookmarkStart w:id="38" w:name="_Toc9760"/>
      <w:r>
        <w:t>备品备件的保管、定期检测</w:t>
      </w:r>
      <w:bookmarkEnd w:id="37"/>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存放备品备件的仓库内必须合理划分仓位，明确不同种类物资处于各自的区域。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物资入库后须编号、登帐、填卡、存入定点仓位。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物资贮存时要求堆放整齐、标识清楚、查找方便。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贮存记录要准确完整，保证帐、卡、物相一致；每月定期自查并汇总《备品备件库存月报》提交财务部进行复核。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需定期检测备品备件的完好情况，具体要求如下：</w:t>
      </w:r>
      <w:r>
        <w:br/>
      </w:r>
      <w:r>
        <w:t>检测频次：常用备件按照时间顺序，一般满六个月的，检测一次，确认设备可用性。</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检测比例：入库产品采取每2 件抽取1 件的抽检比例。</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检测方式：通过备机或者测试机进行检测。针对重要备件（比如存储电源），在更换前会先在备件或者测试机上测试，确认正常后再投入生产机更换。</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后续处理：对备品备件进行盘点、性能检测后，如发现库存备品备件出现故障，应及时对坏损的备品备件进行返修，并及时增补备品备件。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备品备件应按照响应方式和级别定义、备品备件的数量和类型、类别与编码，进行分类存放。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备件库</w:t>
      </w:r>
      <w:r>
        <w:t>专员对备品备件的管理，需加强检查跟踪，确保物资状态清晰。</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17"/>
      <w:bookmarkStart w:id="40" w:name="_Toc28520"/>
      <w:r>
        <w:t>备品备件的返修</w:t>
      </w:r>
      <w:bookmarkEnd w:id="39"/>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对顾客或现场实施人员退回来的零部件或成品，由寄修人员填写《设备返修单》提交</w:t>
      </w:r>
      <w:r>
        <w:rPr>
          <w:rFonts w:hint="eastAsia"/>
          <w:lang w:eastAsia="zh-CN"/>
        </w:rPr>
        <w:t>备件库</w:t>
      </w:r>
      <w:r>
        <w:t>进行询价、核价，经部门经理、分管副总审批同意后由</w:t>
      </w:r>
      <w:r>
        <w:rPr>
          <w:rFonts w:hint="eastAsia"/>
          <w:lang w:eastAsia="zh-CN"/>
        </w:rPr>
        <w:t>备件库</w:t>
      </w:r>
      <w:r>
        <w:t>联系供应商作检修处理。检修完毕后通知寄修人进行维修备件的领用。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备品备件返修流程涉及岗位：</w:t>
      </w:r>
      <w:r>
        <w:rPr>
          <w:rFonts w:hint="eastAsia"/>
          <w:lang w:eastAsia="zh-CN"/>
        </w:rPr>
        <w:t>备件库</w:t>
      </w:r>
      <w:r>
        <w:t xml:space="preserve"> → </w:t>
      </w:r>
      <w:r>
        <w:rPr>
          <w:rFonts w:hint="eastAsia"/>
          <w:lang w:eastAsia="zh-CN"/>
        </w:rPr>
        <w:t>运维部经理</w:t>
      </w:r>
      <w:r>
        <w:t xml:space="preserve"> → 分管副总 → </w:t>
      </w:r>
      <w:r>
        <w:rPr>
          <w:rFonts w:hint="eastAsia"/>
          <w:lang w:eastAsia="zh-CN"/>
        </w:rPr>
        <w:t>服务台</w:t>
      </w:r>
      <w:r>
        <w:t>。各岗位需按照职责分工推进返修工作，确保返修流程高效闭环。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heading_18"/>
      <w:bookmarkStart w:id="42" w:name="_Toc27899"/>
      <w:r>
        <w:t>注意事项</w:t>
      </w:r>
      <w:bookmarkEnd w:id="41"/>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备件库</w:t>
      </w:r>
      <w:r>
        <w:t>属设备重地，应严加管理，注意防潮、防尘、防火、防盗、防鼠等安全问题；备品备件库钥匙由库管员专人管理，不得外借。</w:t>
      </w:r>
      <w:r>
        <w:rPr>
          <w:rFonts w:hint="eastAsia"/>
          <w:lang w:eastAsia="zh-CN"/>
        </w:rPr>
        <w:t>备件库</w:t>
      </w:r>
      <w:r>
        <w:t>钥匙须妥善保管，如有丢失、损坏须立即向</w:t>
      </w:r>
      <w:r>
        <w:rPr>
          <w:rFonts w:hint="eastAsia"/>
          <w:lang w:eastAsia="zh-CN"/>
        </w:rPr>
        <w:t>服务台</w:t>
      </w:r>
      <w:r>
        <w:t>主管报告，及时采取补救措施。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heading_19"/>
      <w:bookmarkStart w:id="44" w:name="_Toc19503"/>
      <w:r>
        <w:t>备品备件的报废</w:t>
      </w:r>
      <w:bookmarkEnd w:id="43"/>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当产品修理后无法修复或不具备使用价值时，作报废处理。由</w:t>
      </w:r>
      <w:r>
        <w:rPr>
          <w:rFonts w:hint="eastAsia"/>
          <w:lang w:eastAsia="zh-CN"/>
        </w:rPr>
        <w:t>备件库</w:t>
      </w:r>
      <w:r>
        <w:t>填写《产品报废申请表》，经相关领导审批后，按照公司规定流程做报废处理。报废处理需确保合规性，做好相关记录存档。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0"/>
      <w:bookmarkStart w:id="46" w:name="_Toc14906"/>
      <w:r>
        <w:t>KPI指标</w:t>
      </w:r>
      <w:bookmarkEnd w:id="45"/>
      <w:bookmarkEnd w:id="46"/>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2070"/>
        <w:gridCol w:w="2070"/>
        <w:gridCol w:w="2070"/>
        <w:gridCol w:w="207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207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指标名称</w:t>
            </w:r>
          </w:p>
        </w:tc>
        <w:tc>
          <w:tcPr>
            <w:tcW w:w="207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计算公式</w:t>
            </w:r>
          </w:p>
        </w:tc>
        <w:tc>
          <w:tcPr>
            <w:tcW w:w="207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考核要求</w:t>
            </w:r>
          </w:p>
        </w:tc>
        <w:tc>
          <w:tcPr>
            <w:tcW w:w="207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考核周期</w:t>
            </w:r>
          </w:p>
        </w:tc>
      </w:tr>
      <w:tr>
        <w:tblPrEx>
          <w:tblW w:w="0" w:type="auto"/>
          <w:tblInd w:w="0" w:type="dxa"/>
          <w:tblLayout w:type="fixed"/>
          <w:tblCellMar>
            <w:top w:w="0" w:type="dxa"/>
            <w:left w:w="10" w:type="dxa"/>
            <w:bottom w:w="0" w:type="dxa"/>
            <w:right w:w="10" w:type="dxa"/>
          </w:tblCellMar>
        </w:tblPrEx>
        <w:tc>
          <w:tcPr>
            <w:tcW w:w="2070" w:type="dxa"/>
            <w:shd w:val="clear" w:color="auto" w:fill="auto"/>
            <w:tcMar>
              <w:top w:w="60" w:type="dxa"/>
              <w:left w:w="120" w:type="dxa"/>
              <w:bottom w:w="30" w:type="dxa"/>
              <w:right w:w="120" w:type="dxa"/>
            </w:tcMar>
          </w:tcPr>
          <w:p>
            <w:pPr>
              <w:pStyle w:val="TableText"/>
              <w:spacing w:before="234" w:line="218" w:lineRule="auto"/>
              <w:ind w:left="375" w:leftChars="0"/>
              <w:rPr>
                <w:rFonts w:ascii="宋体" w:eastAsia="宋体" w:hAnsi="宋体" w:cs="宋体"/>
                <w:snapToGrid w:val="0"/>
                <w:color w:val="000000"/>
                <w:kern w:val="0"/>
                <w:sz w:val="24"/>
                <w:szCs w:val="24"/>
                <w:lang w:val="en-US" w:eastAsia="en-US" w:bidi="ar-SA"/>
              </w:rPr>
            </w:pPr>
            <w:r>
              <w:rPr>
                <w:spacing w:val="-3"/>
                <w:sz w:val="24"/>
                <w:szCs w:val="24"/>
              </w:rPr>
              <w:t>备件可用率</w:t>
            </w:r>
          </w:p>
        </w:tc>
        <w:tc>
          <w:tcPr>
            <w:tcW w:w="2070" w:type="dxa"/>
            <w:shd w:val="clear" w:color="auto" w:fill="auto"/>
            <w:tcMar>
              <w:top w:w="60" w:type="dxa"/>
              <w:left w:w="120" w:type="dxa"/>
              <w:bottom w:w="30" w:type="dxa"/>
              <w:right w:w="120" w:type="dxa"/>
            </w:tcMar>
          </w:tcPr>
          <w:p>
            <w:pPr>
              <w:pStyle w:val="TableText"/>
              <w:spacing w:before="78" w:line="238" w:lineRule="auto"/>
              <w:ind w:left="128" w:right="113" w:hanging="8" w:leftChars="0" w:rightChars="0" w:firstLineChars="0"/>
              <w:rPr>
                <w:rFonts w:ascii="宋体" w:eastAsia="宋体" w:hAnsi="宋体" w:cs="宋体"/>
                <w:snapToGrid w:val="0"/>
                <w:color w:val="000000"/>
                <w:kern w:val="0"/>
                <w:sz w:val="24"/>
                <w:szCs w:val="24"/>
                <w:lang w:val="en-US" w:eastAsia="en-US" w:bidi="ar-SA"/>
              </w:rPr>
            </w:pPr>
            <w:r>
              <w:rPr>
                <w:spacing w:val="-4"/>
                <w:sz w:val="24"/>
                <w:szCs w:val="24"/>
              </w:rPr>
              <w:t>备品备件出库合格数/备品备件出库总数</w:t>
            </w:r>
            <w:r>
              <w:rPr>
                <w:spacing w:val="58"/>
                <w:sz w:val="24"/>
                <w:szCs w:val="24"/>
              </w:rPr>
              <w:t xml:space="preserve"> </w:t>
            </w:r>
            <w:r>
              <w:rPr>
                <w:spacing w:val="-4"/>
                <w:sz w:val="24"/>
                <w:szCs w:val="24"/>
              </w:rPr>
              <w:t>×</w:t>
            </w:r>
            <w:r>
              <w:rPr>
                <w:sz w:val="24"/>
                <w:szCs w:val="24"/>
              </w:rPr>
              <w:t xml:space="preserve"> </w:t>
            </w:r>
            <w:r>
              <w:rPr>
                <w:spacing w:val="-7"/>
                <w:sz w:val="24"/>
                <w:szCs w:val="24"/>
              </w:rPr>
              <w:t>100</w:t>
            </w:r>
            <w:r>
              <w:rPr>
                <w:spacing w:val="2"/>
                <w:sz w:val="24"/>
                <w:szCs w:val="24"/>
              </w:rPr>
              <w:t xml:space="preserve"> </w:t>
            </w:r>
            <w:r>
              <w:rPr>
                <w:spacing w:val="-7"/>
                <w:sz w:val="24"/>
                <w:szCs w:val="24"/>
              </w:rPr>
              <w:t>%</w:t>
            </w:r>
          </w:p>
        </w:tc>
        <w:tc>
          <w:tcPr>
            <w:tcW w:w="2070" w:type="dxa"/>
            <w:shd w:val="clear" w:color="auto" w:fill="auto"/>
            <w:tcMar>
              <w:top w:w="60" w:type="dxa"/>
              <w:left w:w="120" w:type="dxa"/>
              <w:bottom w:w="30" w:type="dxa"/>
              <w:right w:w="120" w:type="dxa"/>
            </w:tcMar>
          </w:tcPr>
          <w:p>
            <w:pPr>
              <w:pStyle w:val="TableText"/>
              <w:spacing w:before="233" w:line="237" w:lineRule="auto"/>
              <w:ind w:left="168" w:leftChars="0"/>
              <w:rPr>
                <w:rFonts w:ascii="宋体" w:eastAsia="宋体" w:hAnsi="宋体" w:cs="宋体"/>
                <w:snapToGrid w:val="0"/>
                <w:color w:val="000000"/>
                <w:kern w:val="0"/>
                <w:sz w:val="24"/>
                <w:szCs w:val="24"/>
                <w:lang w:val="en-US" w:eastAsia="en-US" w:bidi="ar-SA"/>
              </w:rPr>
            </w:pPr>
            <w:r>
              <w:rPr>
                <w:spacing w:val="-9"/>
                <w:sz w:val="24"/>
                <w:szCs w:val="24"/>
              </w:rPr>
              <w:t>≥95%</w:t>
            </w:r>
          </w:p>
        </w:tc>
        <w:tc>
          <w:tcPr>
            <w:tcW w:w="2070" w:type="dxa"/>
            <w:shd w:val="clear" w:color="auto" w:fill="auto"/>
            <w:tcMar>
              <w:top w:w="60" w:type="dxa"/>
              <w:left w:w="120" w:type="dxa"/>
              <w:bottom w:w="30" w:type="dxa"/>
              <w:right w:w="120" w:type="dxa"/>
            </w:tcMar>
          </w:tcPr>
          <w:p>
            <w:pPr>
              <w:pStyle w:val="TableText"/>
              <w:spacing w:before="233" w:line="219" w:lineRule="auto"/>
              <w:ind w:left="161" w:leftChars="0"/>
              <w:rPr>
                <w:rFonts w:ascii="宋体" w:eastAsia="宋体" w:hAnsi="宋体" w:cs="宋体"/>
                <w:snapToGrid w:val="0"/>
                <w:color w:val="000000"/>
                <w:kern w:val="0"/>
                <w:sz w:val="24"/>
                <w:szCs w:val="24"/>
                <w:lang w:val="en-US" w:eastAsia="en-US" w:bidi="ar-SA"/>
              </w:rPr>
            </w:pPr>
            <w:r>
              <w:rPr>
                <w:spacing w:val="-5"/>
                <w:sz w:val="24"/>
                <w:szCs w:val="24"/>
              </w:rPr>
              <w:t>季度</w:t>
            </w:r>
          </w:p>
        </w:tc>
      </w:tr>
    </w:tbl>
    <w:p>
      <w:pPr>
        <w:pStyle w:val="1"/>
        <w:bidi w:val="0"/>
      </w:pPr>
      <w:bookmarkStart w:id="47" w:name="heading_21"/>
      <w:bookmarkStart w:id="48" w:name="_Toc21207"/>
      <w:r>
        <w:t>相关记录</w:t>
      </w:r>
      <w:bookmarkEnd w:id="47"/>
      <w:bookmarkEnd w:id="4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《入库单》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《领料单》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《备品备件库存月报》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《备品备件检测记录》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《设备返修单》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《产品报废申请表》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9</Pages>
  <Words>2441</Words>
  <Characters>2522</Characters>
  <Application>Microsoft Office Word</Application>
  <DocSecurity>0</DocSecurity>
  <Lines>0</Lines>
  <Paragraphs>0</Paragraphs>
  <ScaleCrop>false</ScaleCrop>
  <Company/>
  <LinksUpToDate>false</LinksUpToDate>
  <CharactersWithSpaces>2547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2025-12-14T14:19:04Z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