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bookmarkStart w:id="0" w:name="_Toc30836"/>
      <w:r>
        <w:rPr>
          <w:rFonts w:hint="eastAsia"/>
          <w:lang w:val="en-US" w:eastAsia="zh-CN"/>
        </w:rPr>
        <w:t>天津市华夏电缆有限公司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default"/>
          <w:lang w:val="en-US" w:eastAsia="zh-CN"/>
        </w:rPr>
      </w:pPr>
      <w:bookmarkStart w:id="1" w:name="_Toc3700"/>
      <w:r>
        <w:rPr>
          <w:rFonts w:hint="eastAsia"/>
          <w:lang w:val="en-US" w:eastAsia="zh-CN"/>
        </w:rPr>
        <w:t>服务知识管理制度</w:t>
      </w:r>
      <w:bookmarkEnd w:id="1"/>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bookmarkStart w:id="2" w:name="_Toc22750"/>
      <w:r>
        <w:rPr>
          <w:rFonts w:hint="eastAsia"/>
          <w:lang w:val="en-US" w:eastAsia="zh-CN"/>
        </w:rPr>
        <w:t>（HXDL-ITSS-0804）</w:t>
      </w:r>
      <w:bookmarkEnd w:id="2"/>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赵川华</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bookmarkStart w:id="3" w:name="_Toc3088"/>
      <w:r>
        <w:rPr>
          <w:rFonts w:ascii="宋体" w:eastAsia="宋体" w:hAnsi="宋体" w:cs="宋体"/>
          <w:b/>
          <w:bCs/>
          <w:spacing w:val="-4"/>
          <w:sz w:val="30"/>
          <w:szCs w:val="30"/>
        </w:rPr>
        <w:t>文件编制和变更履历</w:t>
      </w:r>
      <w:bookmarkEnd w:id="3"/>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eastAsia="宋体" w:hAnsi="宋体" w:cs="Arial"/>
          <w:snapToGrid w:val="0"/>
          <w:color w:val="000000"/>
          <w:kern w:val="0"/>
          <w:sz w:val="21"/>
          <w:szCs w:val="21"/>
          <w:lang w:val="en-US" w:eastAsia="en-US" w:bidi="ar-SA"/>
        </w:rPr>
        <w:id w:val="147464798"/>
        <w:docPartObj>
          <w:docPartGallery w:val="Table of Contents"/>
          <w:docPartUnique/>
        </w:docPartObj>
      </w:sdtPr>
      <w:sdtContent>
        <w:p>
          <w:pPr>
            <w:spacing w:before="0" w:beforeLines="0" w:after="0" w:afterLines="0" w:line="240" w:lineRule="auto"/>
            <w:ind w:left="0" w:right="0" w:firstLine="0" w:leftChars="0" w:rightChars="0" w:firstLineChars="0"/>
            <w:jc w:val="center"/>
          </w:pPr>
          <w:bookmarkStart w:id="4" w:name="heading_2"/>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_Toc30836 </w:instrText>
          </w:r>
          <w:r>
            <w:fldChar w:fldCharType="separate"/>
          </w:r>
          <w:r>
            <w:rPr>
              <w:rFonts w:hint="eastAsia"/>
              <w:lang w:val="en-US" w:eastAsia="zh-CN"/>
            </w:rPr>
            <w:t>天津市华夏电缆有限公司</w:t>
          </w:r>
          <w:r>
            <w:tab/>
          </w:r>
          <w:r>
            <w:fldChar w:fldCharType="begin"/>
          </w:r>
          <w:r>
            <w:instrText xml:space="preserve"> PAGEREF _Toc30836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_Toc3700 </w:instrText>
          </w:r>
          <w:r>
            <w:fldChar w:fldCharType="separate"/>
          </w:r>
          <w:r>
            <w:rPr>
              <w:rFonts w:hint="eastAsia"/>
              <w:lang w:val="en-US" w:eastAsia="zh-CN"/>
            </w:rPr>
            <w:t>服务知识管理制度</w:t>
          </w:r>
          <w:r>
            <w:tab/>
          </w:r>
          <w:r>
            <w:fldChar w:fldCharType="begin"/>
          </w:r>
          <w:r>
            <w:instrText xml:space="preserve"> PAGEREF _Toc3700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_Toc22750 </w:instrText>
          </w:r>
          <w:r>
            <w:fldChar w:fldCharType="separate"/>
          </w:r>
          <w:r>
            <w:rPr>
              <w:rFonts w:hint="eastAsia"/>
              <w:lang w:val="en-US" w:eastAsia="zh-CN"/>
            </w:rPr>
            <w:t>（HXDL-ITSS-0804）</w:t>
          </w:r>
          <w:r>
            <w:tab/>
          </w:r>
          <w:r>
            <w:fldChar w:fldCharType="begin"/>
          </w:r>
          <w:r>
            <w:instrText xml:space="preserve"> PAGEREF _Toc22750 \h </w:instrText>
          </w:r>
          <w:r>
            <w:fldChar w:fldCharType="separate"/>
          </w:r>
          <w:r>
            <w:t>1</w:t>
          </w:r>
          <w:r>
            <w:fldChar w:fldCharType="end"/>
          </w:r>
          <w:r>
            <w:fldChar w:fldCharType="end"/>
          </w:r>
        </w:p>
        <w:p>
          <w:pPr>
            <w:pStyle w:val="TOC1"/>
            <w:tabs>
              <w:tab w:val="right" w:leader="dot" w:pos="8306"/>
            </w:tabs>
          </w:pPr>
          <w:r>
            <w:fldChar w:fldCharType="begin"/>
          </w:r>
          <w:r>
            <w:instrText xml:space="preserve"> HYPERLINK \l _Toc3088 </w:instrText>
          </w:r>
          <w:r>
            <w:fldChar w:fldCharType="separate"/>
          </w:r>
          <w:r>
            <w:rPr>
              <w:rFonts w:ascii="宋体" w:eastAsia="宋体" w:hAnsi="宋体" w:cs="宋体"/>
              <w:bCs/>
              <w:spacing w:val="-4"/>
              <w:szCs w:val="30"/>
            </w:rPr>
            <w:t>文件编制和变更履历</w:t>
          </w:r>
          <w:r>
            <w:tab/>
          </w:r>
          <w:r>
            <w:fldChar w:fldCharType="begin"/>
          </w:r>
          <w:r>
            <w:instrText xml:space="preserve"> PAGEREF _Toc3088 \h </w:instrText>
          </w:r>
          <w:r>
            <w:fldChar w:fldCharType="separate"/>
          </w:r>
          <w:r>
            <w:t>2</w:t>
          </w:r>
          <w:r>
            <w:fldChar w:fldCharType="end"/>
          </w:r>
          <w:r>
            <w:fldChar w:fldCharType="end"/>
          </w:r>
        </w:p>
        <w:p>
          <w:pPr>
            <w:pStyle w:val="TOC1"/>
            <w:tabs>
              <w:tab w:val="right" w:leader="dot" w:pos="8306"/>
            </w:tabs>
          </w:pPr>
          <w:r>
            <w:fldChar w:fldCharType="begin"/>
          </w:r>
          <w:r>
            <w:instrText xml:space="preserve"> HYPERLINK \l _Toc21526 </w:instrText>
          </w:r>
          <w:r>
            <w:fldChar w:fldCharType="separate"/>
          </w:r>
          <w:r>
            <w:rPr>
              <w:rFonts w:hint="default"/>
            </w:rPr>
            <w:t xml:space="preserve">1. </w:t>
          </w:r>
          <w:r>
            <w:t>目的</w:t>
          </w:r>
          <w:r>
            <w:tab/>
          </w:r>
          <w:r>
            <w:fldChar w:fldCharType="begin"/>
          </w:r>
          <w:r>
            <w:instrText xml:space="preserve"> PAGEREF _Toc21526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_Toc19553 </w:instrText>
          </w:r>
          <w:r>
            <w:fldChar w:fldCharType="separate"/>
          </w:r>
          <w:r>
            <w:rPr>
              <w:rFonts w:hint="default"/>
            </w:rPr>
            <w:t xml:space="preserve">2. </w:t>
          </w:r>
          <w:r>
            <w:t>适用范围</w:t>
          </w:r>
          <w:r>
            <w:tab/>
          </w:r>
          <w:r>
            <w:fldChar w:fldCharType="begin"/>
          </w:r>
          <w:r>
            <w:instrText xml:space="preserve"> PAGEREF _Toc19553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_Toc21210 </w:instrText>
          </w:r>
          <w:r>
            <w:fldChar w:fldCharType="separate"/>
          </w:r>
          <w:r>
            <w:rPr>
              <w:rFonts w:hint="default"/>
            </w:rPr>
            <w:t xml:space="preserve">3. </w:t>
          </w:r>
          <w:r>
            <w:t>角色和职责</w:t>
          </w:r>
          <w:r>
            <w:tab/>
          </w:r>
          <w:r>
            <w:fldChar w:fldCharType="begin"/>
          </w:r>
          <w:r>
            <w:instrText xml:space="preserve"> PAGEREF _Toc21210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_Toc4118 </w:instrText>
          </w:r>
          <w:r>
            <w:fldChar w:fldCharType="separate"/>
          </w:r>
          <w:r>
            <w:rPr>
              <w:rFonts w:hint="default"/>
            </w:rPr>
            <w:t xml:space="preserve">4. </w:t>
          </w:r>
          <w:r>
            <w:rPr>
              <w:rFonts w:hint="eastAsia"/>
              <w:lang w:eastAsia="zh-CN"/>
            </w:rPr>
            <w:t>服务知识</w:t>
          </w:r>
          <w:r>
            <w:t>的管理</w:t>
          </w:r>
          <w:r>
            <w:tab/>
          </w:r>
          <w:r>
            <w:fldChar w:fldCharType="begin"/>
          </w:r>
          <w:r>
            <w:instrText xml:space="preserve"> PAGEREF _Toc4118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_Toc19032 </w:instrText>
          </w:r>
          <w:r>
            <w:fldChar w:fldCharType="separate"/>
          </w:r>
          <w:r>
            <w:rPr>
              <w:rFonts w:hint="default"/>
            </w:rPr>
            <w:t xml:space="preserve">4.1. </w:t>
          </w:r>
          <w:r>
            <w:rPr>
              <w:rFonts w:hint="eastAsia"/>
              <w:lang w:eastAsia="zh-CN"/>
            </w:rPr>
            <w:t>服务知识</w:t>
          </w:r>
          <w:r>
            <w:t>管理的内容</w:t>
          </w:r>
          <w:r>
            <w:tab/>
          </w:r>
          <w:r>
            <w:fldChar w:fldCharType="begin"/>
          </w:r>
          <w:r>
            <w:instrText xml:space="preserve"> PAGEREF _Toc19032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_Toc23006 </w:instrText>
          </w:r>
          <w:r>
            <w:fldChar w:fldCharType="separate"/>
          </w:r>
          <w:r>
            <w:rPr>
              <w:rFonts w:hint="default"/>
            </w:rPr>
            <w:t xml:space="preserve">4.1.1. </w:t>
          </w:r>
          <w:r>
            <w:t>知识的来源</w:t>
          </w:r>
          <w:r>
            <w:tab/>
          </w:r>
          <w:r>
            <w:fldChar w:fldCharType="begin"/>
          </w:r>
          <w:r>
            <w:instrText xml:space="preserve"> PAGEREF _Toc23006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_Toc29662 </w:instrText>
          </w:r>
          <w:r>
            <w:fldChar w:fldCharType="separate"/>
          </w:r>
          <w:r>
            <w:rPr>
              <w:rFonts w:hint="default"/>
            </w:rPr>
            <w:t xml:space="preserve">4.1.2. </w:t>
          </w:r>
          <w:r>
            <w:t>知识类别</w:t>
          </w:r>
          <w:r>
            <w:tab/>
          </w:r>
          <w:r>
            <w:fldChar w:fldCharType="begin"/>
          </w:r>
          <w:r>
            <w:instrText xml:space="preserve"> PAGEREF _Toc29662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_Toc472 </w:instrText>
          </w:r>
          <w:r>
            <w:fldChar w:fldCharType="separate"/>
          </w:r>
          <w:r>
            <w:rPr>
              <w:rFonts w:hint="default"/>
            </w:rPr>
            <w:t xml:space="preserve">4.1.3. </w:t>
          </w:r>
          <w:r>
            <w:t>知识分析</w:t>
          </w:r>
          <w:r>
            <w:tab/>
          </w:r>
          <w:r>
            <w:fldChar w:fldCharType="begin"/>
          </w:r>
          <w:r>
            <w:instrText xml:space="preserve"> PAGEREF _Toc472 \h </w:instrText>
          </w:r>
          <w:r>
            <w:fldChar w:fldCharType="separate"/>
          </w:r>
          <w:r>
            <w:t>5</w:t>
          </w:r>
          <w:r>
            <w:fldChar w:fldCharType="end"/>
          </w:r>
          <w:r>
            <w:fldChar w:fldCharType="end"/>
          </w:r>
        </w:p>
        <w:p>
          <w:pPr>
            <w:pStyle w:val="TOC3"/>
            <w:tabs>
              <w:tab w:val="right" w:leader="dot" w:pos="8306"/>
            </w:tabs>
          </w:pPr>
          <w:r>
            <w:fldChar w:fldCharType="begin"/>
          </w:r>
          <w:r>
            <w:instrText xml:space="preserve"> HYPERLINK \l _Toc25322 </w:instrText>
          </w:r>
          <w:r>
            <w:fldChar w:fldCharType="separate"/>
          </w:r>
          <w:r>
            <w:rPr>
              <w:rFonts w:hint="default"/>
            </w:rPr>
            <w:t xml:space="preserve">4.1.4. </w:t>
          </w:r>
          <w:r>
            <w:t>知识审核</w:t>
          </w:r>
          <w:r>
            <w:tab/>
          </w:r>
          <w:r>
            <w:fldChar w:fldCharType="begin"/>
          </w:r>
          <w:r>
            <w:instrText xml:space="preserve"> PAGEREF _Toc25322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_Toc487 </w:instrText>
          </w:r>
          <w:r>
            <w:fldChar w:fldCharType="separate"/>
          </w:r>
          <w:r>
            <w:rPr>
              <w:rFonts w:hint="default"/>
            </w:rPr>
            <w:t xml:space="preserve">4.1.5. </w:t>
          </w:r>
          <w:r>
            <w:t>知识发布</w:t>
          </w:r>
          <w:r>
            <w:tab/>
          </w:r>
          <w:r>
            <w:fldChar w:fldCharType="begin"/>
          </w:r>
          <w:r>
            <w:instrText xml:space="preserve"> PAGEREF _Toc487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_Toc29894 </w:instrText>
          </w:r>
          <w:r>
            <w:fldChar w:fldCharType="separate"/>
          </w:r>
          <w:r>
            <w:rPr>
              <w:rFonts w:hint="default"/>
            </w:rPr>
            <w:t xml:space="preserve">4.2. </w:t>
          </w:r>
          <w:r>
            <w:rPr>
              <w:rFonts w:hint="eastAsia"/>
              <w:lang w:eastAsia="zh-CN"/>
            </w:rPr>
            <w:t>服务知识</w:t>
          </w:r>
          <w:r>
            <w:t>管理流程</w:t>
          </w:r>
          <w:r>
            <w:tab/>
          </w:r>
          <w:r>
            <w:fldChar w:fldCharType="begin"/>
          </w:r>
          <w:r>
            <w:instrText xml:space="preserve"> PAGEREF _Toc29894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_Toc10578 </w:instrText>
          </w:r>
          <w:r>
            <w:fldChar w:fldCharType="separate"/>
          </w:r>
          <w:r>
            <w:rPr>
              <w:rFonts w:hint="default"/>
            </w:rPr>
            <w:t xml:space="preserve">4.3. </w:t>
          </w:r>
          <w:r>
            <w:rPr>
              <w:rFonts w:hint="eastAsia"/>
              <w:lang w:eastAsia="zh-CN"/>
            </w:rPr>
            <w:t>服务知识</w:t>
          </w:r>
          <w:r>
            <w:t>内容推进管理</w:t>
          </w:r>
          <w:r>
            <w:tab/>
          </w:r>
          <w:r>
            <w:fldChar w:fldCharType="begin"/>
          </w:r>
          <w:r>
            <w:instrText xml:space="preserve"> PAGEREF _Toc10578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_Toc11810 </w:instrText>
          </w:r>
          <w:r>
            <w:fldChar w:fldCharType="separate"/>
          </w:r>
          <w:r>
            <w:rPr>
              <w:rFonts w:hint="default"/>
            </w:rPr>
            <w:t xml:space="preserve">4.4. </w:t>
          </w:r>
          <w:r>
            <w:rPr>
              <w:rFonts w:hint="eastAsia"/>
              <w:lang w:eastAsia="zh-CN"/>
            </w:rPr>
            <w:t>服务知识</w:t>
          </w:r>
          <w:r>
            <w:t>安全管理</w:t>
          </w:r>
          <w:r>
            <w:tab/>
          </w:r>
          <w:r>
            <w:fldChar w:fldCharType="begin"/>
          </w:r>
          <w:r>
            <w:instrText xml:space="preserve"> PAGEREF _Toc11810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_Toc6793 </w:instrText>
          </w:r>
          <w:r>
            <w:fldChar w:fldCharType="separate"/>
          </w:r>
          <w:r>
            <w:rPr>
              <w:rFonts w:hint="default"/>
            </w:rPr>
            <w:t xml:space="preserve">4.5. </w:t>
          </w:r>
          <w:r>
            <w:rPr>
              <w:rFonts w:hint="eastAsia"/>
              <w:lang w:eastAsia="zh-CN"/>
            </w:rPr>
            <w:t>服务知识</w:t>
          </w:r>
          <w:r>
            <w:t>绩效管理</w:t>
          </w:r>
          <w:r>
            <w:tab/>
          </w:r>
          <w:r>
            <w:fldChar w:fldCharType="begin"/>
          </w:r>
          <w:r>
            <w:instrText xml:space="preserve"> PAGEREF _Toc6793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_Toc32317 </w:instrText>
          </w:r>
          <w:r>
            <w:fldChar w:fldCharType="separate"/>
          </w:r>
          <w:r>
            <w:rPr>
              <w:rFonts w:hint="default"/>
            </w:rPr>
            <w:t xml:space="preserve">5. </w:t>
          </w:r>
          <w:r>
            <w:rPr>
              <w:rFonts w:hint="eastAsia"/>
              <w:lang w:eastAsia="zh-CN"/>
            </w:rPr>
            <w:t>服务知识</w:t>
          </w:r>
          <w:r>
            <w:t>与其他流程的关系</w:t>
          </w:r>
          <w:r>
            <w:tab/>
          </w:r>
          <w:r>
            <w:fldChar w:fldCharType="begin"/>
          </w:r>
          <w:r>
            <w:instrText xml:space="preserve"> PAGEREF _Toc32317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_Toc19477 </w:instrText>
          </w:r>
          <w:r>
            <w:fldChar w:fldCharType="separate"/>
          </w:r>
          <w:r>
            <w:rPr>
              <w:rFonts w:hint="default"/>
            </w:rPr>
            <w:t xml:space="preserve">5.1. </w:t>
          </w:r>
          <w:r>
            <w:t>与问题管理流程的关系</w:t>
          </w:r>
          <w:r>
            <w:tab/>
          </w:r>
          <w:r>
            <w:fldChar w:fldCharType="begin"/>
          </w:r>
          <w:r>
            <w:instrText xml:space="preserve"> PAGEREF _Toc19477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_Toc23713 </w:instrText>
          </w:r>
          <w:r>
            <w:fldChar w:fldCharType="separate"/>
          </w:r>
          <w:r>
            <w:rPr>
              <w:rFonts w:hint="default"/>
            </w:rPr>
            <w:t xml:space="preserve">5.2. </w:t>
          </w:r>
          <w:r>
            <w:t>与事件管理流程的关系</w:t>
          </w:r>
          <w:r>
            <w:tab/>
          </w:r>
          <w:r>
            <w:fldChar w:fldCharType="begin"/>
          </w:r>
          <w:r>
            <w:instrText xml:space="preserve"> PAGEREF _Toc23713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_Toc19957 </w:instrText>
          </w:r>
          <w:r>
            <w:fldChar w:fldCharType="separate"/>
          </w:r>
          <w:r>
            <w:rPr>
              <w:rFonts w:hint="default"/>
            </w:rPr>
            <w:t xml:space="preserve">5.3. </w:t>
          </w:r>
          <w:r>
            <w:t>与变更/发布管理流程的关系</w:t>
          </w:r>
          <w:r>
            <w:tab/>
          </w:r>
          <w:r>
            <w:fldChar w:fldCharType="begin"/>
          </w:r>
          <w:r>
            <w:instrText xml:space="preserve"> PAGEREF _Toc19957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_Toc7553 </w:instrText>
          </w:r>
          <w:r>
            <w:fldChar w:fldCharType="separate"/>
          </w:r>
          <w:r>
            <w:rPr>
              <w:rFonts w:hint="default"/>
            </w:rPr>
            <w:t xml:space="preserve">5.4. </w:t>
          </w:r>
          <w:r>
            <w:t>与配置管理流程的关系</w:t>
          </w:r>
          <w:r>
            <w:tab/>
          </w:r>
          <w:r>
            <w:fldChar w:fldCharType="begin"/>
          </w:r>
          <w:r>
            <w:instrText xml:space="preserve"> PAGEREF _Toc7553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_Toc24311 </w:instrText>
          </w:r>
          <w:r>
            <w:fldChar w:fldCharType="separate"/>
          </w:r>
          <w:r>
            <w:rPr>
              <w:rFonts w:hint="default"/>
            </w:rPr>
            <w:t xml:space="preserve">6. </w:t>
          </w:r>
          <w:r>
            <w:t>KPI指标</w:t>
          </w:r>
          <w:r>
            <w:tab/>
          </w:r>
          <w:r>
            <w:fldChar w:fldCharType="begin"/>
          </w:r>
          <w:r>
            <w:instrText xml:space="preserve"> PAGEREF _Toc24311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_Toc31284 </w:instrText>
          </w:r>
          <w:r>
            <w:fldChar w:fldCharType="separate"/>
          </w:r>
          <w:r>
            <w:rPr>
              <w:rFonts w:hint="default"/>
            </w:rPr>
            <w:t xml:space="preserve">7. </w:t>
          </w:r>
          <w:r>
            <w:t>相关记录</w:t>
          </w:r>
          <w:r>
            <w:tab/>
          </w:r>
          <w:r>
            <w:fldChar w:fldCharType="begin"/>
          </w:r>
          <w:r>
            <w:instrText xml:space="preserve"> PAGEREF _Toc31284 \h </w:instrText>
          </w:r>
          <w:r>
            <w:fldChar w:fldCharType="separate"/>
          </w:r>
          <w:r>
            <w:t>8</w:t>
          </w:r>
          <w:r>
            <w:fldChar w:fldCharType="end"/>
          </w:r>
          <w:r>
            <w:fldChar w:fldCharType="end"/>
          </w:r>
        </w:p>
        <w:p>
          <w:r>
            <w:fldChar w:fldCharType="end"/>
          </w:r>
        </w:p>
      </w:sdtContent>
    </w:sdt>
    <w:p>
      <w:bookmarkStart w:id="5" w:name="_GoBack"/>
      <w:bookmarkEnd w:id="5"/>
    </w:p>
    <w:p>
      <w: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_Toc21526"/>
      <w:r>
        <w:t>目的</w:t>
      </w:r>
      <w:bookmarkEnd w:id="4"/>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服务</w:t>
      </w:r>
      <w:r>
        <w:t>知识管理是提高运维服务企业竞争力的重要手段，</w:t>
      </w:r>
      <w:r>
        <w:rPr>
          <w:rFonts w:hint="eastAsia"/>
          <w:lang w:eastAsia="zh-CN"/>
        </w:rPr>
        <w:t>服务知识</w:t>
      </w:r>
      <w:r>
        <w:t>作为知识管理的基石，透过获得、创造、分享、整合、记录、存取、更新、创新等过程，形成永不间断智慧循环，成为部门管理与应用的智慧资本。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为规范公司</w:t>
      </w:r>
      <w:r>
        <w:rPr>
          <w:rFonts w:hint="eastAsia"/>
          <w:lang w:eastAsia="zh-CN"/>
        </w:rPr>
        <w:t>服务知识</w:t>
      </w:r>
      <w:r>
        <w:t>管理，鼓励知识创造与传播，提高</w:t>
      </w:r>
      <w:r>
        <w:rPr>
          <w:rFonts w:hint="eastAsia"/>
          <w:lang w:eastAsia="zh-CN"/>
        </w:rPr>
        <w:t>服务知识</w:t>
      </w:r>
      <w:r>
        <w:t>使用效率，确保</w:t>
      </w:r>
      <w:r>
        <w:rPr>
          <w:rFonts w:hint="eastAsia"/>
          <w:lang w:eastAsia="zh-CN"/>
        </w:rPr>
        <w:t>服务知识</w:t>
      </w:r>
      <w:r>
        <w:t>内容的统一性、规范性、权威性，提升相关知识共享水平，规范</w:t>
      </w:r>
      <w:r>
        <w:rPr>
          <w:rFonts w:hint="eastAsia"/>
          <w:lang w:eastAsia="zh-CN"/>
        </w:rPr>
        <w:t>服务知识</w:t>
      </w:r>
      <w:r>
        <w:t>管理流程、明确运维人员在</w:t>
      </w:r>
      <w:r>
        <w:rPr>
          <w:rFonts w:hint="eastAsia"/>
          <w:lang w:eastAsia="zh-CN"/>
        </w:rPr>
        <w:t>服务知识</w:t>
      </w:r>
      <w:r>
        <w:t>流程中的职责，制定本制度。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3"/>
      <w:bookmarkStart w:id="8" w:name="_Toc19553"/>
      <w:r>
        <w:t>适用范围</w:t>
      </w:r>
      <w:bookmarkEnd w:id="7"/>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本制度适用于公司全体人员。</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4"/>
      <w:bookmarkStart w:id="10" w:name="_Toc21210"/>
      <w:r>
        <w:t>角色和职责</w:t>
      </w:r>
      <w:bookmarkEnd w:id="9"/>
      <w:bookmarkEnd w:id="10"/>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757"/>
        <w:gridCol w:w="3265"/>
        <w:gridCol w:w="341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757"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角色</w:t>
            </w:r>
          </w:p>
        </w:tc>
        <w:tc>
          <w:tcPr>
            <w:tcW w:w="326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职责</w:t>
            </w:r>
          </w:p>
        </w:tc>
        <w:tc>
          <w:tcPr>
            <w:tcW w:w="3412"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职责定义</w:t>
            </w:r>
          </w:p>
        </w:tc>
      </w:tr>
      <w:tr>
        <w:tblPrEx>
          <w:tblW w:w="0" w:type="auto"/>
          <w:tblInd w:w="0" w:type="dxa"/>
          <w:tblLayout w:type="fixed"/>
          <w:tblCellMar>
            <w:top w:w="0" w:type="dxa"/>
            <w:left w:w="10" w:type="dxa"/>
            <w:bottom w:w="0" w:type="dxa"/>
            <w:right w:w="10" w:type="dxa"/>
          </w:tblCellMar>
        </w:tblPrEx>
        <w:tc>
          <w:tcPr>
            <w:tcW w:w="1757"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eastAsia="宋体" w:hint="eastAsia"/>
                <w:lang w:eastAsia="zh-CN"/>
              </w:rPr>
            </w:pPr>
            <w:r>
              <w:rPr>
                <w:rFonts w:hint="eastAsia"/>
                <w:lang w:val="en-US" w:eastAsia="zh-CN"/>
              </w:rPr>
              <w:t>服务</w:t>
            </w:r>
            <w:r>
              <w:t>知识</w:t>
            </w:r>
            <w:r>
              <w:rPr>
                <w:rFonts w:hint="eastAsia"/>
                <w:lang w:val="en-US" w:eastAsia="zh-CN"/>
              </w:rPr>
              <w:t>专员</w:t>
            </w:r>
          </w:p>
        </w:tc>
        <w:tc>
          <w:tcPr>
            <w:tcW w:w="326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建立完善的知识管理体系，将知识资源转化为最大的收益，激励员工进行知识积累和共享</w:t>
            </w:r>
          </w:p>
        </w:tc>
        <w:tc>
          <w:tcPr>
            <w:tcW w:w="3412"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积极沟通知识价值以鼓励知识的创建、使用、再使用和分享，建立和造就一个能够促进学习、积累知识和信息共享的环境，使每个人都认识到知识共享的好处；通过识别和利用激励因素来鼓励知识的分享和转移；创造环境、工具和产物以支持知识分享和转移</w:t>
            </w:r>
          </w:p>
        </w:tc>
      </w:tr>
      <w:tr>
        <w:tblPrEx>
          <w:tblW w:w="0" w:type="auto"/>
          <w:tblInd w:w="0" w:type="dxa"/>
          <w:tblLayout w:type="fixed"/>
          <w:tblCellMar>
            <w:top w:w="0" w:type="dxa"/>
            <w:left w:w="10" w:type="dxa"/>
            <w:bottom w:w="0" w:type="dxa"/>
            <w:right w:w="10" w:type="dxa"/>
          </w:tblCellMar>
        </w:tblPrEx>
        <w:tc>
          <w:tcPr>
            <w:tcW w:w="1757"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rFonts w:eastAsia="宋体" w:hint="default"/>
                <w:lang w:val="en-US" w:eastAsia="zh-CN"/>
              </w:rPr>
            </w:pPr>
            <w:r>
              <w:rPr>
                <w:rFonts w:hint="eastAsia"/>
                <w:lang w:val="en-US" w:eastAsia="zh-CN"/>
              </w:rPr>
              <w:t>运维部经理</w:t>
            </w:r>
          </w:p>
        </w:tc>
        <w:tc>
          <w:tcPr>
            <w:tcW w:w="3265"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组织和推动知识管理流程实施和知识审核</w:t>
            </w:r>
          </w:p>
        </w:tc>
        <w:tc>
          <w:tcPr>
            <w:tcW w:w="3412"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pPr>
            <w:r>
              <w:t>组织和推动知识管理流程的实施；对知识管理流程提出改进、优化建议；整理和更新技术资源；对经过知识分析提交的信息进行审核和确认</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5"/>
      <w:bookmarkStart w:id="12" w:name="_Toc4118"/>
      <w:r>
        <w:rPr>
          <w:rFonts w:hint="eastAsia"/>
          <w:lang w:eastAsia="zh-CN"/>
        </w:rPr>
        <w:t>服务知识</w:t>
      </w:r>
      <w:r>
        <w:t>的管理</w:t>
      </w:r>
      <w:bookmarkEnd w:id="11"/>
      <w:bookmarkEnd w:id="1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6"/>
      <w:bookmarkStart w:id="14" w:name="_Toc19032"/>
      <w:r>
        <w:rPr>
          <w:rFonts w:hint="eastAsia"/>
          <w:lang w:eastAsia="zh-CN"/>
        </w:rPr>
        <w:t>服务知识</w:t>
      </w:r>
      <w:r>
        <w:t>管理的内容</w:t>
      </w:r>
      <w:bookmarkEnd w:id="13"/>
      <w:bookmarkEnd w:id="1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7"/>
      <w:bookmarkStart w:id="16" w:name="_Toc23006"/>
      <w:r>
        <w:t>知识的来源</w:t>
      </w:r>
      <w:bookmarkEnd w:id="15"/>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故障处理报告：运维工程师在给用户处理问题时，针对于问题产生的原因做出的分析，以及解决问题时使用的方法或策略、工具等信息。运维工程师处理完问题以后，书写故障报告，经过</w:t>
      </w:r>
      <w:r>
        <w:rPr>
          <w:rFonts w:hint="eastAsia"/>
          <w:lang w:eastAsia="zh-CN"/>
        </w:rPr>
        <w:t>运维部经理</w:t>
      </w:r>
      <w:r>
        <w:t>审核，上传至</w:t>
      </w:r>
      <w:r>
        <w:rPr>
          <w:rFonts w:hint="eastAsia"/>
          <w:lang w:eastAsia="zh-CN"/>
        </w:rPr>
        <w:t>服务知识</w:t>
      </w:r>
      <w:r>
        <w:t>相应的目录。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巡检报告：指运维工程师在巡检的过程中，发现的问题或者隐患，经过分析可能在未来给用户带来问题，这类问题或隐患的表现形式、症状、以及将来可能造成的损失等信息。运维工程师不仅要书写巡检报告并及时跟用户沟通，同时要将此信息完整记录并经</w:t>
      </w:r>
      <w:r>
        <w:rPr>
          <w:rFonts w:hint="eastAsia"/>
          <w:lang w:eastAsia="zh-CN"/>
        </w:rPr>
        <w:t>运维部经理</w:t>
      </w:r>
      <w:r>
        <w:t>审核后，上传至</w:t>
      </w:r>
      <w:r>
        <w:rPr>
          <w:rFonts w:hint="eastAsia"/>
          <w:lang w:eastAsia="zh-CN"/>
        </w:rPr>
        <w:t>服务知识</w:t>
      </w:r>
      <w:r>
        <w:t>相应的目录。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案例：指员工在工作中完成领导下达的任务或某个项目完成后所得到的经验和体会。由该任务的负责人在任务完成后整理成文档并经</w:t>
      </w:r>
      <w:r>
        <w:rPr>
          <w:rFonts w:hint="eastAsia"/>
          <w:lang w:eastAsia="zh-CN"/>
        </w:rPr>
        <w:t>运维部经理</w:t>
      </w:r>
      <w:r>
        <w:t>审核后，按要求上传至</w:t>
      </w:r>
      <w:r>
        <w:rPr>
          <w:rFonts w:hint="eastAsia"/>
          <w:lang w:eastAsia="zh-CN"/>
        </w:rPr>
        <w:t>服务知识</w:t>
      </w:r>
      <w:r>
        <w:t>相应的目录。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工作成果贡献：指工作的阶段性进度报告或结果报告。该工作的负责人要及时将工作报告交</w:t>
      </w:r>
      <w:r>
        <w:rPr>
          <w:rFonts w:hint="eastAsia"/>
          <w:lang w:eastAsia="zh-CN"/>
        </w:rPr>
        <w:t>运维部经理</w:t>
      </w:r>
      <w:r>
        <w:t>审核后上传到</w:t>
      </w:r>
      <w:r>
        <w:rPr>
          <w:rFonts w:hint="eastAsia"/>
          <w:lang w:eastAsia="zh-CN"/>
        </w:rPr>
        <w:t>服务知识</w:t>
      </w:r>
      <w:r>
        <w:t>相应的目录。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服务知识专员</w:t>
      </w:r>
      <w:r>
        <w:t>应充分重视并检查工程师按照上述要求准时完成责任内文档的内容上传。现阶段由</w:t>
      </w:r>
      <w:r>
        <w:rPr>
          <w:rFonts w:hint="eastAsia"/>
          <w:lang w:eastAsia="zh-CN"/>
        </w:rPr>
        <w:t>运维部经理</w:t>
      </w:r>
      <w:r>
        <w:t>负责督促员工按时间贡献知识。</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8"/>
      <w:bookmarkStart w:id="18" w:name="_Toc29662"/>
      <w:r>
        <w:t>知识类别</w:t>
      </w:r>
      <w:bookmarkEnd w:id="17"/>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服务知识</w:t>
      </w:r>
      <w:r>
        <w:t>的分类如下表所示：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251"/>
        <w:gridCol w:w="2186"/>
        <w:gridCol w:w="484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251"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序号</w:t>
            </w:r>
          </w:p>
        </w:tc>
        <w:tc>
          <w:tcPr>
            <w:tcW w:w="2186"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大类</w:t>
            </w:r>
          </w:p>
        </w:tc>
        <w:tc>
          <w:tcPr>
            <w:tcW w:w="4843"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具体类型</w:t>
            </w:r>
          </w:p>
        </w:tc>
      </w:tr>
      <w:tr>
        <w:tblPrEx>
          <w:tblW w:w="0" w:type="auto"/>
          <w:tblInd w:w="0" w:type="dxa"/>
          <w:tblLayout w:type="fixed"/>
          <w:tblCellMar>
            <w:top w:w="0" w:type="dxa"/>
            <w:left w:w="10" w:type="dxa"/>
            <w:bottom w:w="0" w:type="dxa"/>
            <w:right w:w="10" w:type="dxa"/>
          </w:tblCellMar>
        </w:tblPrEx>
        <w:tc>
          <w:tcPr>
            <w:tcW w:w="1251"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1</w:t>
            </w:r>
          </w:p>
        </w:tc>
        <w:tc>
          <w:tcPr>
            <w:tcW w:w="2186"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r>
              <w:t>各类技术文档</w:t>
            </w:r>
          </w:p>
        </w:tc>
        <w:tc>
          <w:tcPr>
            <w:tcW w:w="4843"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网络设备、主机设备、存储设备、桌面设备、其他硬件设备、基础软件、应用软件等，主要是各类技术的基础知识</w:t>
            </w:r>
          </w:p>
        </w:tc>
      </w:tr>
      <w:tr>
        <w:tblPrEx>
          <w:tblW w:w="0" w:type="auto"/>
          <w:tblInd w:w="0" w:type="dxa"/>
          <w:tblLayout w:type="fixed"/>
          <w:tblCellMar>
            <w:top w:w="0" w:type="dxa"/>
            <w:left w:w="10" w:type="dxa"/>
            <w:bottom w:w="0" w:type="dxa"/>
            <w:right w:w="10" w:type="dxa"/>
          </w:tblCellMar>
        </w:tblPrEx>
        <w:tc>
          <w:tcPr>
            <w:tcW w:w="1251"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bookmarkStart w:id="19" w:name="heading_9"/>
            <w:r>
              <w:rPr>
                <w:rFonts w:hint="eastAsia"/>
                <w:lang w:val="en-US" w:eastAsia="zh-CN"/>
              </w:rPr>
              <w:t>2</w:t>
            </w:r>
          </w:p>
        </w:tc>
        <w:tc>
          <w:tcPr>
            <w:tcW w:w="2186"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eastAsia="宋体" w:hint="default"/>
                <w:lang w:val="en-US" w:eastAsia="zh-CN"/>
              </w:rPr>
            </w:pPr>
            <w:r>
              <w:rPr>
                <w:rFonts w:hint="eastAsia"/>
                <w:lang w:val="en-US" w:eastAsia="zh-CN"/>
              </w:rPr>
              <w:t>项目资料库</w:t>
            </w:r>
          </w:p>
        </w:tc>
        <w:tc>
          <w:tcPr>
            <w:tcW w:w="4843" w:type="dxa"/>
            <w:tcMar>
              <w:top w:w="60" w:type="dxa"/>
              <w:left w:w="120" w:type="dxa"/>
              <w:bottom w:w="30" w:type="dxa"/>
              <w:right w:w="120" w:type="dxa"/>
            </w:tcMar>
          </w:tcPr>
          <w:p>
            <w:pPr>
              <w:keepNext w:val="0"/>
              <w:keepLines w:val="0"/>
              <w:pageBreakBefore w:val="0"/>
              <w:widowControl w:val="0"/>
              <w:suppressLineNumbers w:val="0"/>
              <w:kinsoku w:val="0"/>
              <w:wordWrap/>
              <w:overflowPunct/>
              <w:topLinePunct w:val="0"/>
              <w:autoSpaceDE w:val="0"/>
              <w:autoSpaceDN w:val="0"/>
              <w:bidi w:val="0"/>
              <w:adjustRightInd w:val="0"/>
              <w:snapToGrid w:val="0"/>
              <w:jc w:val="left"/>
              <w:textAlignment w:val="baseline"/>
            </w:pPr>
            <w:r>
              <w:rPr>
                <w:rFonts w:ascii="Arial" w:eastAsia="宋体" w:hAnsi="Arial" w:cs="Arial"/>
                <w:snapToGrid w:val="0"/>
                <w:color w:val="000000"/>
                <w:kern w:val="0"/>
                <w:sz w:val="24"/>
                <w:szCs w:val="21"/>
                <w:lang w:val="en-US" w:eastAsia="zh-CN" w:bidi="ar-SA"/>
              </w:rPr>
              <w:t>有关项目的各类文档、事件及故障处理文档、运维工具手</w:t>
            </w:r>
            <w:r>
              <w:rPr>
                <w:rFonts w:ascii="Arial" w:eastAsia="宋体" w:hAnsi="Arial" w:cs="Arial" w:hint="default"/>
                <w:snapToGrid w:val="0"/>
                <w:color w:val="000000"/>
                <w:kern w:val="0"/>
                <w:sz w:val="24"/>
                <w:szCs w:val="21"/>
                <w:lang w:val="en-US" w:eastAsia="zh-CN" w:bidi="ar-SA"/>
              </w:rPr>
              <w:t>册和培训 资料等</w:t>
            </w:r>
          </w:p>
        </w:tc>
      </w:tr>
    </w:tbl>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0" w:name="_Toc472"/>
      <w:r>
        <w:t>知识分析</w:t>
      </w:r>
      <w:bookmarkEnd w:id="19"/>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工程师针对于要提交的知识文档，基于实用性、指导性、有效性、准确性、可用性的原则进行知识的全面总结与分析，明确知识的重要性及给其它人员带来的价值与效率提升；对于分析结果要形成相应的技术文档，提交</w:t>
      </w:r>
      <w:r>
        <w:rPr>
          <w:rFonts w:hint="eastAsia"/>
          <w:lang w:eastAsia="zh-CN"/>
        </w:rPr>
        <w:t>运维部经理</w:t>
      </w:r>
      <w:r>
        <w:t>审核校对。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服务知识</w:t>
      </w:r>
      <w:r>
        <w:t>内容提交评审条件：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拟提交的</w:t>
      </w:r>
      <w:r>
        <w:rPr>
          <w:rFonts w:hint="eastAsia"/>
          <w:lang w:eastAsia="zh-CN"/>
        </w:rPr>
        <w:t>服务知识</w:t>
      </w:r>
      <w:r>
        <w:t>内容需经实际操作验证。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如存在多个解决方案，需先说明具体方案的特点和描述。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服务知识</w:t>
      </w:r>
      <w:r>
        <w:t>内容的分类按照公司服务目录的类别进行。</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heading_10"/>
      <w:bookmarkStart w:id="22" w:name="_Toc25322"/>
      <w:r>
        <w:t>知识审核</w:t>
      </w:r>
      <w:bookmarkEnd w:id="21"/>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运维部经理</w:t>
      </w:r>
      <w:r>
        <w:t>针对运维工程师提交的技术文档进行审核，需对知识的正确性、可用性、严谨性进行验证，确保按照该文档可用于实际生产且不会产生破坏性副作用。审核通过后，由知识审核人进行最终发布审核，根据知识的实用性、可用范围、影响性等进行分类；审核通过则发布，形成新知识或更新旧知识；审核不通过则返回提交人完善确认，直至审核通过。</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11"/>
      <w:bookmarkStart w:id="24" w:name="_Toc487"/>
      <w:r>
        <w:t>知识发布</w:t>
      </w:r>
      <w:bookmarkEnd w:id="23"/>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服务知识专员</w:t>
      </w:r>
      <w:r>
        <w:t>针对审核通过的知识，按发布流程纳入</w:t>
      </w:r>
      <w:r>
        <w:rPr>
          <w:rFonts w:hint="eastAsia"/>
          <w:lang w:eastAsia="zh-CN"/>
        </w:rPr>
        <w:t>服务知识</w:t>
      </w:r>
      <w:r>
        <w:t>管理平台，记录新知识建立时间、提交人、审核人、审核通过时间及适用范围等信息，并通报至所有相关部门，形成最终技术文档供运维工程师工作中查询使用。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heading_12"/>
      <w:bookmarkStart w:id="26" w:name="_Toc29894"/>
      <w:r>
        <w:rPr>
          <w:rFonts w:hint="eastAsia"/>
          <w:lang w:eastAsia="zh-CN"/>
        </w:rPr>
        <w:t>服务知识</w:t>
      </w:r>
      <w:r>
        <w:t>管理流程</w:t>
      </w:r>
      <w:bookmarkEnd w:id="25"/>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知识发布后直接存储到</w:t>
      </w:r>
      <w:r>
        <w:rPr>
          <w:rFonts w:hint="eastAsia"/>
          <w:lang w:eastAsia="zh-CN"/>
        </w:rPr>
        <w:t>服务知识</w:t>
      </w:r>
      <w:r>
        <w:t>，供公司技术人员在实际事件处理中参考使用。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运维部经理</w:t>
      </w:r>
      <w:r>
        <w:t>应根据行业动态、技术更新、业务实际情况等定期维护</w:t>
      </w:r>
      <w:r>
        <w:rPr>
          <w:rFonts w:hint="eastAsia"/>
          <w:lang w:eastAsia="zh-CN"/>
        </w:rPr>
        <w:t>服务知识</w:t>
      </w:r>
      <w:r>
        <w:t>，判断知识是否需要更新及是否纳入新知识。</w:t>
      </w:r>
      <w:r>
        <w:rPr>
          <w:rFonts w:hint="eastAsia"/>
          <w:lang w:eastAsia="zh-CN"/>
        </w:rPr>
        <w:t>服务知识</w:t>
      </w:r>
      <w:r>
        <w:t>的更新、停用等按管理流程执行。</w:t>
      </w:r>
      <w:r>
        <w:rPr>
          <w:rFonts w:hint="eastAsia"/>
          <w:lang w:eastAsia="zh-CN"/>
        </w:rPr>
        <w:t>服务知识</w:t>
      </w:r>
      <w:r>
        <w:t>使用人员均可对知识管理流程及平台提出意见建议，以便</w:t>
      </w:r>
      <w:r>
        <w:rPr>
          <w:rFonts w:hint="eastAsia"/>
          <w:lang w:eastAsia="zh-CN"/>
        </w:rPr>
        <w:t>运维部经理</w:t>
      </w:r>
      <w:r>
        <w:t>修改完善。必要时可对相关人员开展</w:t>
      </w:r>
      <w:r>
        <w:rPr>
          <w:rFonts w:hint="eastAsia"/>
          <w:lang w:eastAsia="zh-CN"/>
        </w:rPr>
        <w:t>服务知识</w:t>
      </w:r>
      <w:r>
        <w:t>平台培训，促进新知识充分应用，提升服务质量及效率。</w:t>
      </w:r>
      <w:r>
        <w:rPr>
          <w:rFonts w:hint="eastAsia"/>
          <w:lang w:eastAsia="zh-CN"/>
        </w:rPr>
        <w:t>服务知识</w:t>
      </w:r>
      <w:r>
        <w:t>管理人员需定期对</w:t>
      </w:r>
      <w:r>
        <w:rPr>
          <w:rFonts w:hint="eastAsia"/>
          <w:lang w:eastAsia="zh-CN"/>
        </w:rPr>
        <w:t>服务知识</w:t>
      </w:r>
      <w:r>
        <w:t>进行有效备份，保障技术文档和项目经验的安全。</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3"/>
      <w:bookmarkStart w:id="28" w:name="_Toc10578"/>
      <w:r>
        <w:rPr>
          <w:rFonts w:hint="eastAsia"/>
          <w:lang w:eastAsia="zh-CN"/>
        </w:rPr>
        <w:t>服务知识</w:t>
      </w:r>
      <w:r>
        <w:t>内容推进管理</w:t>
      </w:r>
      <w:bookmarkEnd w:id="27"/>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通过沉淀、评价、筛选、模块化、宣传、培训考试等方式推动公司</w:t>
      </w:r>
      <w:r>
        <w:rPr>
          <w:rFonts w:hint="eastAsia"/>
          <w:lang w:eastAsia="zh-CN"/>
        </w:rPr>
        <w:t>服务知识</w:t>
      </w:r>
      <w:r>
        <w:t>管理工作。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所有运维工程师均可对沉淀的知识发表看法和意见。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运维部经理</w:t>
      </w:r>
      <w:r>
        <w:t>结合运维工程师的意见及自身经验对知识进行判断并给出评价结果。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eastAsia="zh-CN"/>
        </w:rPr>
        <w:t>运维部经理</w:t>
      </w:r>
      <w:r>
        <w:t>筛选评价结果，将评价高的知识上报并固化为示范模板知识，公司各部门经理对固化的经典案例和优秀知识条目进行宣传。</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公司各部门经理对固化知识整理出题，组织员工开展自我培训和考核。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4"/>
      <w:bookmarkStart w:id="30" w:name="_Toc11810"/>
      <w:r>
        <w:rPr>
          <w:rFonts w:hint="eastAsia"/>
          <w:lang w:eastAsia="zh-CN"/>
        </w:rPr>
        <w:t>服务知识</w:t>
      </w:r>
      <w:r>
        <w:t>安全管理</w:t>
      </w:r>
      <w:bookmarkEnd w:id="29"/>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由</w:t>
      </w:r>
      <w:r>
        <w:rPr>
          <w:rFonts w:hint="eastAsia"/>
          <w:lang w:eastAsia="zh-CN"/>
        </w:rPr>
        <w:t>运维部经理</w:t>
      </w:r>
      <w:r>
        <w:t>对公司</w:t>
      </w:r>
      <w:r>
        <w:rPr>
          <w:rFonts w:hint="eastAsia"/>
          <w:lang w:eastAsia="zh-CN"/>
        </w:rPr>
        <w:t>服务知识</w:t>
      </w:r>
      <w:r>
        <w:t>的阅读、下载、评价等权限进行设置，并通知</w:t>
      </w:r>
      <w:r>
        <w:rPr>
          <w:rFonts w:hint="eastAsia"/>
          <w:lang w:eastAsia="zh-CN"/>
        </w:rPr>
        <w:t>服务知识专员</w:t>
      </w:r>
      <w:r>
        <w:t>配置权限。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因人员变化产生权限调整时，应及时通知</w:t>
      </w:r>
      <w:r>
        <w:rPr>
          <w:rFonts w:hint="eastAsia"/>
          <w:lang w:eastAsia="zh-CN"/>
        </w:rPr>
        <w:t>服务知识专员</w:t>
      </w:r>
      <w:r>
        <w:t>进行变更。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任何人不得未经授权越权访问</w:t>
      </w:r>
      <w:r>
        <w:rPr>
          <w:rFonts w:hint="eastAsia"/>
          <w:lang w:eastAsia="zh-CN"/>
        </w:rPr>
        <w:t>服务知识</w:t>
      </w:r>
      <w:r>
        <w:t>，一经发现将严肃处理。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5"/>
      <w:bookmarkStart w:id="32" w:name="_Toc6793"/>
      <w:r>
        <w:rPr>
          <w:rFonts w:hint="eastAsia"/>
          <w:lang w:eastAsia="zh-CN"/>
        </w:rPr>
        <w:t>服务知识</w:t>
      </w:r>
      <w:r>
        <w:t>绩效管理</w:t>
      </w:r>
      <w:bookmarkEnd w:id="31"/>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所有员工必须积极参与</w:t>
      </w:r>
      <w:r>
        <w:rPr>
          <w:rFonts w:hint="eastAsia"/>
          <w:lang w:eastAsia="zh-CN"/>
        </w:rPr>
        <w:t>服务知识</w:t>
      </w:r>
      <w:r>
        <w:t>绩效考核，包括知识点评、讨论及培训考试。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每半年根据员工的知识点评记录、参与培训讨论次数及考试成绩等综合评价，作为评优、奖励的参考依据。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累计半年或连续三个月未提交新知识、未参与知识点评及讨论的员工，由公司部门经理进行约谈、考察。</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6"/>
      <w:bookmarkStart w:id="34" w:name="_Toc32317"/>
      <w:r>
        <w:rPr>
          <w:rFonts w:hint="eastAsia"/>
          <w:lang w:eastAsia="zh-CN"/>
        </w:rPr>
        <w:t>服务知识</w:t>
      </w:r>
      <w:r>
        <w:t>与其他流程的关系</w:t>
      </w:r>
      <w:bookmarkEnd w:id="33"/>
      <w:bookmarkEnd w:id="34"/>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17"/>
      <w:bookmarkStart w:id="36" w:name="_Toc19477"/>
      <w:r>
        <w:t>与问题管理流程的关系</w:t>
      </w:r>
      <w:bookmarkEnd w:id="35"/>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问题管理流程中问题的根源诊断信息和解决方案可提交至</w:t>
      </w:r>
      <w:r>
        <w:rPr>
          <w:rFonts w:hint="eastAsia"/>
          <w:lang w:eastAsia="zh-CN"/>
        </w:rPr>
        <w:t>服务知识</w:t>
      </w:r>
      <w:r>
        <w:t>成为知识记录，是</w:t>
      </w:r>
      <w:r>
        <w:rPr>
          <w:rFonts w:hint="eastAsia"/>
          <w:lang w:eastAsia="zh-CN"/>
        </w:rPr>
        <w:t>服务知识</w:t>
      </w:r>
      <w:r>
        <w:t>的重要输入之一。在问题诊断时，</w:t>
      </w:r>
      <w:r>
        <w:rPr>
          <w:rFonts w:hint="eastAsia"/>
          <w:lang w:eastAsia="zh-CN"/>
        </w:rPr>
        <w:t>服务知识</w:t>
      </w:r>
      <w:r>
        <w:t>可提供知识条目匹配，帮助快速定位问题根源及解决方案。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heading_18"/>
      <w:bookmarkStart w:id="38" w:name="_Toc23713"/>
      <w:r>
        <w:t>与事件管理流程的关系</w:t>
      </w:r>
      <w:bookmarkEnd w:id="37"/>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完整有效的事件记录是问题的主要来源，也是问题识别和分析诊断的重要基础。问题管理通过趋势分析和主动问题分析采取预防措施，有助于降低事件重发率和总数。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19"/>
      <w:bookmarkStart w:id="40" w:name="_Toc19957"/>
      <w:r>
        <w:t>与变更/发布管理流程的关系</w:t>
      </w:r>
      <w:bookmarkEnd w:id="39"/>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变更管理流程负责控制执行变更，包括由问题管理为解决问题而发出的RFC（变更请求）。</w:t>
      </w:r>
    </w:p>
    <w:p>
      <w:pPr>
        <w:pStyle w:val="2"/>
        <w:bidi w:val="0"/>
      </w:pPr>
      <w:bookmarkStart w:id="41" w:name="heading_20"/>
      <w:bookmarkStart w:id="42" w:name="_Toc7553"/>
      <w:r>
        <w:t>与配置管理流程的关系</w:t>
      </w:r>
      <w:bookmarkEnd w:id="41"/>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问题管理流程需从配置管理数据库中查询IT基础架构中硬件、软件、文档及服务等各类配置项信息及其关系，为问题的调查、分析和诊断提供支持。</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3" w:name="heading_21"/>
      <w:bookmarkStart w:id="44" w:name="_Toc24311"/>
      <w:r>
        <w:t>KPI指标</w:t>
      </w:r>
      <w:bookmarkEnd w:id="43"/>
      <w:bookmarkEnd w:id="4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为有效控制流程质量，设置</w:t>
      </w:r>
      <w:r>
        <w:rPr>
          <w:rFonts w:hint="eastAsia"/>
          <w:lang w:eastAsia="zh-CN"/>
        </w:rPr>
        <w:t>服务知识</w:t>
      </w:r>
      <w:r>
        <w:t>管理流程KPI指标，通过指标分析实现对流程运行情况的监控和改进，具体指标如下：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
      <w:tblGrid>
        <w:gridCol w:w="1988"/>
        <w:gridCol w:w="3780"/>
        <w:gridCol w:w="1269"/>
        <w:gridCol w:w="1243"/>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PrEx>
        <w:tc>
          <w:tcPr>
            <w:tcW w:w="1988"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sz w:val="21"/>
                <w:szCs w:val="21"/>
              </w:rPr>
            </w:pPr>
            <w:r>
              <w:rPr>
                <w:sz w:val="21"/>
                <w:szCs w:val="21"/>
              </w:rPr>
              <w:t>指标名称</w:t>
            </w:r>
          </w:p>
        </w:tc>
        <w:tc>
          <w:tcPr>
            <w:tcW w:w="3780"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sz w:val="21"/>
                <w:szCs w:val="21"/>
              </w:rPr>
            </w:pPr>
            <w:r>
              <w:rPr>
                <w:sz w:val="21"/>
                <w:szCs w:val="21"/>
              </w:rPr>
              <w:t>计算公式</w:t>
            </w:r>
          </w:p>
        </w:tc>
        <w:tc>
          <w:tcPr>
            <w:tcW w:w="1269"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sz w:val="21"/>
                <w:szCs w:val="21"/>
              </w:rPr>
            </w:pPr>
            <w:r>
              <w:rPr>
                <w:sz w:val="21"/>
                <w:szCs w:val="21"/>
              </w:rPr>
              <w:t>考核要求</w:t>
            </w:r>
          </w:p>
        </w:tc>
        <w:tc>
          <w:tcPr>
            <w:tcW w:w="1243" w:type="dxa"/>
            <w:tcMar>
              <w:top w:w="60" w:type="dxa"/>
              <w:left w:w="120" w:type="dxa"/>
              <w:bottom w:w="30" w:type="dxa"/>
              <w:right w:w="120" w:type="dxa"/>
            </w:tcMar>
          </w:tcPr>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textAlignment w:val="baseline"/>
              <w:rPr>
                <w:sz w:val="21"/>
                <w:szCs w:val="21"/>
              </w:rPr>
            </w:pPr>
            <w:r>
              <w:rPr>
                <w:sz w:val="21"/>
                <w:szCs w:val="21"/>
              </w:rPr>
              <w:t>考核周期</w:t>
            </w:r>
          </w:p>
        </w:tc>
      </w:tr>
      <w:tr>
        <w:tblPrEx>
          <w:tblW w:w="0" w:type="auto"/>
          <w:tblInd w:w="0" w:type="dxa"/>
          <w:tblLayout w:type="fixed"/>
          <w:tblCellMar>
            <w:top w:w="0" w:type="dxa"/>
            <w:left w:w="10" w:type="dxa"/>
            <w:bottom w:w="0" w:type="dxa"/>
            <w:right w:w="10" w:type="dxa"/>
          </w:tblCellMar>
        </w:tblPrEx>
        <w:tc>
          <w:tcPr>
            <w:tcW w:w="1988" w:type="dxa"/>
            <w:shd w:val="clear" w:color="auto" w:fill="auto"/>
            <w:tcMar>
              <w:top w:w="60" w:type="dxa"/>
              <w:left w:w="120" w:type="dxa"/>
              <w:bottom w:w="30" w:type="dxa"/>
              <w:right w:w="120" w:type="dxa"/>
            </w:tcMar>
          </w:tcPr>
          <w:p>
            <w:pPr>
              <w:pStyle w:val="TableText"/>
              <w:spacing w:before="236" w:line="218" w:lineRule="auto"/>
              <w:ind w:left="255" w:leftChars="0"/>
              <w:rPr>
                <w:rFonts w:ascii="宋体" w:eastAsia="宋体" w:hAnsi="宋体" w:cs="宋体" w:hint="default"/>
                <w:snapToGrid w:val="0"/>
                <w:color w:val="000000"/>
                <w:kern w:val="0"/>
                <w:sz w:val="24"/>
                <w:szCs w:val="24"/>
                <w:lang w:val="en-US" w:eastAsia="en-US" w:bidi="ar-SA"/>
              </w:rPr>
            </w:pPr>
            <w:r>
              <w:rPr>
                <w:rFonts w:hint="eastAsia"/>
                <w:spacing w:val="-3"/>
                <w:sz w:val="24"/>
                <w:szCs w:val="24"/>
                <w:lang w:val="en-US" w:eastAsia="zh-CN"/>
              </w:rPr>
              <w:t>服务知识录入条数</w:t>
            </w:r>
          </w:p>
        </w:tc>
        <w:tc>
          <w:tcPr>
            <w:tcW w:w="3780" w:type="dxa"/>
            <w:shd w:val="clear" w:color="auto" w:fill="auto"/>
            <w:tcMar>
              <w:top w:w="60" w:type="dxa"/>
              <w:left w:w="120" w:type="dxa"/>
              <w:bottom w:w="30" w:type="dxa"/>
              <w:right w:w="120" w:type="dxa"/>
            </w:tcMar>
          </w:tcPr>
          <w:p>
            <w:pPr>
              <w:pStyle w:val="TableText"/>
              <w:spacing w:before="236" w:line="218" w:lineRule="auto"/>
              <w:ind w:left="118" w:leftChars="0"/>
              <w:rPr>
                <w:rFonts w:ascii="宋体" w:eastAsia="宋体" w:hAnsi="宋体" w:cs="宋体" w:hint="default"/>
                <w:snapToGrid w:val="0"/>
                <w:color w:val="000000"/>
                <w:kern w:val="0"/>
                <w:sz w:val="24"/>
                <w:szCs w:val="24"/>
                <w:lang w:val="en-US" w:eastAsia="zh-CN" w:bidi="ar-SA"/>
              </w:rPr>
            </w:pPr>
            <w:r>
              <w:rPr>
                <w:rFonts w:hint="eastAsia"/>
                <w:spacing w:val="-1"/>
                <w:sz w:val="24"/>
                <w:szCs w:val="24"/>
                <w:lang w:val="en-US" w:eastAsia="zh-CN"/>
              </w:rPr>
              <w:t>数量，服务知识录入的数量</w:t>
            </w:r>
          </w:p>
        </w:tc>
        <w:tc>
          <w:tcPr>
            <w:tcW w:w="1269" w:type="dxa"/>
            <w:shd w:val="clear" w:color="auto" w:fill="auto"/>
            <w:tcMar>
              <w:top w:w="60" w:type="dxa"/>
              <w:left w:w="120" w:type="dxa"/>
              <w:bottom w:w="30" w:type="dxa"/>
              <w:right w:w="120" w:type="dxa"/>
            </w:tcMar>
          </w:tcPr>
          <w:p>
            <w:pPr>
              <w:pStyle w:val="TableText"/>
              <w:spacing w:before="236" w:line="237" w:lineRule="auto"/>
              <w:ind w:left="168" w:leftChars="0"/>
              <w:rPr>
                <w:rFonts w:ascii="宋体" w:eastAsia="宋体" w:hAnsi="宋体" w:cs="宋体" w:hint="default"/>
                <w:snapToGrid w:val="0"/>
                <w:color w:val="000000"/>
                <w:kern w:val="0"/>
                <w:sz w:val="24"/>
                <w:szCs w:val="24"/>
                <w:lang w:val="en-US" w:eastAsia="zh-CN" w:bidi="ar-SA"/>
              </w:rPr>
            </w:pPr>
            <w:r>
              <w:rPr>
                <w:spacing w:val="-9"/>
                <w:sz w:val="24"/>
                <w:szCs w:val="24"/>
              </w:rPr>
              <w:t>≥</w:t>
            </w:r>
            <w:r>
              <w:rPr>
                <w:rFonts w:hint="eastAsia"/>
                <w:spacing w:val="-9"/>
                <w:sz w:val="24"/>
                <w:szCs w:val="24"/>
                <w:lang w:val="en-US" w:eastAsia="zh-CN"/>
              </w:rPr>
              <w:t>20条</w:t>
            </w:r>
          </w:p>
        </w:tc>
        <w:tc>
          <w:tcPr>
            <w:tcW w:w="1243" w:type="dxa"/>
            <w:shd w:val="clear" w:color="auto" w:fill="auto"/>
            <w:tcMar>
              <w:top w:w="60" w:type="dxa"/>
              <w:left w:w="120" w:type="dxa"/>
              <w:bottom w:w="30" w:type="dxa"/>
              <w:right w:w="120" w:type="dxa"/>
            </w:tcMar>
          </w:tcPr>
          <w:p>
            <w:pPr>
              <w:pStyle w:val="TableText"/>
              <w:spacing w:before="236" w:line="219" w:lineRule="auto"/>
              <w:ind w:left="161" w:leftChars="0"/>
              <w:rPr>
                <w:rFonts w:ascii="宋体" w:eastAsia="宋体" w:hAnsi="宋体" w:cs="宋体"/>
                <w:snapToGrid w:val="0"/>
                <w:color w:val="000000"/>
                <w:kern w:val="0"/>
                <w:sz w:val="24"/>
                <w:szCs w:val="24"/>
                <w:lang w:val="en-US" w:eastAsia="en-US" w:bidi="ar-SA"/>
              </w:rPr>
            </w:pPr>
            <w:r>
              <w:rPr>
                <w:spacing w:val="-5"/>
                <w:sz w:val="24"/>
                <w:szCs w:val="24"/>
              </w:rPr>
              <w:t>季度</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heading_22"/>
      <w:bookmarkStart w:id="46" w:name="_Toc31284"/>
      <w:r>
        <w:t>相关记录</w:t>
      </w:r>
      <w:bookmarkEnd w:id="45"/>
      <w:bookmarkEnd w:id="4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《知识审批表》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浠垮畫">
    <w:altName w:val="浠垮畫"/>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character" w:styleId="Emphasis">
    <w:name w:val="Emphasis"/>
    <w:basedOn w:val="DefaultParagraphFont"/>
    <w:qFormat/>
    <w:rPr>
      <w:i/>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8</Pages>
  <Words>2711</Words>
  <Characters>2786</Characters>
  <Application>Microsoft Office Word</Application>
  <DocSecurity>0</DocSecurity>
  <Lines>0</Lines>
  <Paragraphs>0</Paragraphs>
  <ScaleCrop>false</ScaleCrop>
  <Company/>
  <LinksUpToDate>false</LinksUpToDate>
  <CharactersWithSpaces>2787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2025-12-14T14:22:00Z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