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天津市华夏电缆有限公司</w:t>
      </w:r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right="0" w:firstLine="0" w:leftChars="0" w:rightChars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2025年运维工具自评估报告</w:t>
      </w:r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right="0" w:firstLine="0" w:leftChars="0" w:rightChars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（HXDL-ITSS-0807）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hint="eastAsia"/>
          <w:lang w:val="en-US" w:eastAsia="zh-CN"/>
        </w:rPr>
      </w:pP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181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赵川华</w:t>
            </w:r>
          </w:p>
        </w:tc>
        <w:tc>
          <w:tcPr>
            <w:tcW w:w="426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2025.70.30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181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张智宏</w:t>
            </w:r>
          </w:p>
        </w:tc>
        <w:tc>
          <w:tcPr>
            <w:tcW w:w="4261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right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2025.70.30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181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陈垒</w:t>
            </w:r>
          </w:p>
        </w:tc>
        <w:tc>
          <w:tcPr>
            <w:tcW w:w="426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2025.70.30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8" w:line="220" w:lineRule="auto"/>
        <w:ind w:left="3195"/>
        <w:textAlignment w:val="baseline"/>
        <w:outlineLvl w:val="0"/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/>
          <w:b/>
          <w:bCs/>
          <w:spacing w:val="-4"/>
          <w:sz w:val="30"/>
          <w:szCs w:val="30"/>
        </w:rPr>
        <w:t>文件编制和变更履历</w:t>
      </w:r>
    </w:p>
    <w:tbl>
      <w:tblPr>
        <w:tblStyle w:val="TableNormal00"/>
        <w:tblW w:w="9005" w:type="dxa"/>
        <w:tblInd w:w="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482"/>
        <w:gridCol w:w="1172"/>
      </w:tblGrid>
      <w:tr>
        <w:tblPrEx>
          <w:tblW w:w="9005" w:type="dxa"/>
          <w:tblInd w:w="34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/>
        </w:trPr>
        <w:tc>
          <w:tcPr>
            <w:tcW w:w="845" w:type="dxa"/>
            <w:vMerge w:val="restart"/>
            <w:tcBorders>
              <w:top w:val="single" w:sz="10" w:space="0" w:color="000000"/>
              <w:left w:val="single" w:sz="10" w:space="0" w:color="000000"/>
              <w:bottom w:val="nil"/>
            </w:tcBorders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19" w:lineRule="auto"/>
              <w:ind w:left="172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528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19" w:lineRule="auto"/>
              <w:ind w:left="927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499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911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172" w:type="dxa"/>
            <w:vMerge w:val="restart"/>
            <w:tcBorders>
              <w:top w:val="single" w:sz="10" w:space="0" w:color="000000"/>
              <w:bottom w:val="nil"/>
              <w:right w:val="single" w:sz="10" w:space="0" w:color="000000"/>
            </w:tcBorders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217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/>
        </w:trPr>
        <w:tc>
          <w:tcPr>
            <w:tcW w:w="845" w:type="dxa"/>
            <w:vMerge/>
            <w:tcBorders>
              <w:top w:val="nil"/>
              <w:left w:val="single" w:sz="10" w:space="0" w:color="000000"/>
            </w:tcBorders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191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30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244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87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1" w:lineRule="auto"/>
              <w:ind w:left="268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482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41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172" w:type="dxa"/>
            <w:vMerge/>
            <w:tcBorders>
              <w:top w:val="nil"/>
              <w:right w:val="single" w:sz="10" w:space="0" w:color="000000"/>
            </w:tcBorders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95"/>
              <w:textAlignment w:val="baseline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25"/>
              <w:textAlignment w:val="baseline"/>
            </w:pPr>
            <w:r>
              <w:rPr>
                <w:spacing w:val="-4"/>
              </w:rPr>
              <w:t>赵川华</w:t>
            </w:r>
          </w:p>
        </w:tc>
        <w:tc>
          <w:tcPr>
            <w:tcW w:w="1274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04"/>
              <w:textAlignment w:val="baseline"/>
              <w:rPr>
                <w:rFonts w:eastAsia="宋体" w:hint="default"/>
                <w:lang w:val="en-US" w:eastAsia="zh-CN"/>
              </w:rPr>
            </w:pPr>
            <w:r>
              <w:rPr>
                <w:spacing w:val="-1"/>
              </w:rPr>
              <w:t>2025.7</w:t>
            </w:r>
            <w:r>
              <w:rPr>
                <w:rFonts w:hint="eastAsia"/>
                <w:spacing w:val="-1"/>
                <w:lang w:val="en-US" w:eastAsia="zh-CN"/>
              </w:rPr>
              <w:t>0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30</w:t>
            </w:r>
          </w:p>
        </w:tc>
        <w:tc>
          <w:tcPr>
            <w:tcW w:w="95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68"/>
              <w:textAlignment w:val="baseline"/>
            </w:pPr>
            <w:r>
              <w:rPr>
                <w:spacing w:val="-4"/>
              </w:rPr>
              <w:t>张智宏</w:t>
            </w:r>
          </w:p>
        </w:tc>
        <w:tc>
          <w:tcPr>
            <w:tcW w:w="137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61"/>
              <w:textAlignment w:val="baseline"/>
              <w:rPr>
                <w:rFonts w:eastAsia="宋体" w:hint="default"/>
                <w:lang w:val="en-US" w:eastAsia="zh-CN"/>
              </w:rPr>
            </w:pPr>
            <w:r>
              <w:rPr>
                <w:spacing w:val="-1"/>
              </w:rPr>
              <w:t>2025.7</w:t>
            </w:r>
            <w:r>
              <w:rPr>
                <w:rFonts w:hint="eastAsia"/>
                <w:spacing w:val="-1"/>
                <w:lang w:val="en-US" w:eastAsia="zh-CN"/>
              </w:rPr>
              <w:t>0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30</w:t>
            </w:r>
          </w:p>
        </w:tc>
        <w:tc>
          <w:tcPr>
            <w:tcW w:w="10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20" w:lineRule="auto"/>
              <w:ind w:left="202"/>
              <w:textAlignment w:val="baseline"/>
            </w:pPr>
            <w:r>
              <w:rPr>
                <w:spacing w:val="-3"/>
              </w:rPr>
              <w:t>陈垒</w:t>
            </w:r>
          </w:p>
        </w:tc>
        <w:tc>
          <w:tcPr>
            <w:tcW w:w="148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220"/>
              <w:textAlignment w:val="baseline"/>
              <w:rPr>
                <w:rFonts w:eastAsia="宋体" w:hint="default"/>
                <w:lang w:val="en-US" w:eastAsia="zh-CN"/>
              </w:rPr>
            </w:pPr>
            <w:r>
              <w:rPr>
                <w:spacing w:val="-1"/>
              </w:rPr>
              <w:t>2025.7</w:t>
            </w:r>
            <w:r>
              <w:rPr>
                <w:rFonts w:hint="eastAsia"/>
                <w:spacing w:val="-1"/>
                <w:lang w:val="en-US" w:eastAsia="zh-CN"/>
              </w:rPr>
              <w:t>0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30</w:t>
            </w:r>
          </w:p>
        </w:tc>
        <w:tc>
          <w:tcPr>
            <w:tcW w:w="1172" w:type="dxa"/>
            <w:tcBorders>
              <w:right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7" w:lineRule="auto"/>
              <w:ind w:left="341"/>
              <w:textAlignment w:val="baseline"/>
            </w:pPr>
            <w:r>
              <w:rPr>
                <w:spacing w:val="-5"/>
              </w:rPr>
              <w:t>首次发布</w:t>
            </w: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195"/>
              <w:textAlignment w:val="baseline"/>
            </w:pPr>
          </w:p>
        </w:tc>
        <w:tc>
          <w:tcPr>
            <w:tcW w:w="881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25"/>
              <w:textAlignment w:val="baseline"/>
            </w:pPr>
          </w:p>
        </w:tc>
        <w:tc>
          <w:tcPr>
            <w:tcW w:w="1274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10"/>
              <w:textAlignment w:val="baseline"/>
            </w:pPr>
          </w:p>
        </w:tc>
        <w:tc>
          <w:tcPr>
            <w:tcW w:w="95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68"/>
              <w:textAlignment w:val="baseline"/>
            </w:pPr>
          </w:p>
        </w:tc>
        <w:tc>
          <w:tcPr>
            <w:tcW w:w="137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67"/>
              <w:textAlignment w:val="baseline"/>
            </w:pPr>
          </w:p>
        </w:tc>
        <w:tc>
          <w:tcPr>
            <w:tcW w:w="10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20" w:lineRule="auto"/>
              <w:ind w:left="202"/>
              <w:textAlignment w:val="baseline"/>
            </w:pPr>
          </w:p>
        </w:tc>
        <w:tc>
          <w:tcPr>
            <w:tcW w:w="148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20"/>
              <w:textAlignment w:val="baseline"/>
            </w:pPr>
          </w:p>
        </w:tc>
        <w:tc>
          <w:tcPr>
            <w:tcW w:w="1172" w:type="dxa"/>
            <w:tcBorders>
              <w:right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436"/>
              <w:textAlignment w:val="baseline"/>
            </w:pP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/>
        </w:trPr>
        <w:tc>
          <w:tcPr>
            <w:tcW w:w="845" w:type="dxa"/>
            <w:tcBorders>
              <w:left w:val="single" w:sz="10" w:space="0" w:color="000000"/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195"/>
              <w:textAlignment w:val="baseline"/>
            </w:pPr>
          </w:p>
        </w:tc>
        <w:tc>
          <w:tcPr>
            <w:tcW w:w="881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125"/>
              <w:textAlignment w:val="baseline"/>
            </w:pPr>
          </w:p>
        </w:tc>
        <w:tc>
          <w:tcPr>
            <w:tcW w:w="1274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10"/>
              <w:textAlignment w:val="baseline"/>
            </w:pPr>
          </w:p>
        </w:tc>
        <w:tc>
          <w:tcPr>
            <w:tcW w:w="957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8" w:lineRule="auto"/>
              <w:ind w:left="164"/>
              <w:textAlignment w:val="baseline"/>
            </w:pPr>
          </w:p>
        </w:tc>
        <w:tc>
          <w:tcPr>
            <w:tcW w:w="1377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67"/>
              <w:textAlignment w:val="baseline"/>
            </w:pPr>
          </w:p>
        </w:tc>
        <w:tc>
          <w:tcPr>
            <w:tcW w:w="1017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0" w:lineRule="auto"/>
              <w:ind w:left="202"/>
              <w:textAlignment w:val="baseline"/>
            </w:pPr>
          </w:p>
        </w:tc>
        <w:tc>
          <w:tcPr>
            <w:tcW w:w="1482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20"/>
              <w:textAlignment w:val="baseline"/>
            </w:pPr>
          </w:p>
        </w:tc>
        <w:tc>
          <w:tcPr>
            <w:tcW w:w="1172" w:type="dxa"/>
            <w:tcBorders>
              <w:bottom w:val="single" w:sz="10" w:space="0" w:color="000000"/>
              <w:right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436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num="1" w:space="425"/>
          <w:docGrid w:type="lines" w:linePitch="312" w:charSpace="0"/>
        </w:sectPr>
      </w:pPr>
    </w:p>
    <w:p>
      <w:pPr>
        <w:bidi w:val="0"/>
        <w:rPr>
          <w:rFonts w:hint="default"/>
          <w:lang w:val="en-US" w:eastAsia="zh-CN"/>
        </w:rPr>
      </w:pPr>
    </w:p>
    <w:tbl>
      <w:tblPr>
        <w:tblStyle w:val="TableNormal00"/>
        <w:tblpPr w:leftFromText="180" w:rightFromText="180" w:vertAnchor="text" w:horzAnchor="page" w:tblpX="1426" w:tblpY="455"/>
        <w:tblOverlap w:val="never"/>
        <w:tblW w:w="14524" w:type="dxa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5"/>
        <w:gridCol w:w="1307"/>
        <w:gridCol w:w="1887"/>
        <w:gridCol w:w="3530"/>
        <w:gridCol w:w="1986"/>
        <w:gridCol w:w="3196"/>
        <w:gridCol w:w="1343"/>
      </w:tblGrid>
      <w:tr>
        <w:tblPrEx>
          <w:tblW w:w="14524" w:type="dxa"/>
          <w:tblInd w:w="0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1"/>
        </w:trPr>
        <w:tc>
          <w:tcPr>
            <w:tcW w:w="1275" w:type="dxa"/>
            <w:shd w:val="clear" w:color="auto" w:fill="E5E5E5"/>
          </w:tcPr>
          <w:p>
            <w:pPr>
              <w:spacing w:before="215" w:line="289" w:lineRule="auto"/>
              <w:ind w:left="538" w:right="110" w:hanging="42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6"/>
                <w:sz w:val="20"/>
                <w:szCs w:val="20"/>
              </w:rPr>
              <w:t>运维工具分</w:t>
            </w:r>
            <w:r>
              <w:rPr>
                <w:rFonts w:ascii="宋体" w:eastAsia="宋体" w:hAnsi="宋体" w:cs="宋体"/>
                <w:b/>
                <w:bCs/>
                <w:spacing w:val="-2"/>
                <w:sz w:val="20"/>
                <w:szCs w:val="20"/>
              </w:rPr>
              <w:t>类</w:t>
            </w:r>
          </w:p>
        </w:tc>
        <w:tc>
          <w:tcPr>
            <w:tcW w:w="1307" w:type="dxa"/>
            <w:shd w:val="clear" w:color="auto" w:fill="E5E5E5"/>
          </w:tcPr>
          <w:p>
            <w:pPr>
              <w:pStyle w:val="TableText"/>
              <w:spacing w:line="303" w:lineRule="auto"/>
            </w:pPr>
          </w:p>
          <w:p>
            <w:pPr>
              <w:spacing w:before="65" w:line="229" w:lineRule="auto"/>
              <w:ind w:left="23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5"/>
                <w:sz w:val="20"/>
                <w:szCs w:val="20"/>
              </w:rPr>
              <w:t>工具名称</w:t>
            </w:r>
          </w:p>
        </w:tc>
        <w:tc>
          <w:tcPr>
            <w:tcW w:w="1887" w:type="dxa"/>
            <w:shd w:val="clear" w:color="auto" w:fill="E5E5E5"/>
          </w:tcPr>
          <w:p>
            <w:pPr>
              <w:spacing w:before="214" w:line="229" w:lineRule="auto"/>
              <w:ind w:left="52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6"/>
                <w:sz w:val="20"/>
                <w:szCs w:val="20"/>
              </w:rPr>
              <w:t>主要功能</w:t>
            </w:r>
          </w:p>
          <w:p>
            <w:pPr>
              <w:spacing w:before="63" w:line="228" w:lineRule="auto"/>
              <w:ind w:left="12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（关键功能说明）</w:t>
            </w:r>
          </w:p>
        </w:tc>
        <w:tc>
          <w:tcPr>
            <w:tcW w:w="3530" w:type="dxa"/>
            <w:shd w:val="clear" w:color="auto" w:fill="E5E5E5"/>
          </w:tcPr>
          <w:p>
            <w:pPr>
              <w:spacing w:before="214" w:line="228" w:lineRule="auto"/>
              <w:ind w:left="113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6"/>
                <w:sz w:val="20"/>
                <w:szCs w:val="20"/>
              </w:rPr>
              <w:t>使用情况说明</w:t>
            </w:r>
          </w:p>
          <w:p>
            <w:pPr>
              <w:spacing w:before="64" w:line="228" w:lineRule="auto"/>
              <w:ind w:left="514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6"/>
                <w:sz w:val="20"/>
                <w:szCs w:val="20"/>
              </w:rPr>
              <w:t>（工具使用的客户及项目）</w:t>
            </w:r>
          </w:p>
        </w:tc>
        <w:tc>
          <w:tcPr>
            <w:tcW w:w="1986" w:type="dxa"/>
            <w:shd w:val="clear" w:color="auto" w:fill="E5E5E5"/>
          </w:tcPr>
          <w:p>
            <w:pPr>
              <w:spacing w:before="58" w:line="228" w:lineRule="auto"/>
              <w:ind w:left="57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5"/>
                <w:sz w:val="20"/>
                <w:szCs w:val="20"/>
              </w:rPr>
              <w:t>工具来源</w:t>
            </w:r>
          </w:p>
          <w:p>
            <w:pPr>
              <w:spacing w:before="66" w:line="263" w:lineRule="auto"/>
              <w:ind w:left="113" w:right="18" w:firstLine="5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（开源工具、</w:t>
            </w:r>
            <w:r>
              <w:rPr>
                <w:rFonts w:ascii="宋体" w:eastAsia="宋体" w:hAnsi="宋体" w:cs="宋体"/>
                <w:spacing w:val="-44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自主</w:t>
            </w: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研发、外购的说明）</w:t>
            </w:r>
          </w:p>
        </w:tc>
        <w:tc>
          <w:tcPr>
            <w:tcW w:w="3196" w:type="dxa"/>
            <w:shd w:val="clear" w:color="auto" w:fill="E5E5E5"/>
          </w:tcPr>
          <w:p>
            <w:pPr>
              <w:pStyle w:val="TableText"/>
              <w:spacing w:line="303" w:lineRule="auto"/>
            </w:pPr>
          </w:p>
          <w:p>
            <w:pPr>
              <w:spacing w:before="65" w:line="226" w:lineRule="auto"/>
              <w:ind w:left="76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7"/>
                <w:sz w:val="20"/>
                <w:szCs w:val="20"/>
              </w:rPr>
              <w:t>使用效果评估意见</w:t>
            </w:r>
          </w:p>
        </w:tc>
        <w:tc>
          <w:tcPr>
            <w:tcW w:w="1343" w:type="dxa"/>
            <w:shd w:val="clear" w:color="auto" w:fill="E5E5E5"/>
          </w:tcPr>
          <w:p>
            <w:pPr>
              <w:spacing w:before="215" w:line="290" w:lineRule="auto"/>
              <w:ind w:left="476" w:right="302" w:hanging="16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评价人/</w:t>
            </w: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时间</w:t>
            </w:r>
          </w:p>
        </w:tc>
      </w:tr>
      <w:tr>
        <w:tblPrEx>
          <w:tblW w:w="14524" w:type="dxa"/>
          <w:tblInd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2"/>
        </w:trPr>
        <w:tc>
          <w:tcPr>
            <w:tcW w:w="1275" w:type="dxa"/>
          </w:tcPr>
          <w:p>
            <w:pPr>
              <w:pStyle w:val="TableText"/>
              <w:spacing w:line="261" w:lineRule="auto"/>
            </w:pPr>
          </w:p>
          <w:p>
            <w:pPr>
              <w:pStyle w:val="TableText"/>
              <w:spacing w:line="261" w:lineRule="auto"/>
            </w:pPr>
          </w:p>
          <w:p>
            <w:pPr>
              <w:pStyle w:val="TableText"/>
              <w:spacing w:line="261" w:lineRule="auto"/>
            </w:pPr>
          </w:p>
          <w:p>
            <w:pPr>
              <w:pStyle w:val="TableText"/>
              <w:spacing w:line="262" w:lineRule="auto"/>
            </w:pPr>
          </w:p>
          <w:p>
            <w:pPr>
              <w:spacing w:before="78" w:line="243" w:lineRule="auto"/>
              <w:ind w:left="404" w:right="154" w:hanging="24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过程管理</w:t>
            </w: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工具</w:t>
            </w:r>
          </w:p>
        </w:tc>
        <w:tc>
          <w:tcPr>
            <w:tcW w:w="1307" w:type="dxa"/>
          </w:tcPr>
          <w:p>
            <w:pPr>
              <w:pStyle w:val="TableText"/>
              <w:spacing w:line="296" w:lineRule="auto"/>
            </w:pPr>
          </w:p>
          <w:p>
            <w:pPr>
              <w:pStyle w:val="TableText"/>
              <w:spacing w:line="297" w:lineRule="auto"/>
            </w:pPr>
          </w:p>
          <w:p>
            <w:pPr>
              <w:pStyle w:val="TableText"/>
              <w:spacing w:line="297" w:lineRule="auto"/>
            </w:pPr>
          </w:p>
          <w:p>
            <w:pPr>
              <w:spacing w:line="219" w:lineRule="auto"/>
              <w:ind w:left="184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信息通信一体化调度运行支撑平台(SG-I6000)</w:t>
            </w:r>
          </w:p>
        </w:tc>
        <w:tc>
          <w:tcPr>
            <w:tcW w:w="1887" w:type="dxa"/>
          </w:tcPr>
          <w:p>
            <w:pPr>
              <w:spacing w:before="39" w:line="236" w:lineRule="auto"/>
              <w:ind w:left="111" w:right="103" w:firstLine="2"/>
              <w:jc w:val="both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hint="eastAsia"/>
              </w:rPr>
              <w:t>集产品管理、项目管理、质量管理、文档管理、组织管理和事务管理于一体，是一款功能完备的项目管理软件</w:t>
            </w:r>
          </w:p>
        </w:tc>
        <w:tc>
          <w:tcPr>
            <w:tcW w:w="3530" w:type="dxa"/>
          </w:tcPr>
          <w:p>
            <w:pPr>
              <w:spacing w:before="78" w:line="234" w:lineRule="auto"/>
              <w:ind w:left="580" w:right="107" w:hanging="455"/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14605" b="14605"/>
                  <wp:docPr id="2" name="IM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 8"/>
                          <pic:cNvPicPr/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 w:hint="eastAsia"/>
                <w:spacing w:val="18"/>
                <w:sz w:val="24"/>
                <w:szCs w:val="24"/>
              </w:rPr>
              <w:t>曲靖供电局110kV变电站电力监控系统网络安全态势感知建设</w:t>
            </w:r>
            <w:r>
              <w:rPr>
                <w:rFonts w:ascii="宋体" w:eastAsia="宋体" w:hAnsi="宋体" w:cs="宋体" w:hint="eastAsia"/>
                <w:spacing w:val="18"/>
                <w:sz w:val="24"/>
                <w:szCs w:val="24"/>
                <w:lang w:val="en-US" w:eastAsia="zh-CN"/>
              </w:rPr>
              <w:t>项目</w:t>
            </w:r>
          </w:p>
          <w:p>
            <w:pPr>
              <w:spacing w:before="14" w:line="236" w:lineRule="auto"/>
              <w:ind w:left="580" w:right="107" w:hanging="455"/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14605" b="14605"/>
                  <wp:docPr id="5" name="IM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 10"/>
                          <pic:cNvPicPr/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 w:hint="eastAsia"/>
                <w:spacing w:val="18"/>
                <w:sz w:val="24"/>
                <w:szCs w:val="24"/>
              </w:rPr>
              <w:t>四川射洪35kV香山等15座变电站技术服务</w:t>
            </w:r>
            <w:r>
              <w:rPr>
                <w:rFonts w:ascii="宋体" w:eastAsia="宋体" w:hAnsi="宋体" w:cs="宋体" w:hint="eastAsia"/>
                <w:spacing w:val="18"/>
                <w:sz w:val="24"/>
                <w:szCs w:val="24"/>
                <w:lang w:val="en-US" w:eastAsia="zh-CN"/>
              </w:rPr>
              <w:t>项目</w:t>
            </w:r>
          </w:p>
          <w:p>
            <w:pPr>
              <w:spacing w:before="10" w:line="235" w:lineRule="auto"/>
              <w:ind w:left="538" w:right="107" w:hanging="413"/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14605" b="14605"/>
                  <wp:docPr id="6" name="IM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 12"/>
                          <pic:cNvPicPr/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 w:hint="eastAsia"/>
                <w:spacing w:val="18"/>
                <w:sz w:val="24"/>
                <w:szCs w:val="24"/>
              </w:rPr>
              <w:t>海南华能东方戈枕电厂项目</w:t>
            </w:r>
          </w:p>
        </w:tc>
        <w:tc>
          <w:tcPr>
            <w:tcW w:w="1986" w:type="dxa"/>
          </w:tcPr>
          <w:p>
            <w:pPr>
              <w:pStyle w:val="TableText"/>
            </w:pPr>
          </w:p>
          <w:p>
            <w:pPr>
              <w:pStyle w:val="TableText"/>
            </w:pPr>
          </w:p>
          <w:p>
            <w:pPr>
              <w:pStyle w:val="TableText"/>
            </w:pPr>
          </w:p>
          <w:p>
            <w:pPr>
              <w:pStyle w:val="TableText"/>
            </w:pPr>
          </w:p>
          <w:p>
            <w:pPr>
              <w:pStyle w:val="TableText"/>
            </w:pPr>
          </w:p>
          <w:p>
            <w:pPr>
              <w:spacing w:before="78" w:line="220" w:lineRule="auto"/>
              <w:ind w:left="560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开源工具</w:t>
            </w:r>
          </w:p>
        </w:tc>
        <w:tc>
          <w:tcPr>
            <w:tcW w:w="3196" w:type="dxa"/>
          </w:tcPr>
          <w:p>
            <w:pPr>
              <w:pStyle w:val="TableText"/>
              <w:spacing w:line="245" w:lineRule="auto"/>
            </w:pPr>
            <w:bookmarkStart w:id="0" w:name="_GoBack"/>
            <w:bookmarkEnd w:id="0"/>
          </w:p>
          <w:p>
            <w:pPr>
              <w:spacing w:before="78" w:line="241" w:lineRule="auto"/>
              <w:ind w:left="116" w:right="103"/>
              <w:jc w:val="both"/>
              <w:rPr>
                <w:rFonts w:ascii="宋体" w:eastAsia="宋体" w:hAnsi="宋体" w:cs="宋体" w:hint="eastAsia"/>
                <w:spacing w:val="7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/>
                <w:spacing w:val="7"/>
                <w:sz w:val="24"/>
                <w:szCs w:val="24"/>
              </w:rPr>
              <w:t>通过过程管理工具</w:t>
            </w:r>
            <w:r>
              <w:rPr>
                <w:rFonts w:ascii="宋体" w:eastAsia="宋体" w:hAnsi="宋体" w:cs="宋体" w:hint="eastAsia"/>
                <w:spacing w:val="7"/>
                <w:sz w:val="24"/>
                <w:szCs w:val="24"/>
                <w:lang w:val="en-US" w:eastAsia="zh-CN"/>
              </w:rPr>
              <w:t>的使用,规范了开发流程,提高了开发效率</w:t>
            </w:r>
          </w:p>
          <w:p>
            <w:pPr>
              <w:spacing w:before="78" w:line="241" w:lineRule="auto"/>
              <w:ind w:left="116" w:right="103"/>
              <w:jc w:val="both"/>
              <w:rPr>
                <w:rFonts w:ascii="宋体" w:eastAsia="宋体" w:hAnsi="宋体" w:cs="宋体" w:hint="default"/>
                <w:spacing w:val="7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7"/>
                <w:sz w:val="24"/>
                <w:szCs w:val="24"/>
                <w:lang w:val="en-US" w:eastAsia="zh-CN"/>
              </w:rPr>
              <w:t>通过使用工具完善了过程管理和知识管理，提高运维效率</w:t>
            </w:r>
          </w:p>
        </w:tc>
        <w:tc>
          <w:tcPr>
            <w:tcW w:w="1343" w:type="dxa"/>
          </w:tcPr>
          <w:p>
            <w:pPr>
              <w:pStyle w:val="TableText"/>
              <w:spacing w:line="261" w:lineRule="auto"/>
            </w:pPr>
          </w:p>
          <w:p>
            <w:pPr>
              <w:pStyle w:val="TableText"/>
              <w:spacing w:line="261" w:lineRule="auto"/>
            </w:pPr>
          </w:p>
          <w:p>
            <w:pPr>
              <w:pStyle w:val="TableText"/>
              <w:spacing w:line="262" w:lineRule="auto"/>
            </w:pPr>
          </w:p>
          <w:p>
            <w:pPr>
              <w:pStyle w:val="TableText"/>
              <w:spacing w:line="262" w:lineRule="auto"/>
            </w:pPr>
          </w:p>
          <w:p>
            <w:pPr>
              <w:spacing w:before="26" w:line="239" w:lineRule="auto"/>
              <w:ind w:left="120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spacing w:val="-4"/>
              </w:rPr>
              <w:t>赵川华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2025.7</w:t>
            </w: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val="en-US" w:eastAsia="zh-CN"/>
              </w:rPr>
              <w:t>0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.</w:t>
            </w: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val="en-US" w:eastAsia="zh-CN"/>
              </w:rPr>
              <w:t>30</w:t>
            </w:r>
          </w:p>
        </w:tc>
      </w:tr>
      <w:tr>
        <w:tblPrEx>
          <w:tblW w:w="14524" w:type="dxa"/>
          <w:tblInd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9"/>
        </w:trPr>
        <w:tc>
          <w:tcPr>
            <w:tcW w:w="1275" w:type="dxa"/>
          </w:tcPr>
          <w:p>
            <w:pPr>
              <w:pStyle w:val="TableText"/>
            </w:pPr>
          </w:p>
          <w:p>
            <w:pPr>
              <w:pStyle w:val="TableText"/>
            </w:pPr>
          </w:p>
          <w:p>
            <w:pPr>
              <w:pStyle w:val="TableText"/>
            </w:pPr>
          </w:p>
          <w:p>
            <w:pPr>
              <w:pStyle w:val="TableText"/>
              <w:spacing w:line="241" w:lineRule="auto"/>
            </w:pPr>
          </w:p>
          <w:p>
            <w:pPr>
              <w:pStyle w:val="TableText"/>
              <w:spacing w:line="241" w:lineRule="auto"/>
            </w:pPr>
          </w:p>
          <w:p>
            <w:pPr>
              <w:spacing w:before="78" w:line="220" w:lineRule="auto"/>
              <w:ind w:left="16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监控工具</w:t>
            </w:r>
          </w:p>
        </w:tc>
        <w:tc>
          <w:tcPr>
            <w:tcW w:w="1307" w:type="dxa"/>
          </w:tcPr>
          <w:p>
            <w:pPr>
              <w:pStyle w:val="TableText"/>
              <w:spacing w:line="262" w:lineRule="auto"/>
            </w:pPr>
          </w:p>
          <w:p>
            <w:pPr>
              <w:pStyle w:val="TableText"/>
              <w:spacing w:line="262" w:lineRule="auto"/>
            </w:pPr>
          </w:p>
          <w:p>
            <w:pPr>
              <w:pStyle w:val="TableText"/>
              <w:spacing w:line="262" w:lineRule="auto"/>
            </w:pPr>
          </w:p>
          <w:p>
            <w:pPr>
              <w:pStyle w:val="TableText"/>
              <w:spacing w:line="262" w:lineRule="auto"/>
            </w:pPr>
          </w:p>
          <w:p>
            <w:pPr>
              <w:spacing w:before="78" w:line="242" w:lineRule="auto"/>
              <w:ind w:left="179" w:right="119" w:hanging="7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信息系统性能监控工具</w:t>
            </w:r>
          </w:p>
        </w:tc>
        <w:tc>
          <w:tcPr>
            <w:tcW w:w="1887" w:type="dxa"/>
          </w:tcPr>
          <w:p>
            <w:pPr>
              <w:pStyle w:val="TableText"/>
              <w:spacing w:line="269" w:lineRule="auto"/>
            </w:pPr>
          </w:p>
          <w:p>
            <w:pPr>
              <w:spacing w:before="78" w:line="241" w:lineRule="auto"/>
              <w:ind w:left="111" w:right="105" w:firstLine="1"/>
              <w:jc w:val="both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对应用系统的运行状态、运行性能情况进行7x24小时实时监控，及时发现故障，并根据策略进行报警</w:t>
            </w:r>
          </w:p>
        </w:tc>
        <w:tc>
          <w:tcPr>
            <w:tcW w:w="3530" w:type="dxa"/>
          </w:tcPr>
          <w:p>
            <w:pPr>
              <w:pStyle w:val="TableText"/>
              <w:spacing w:line="418" w:lineRule="auto"/>
            </w:pPr>
          </w:p>
          <w:p>
            <w:pPr>
              <w:spacing w:before="78" w:line="234" w:lineRule="auto"/>
              <w:ind w:left="580" w:right="107" w:hanging="455"/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14605" b="14605"/>
                  <wp:docPr id="1" name="IM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 8"/>
                          <pic:cNvPicPr/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 w:hint="eastAsia"/>
                <w:spacing w:val="18"/>
                <w:sz w:val="24"/>
                <w:szCs w:val="24"/>
              </w:rPr>
              <w:t>曲靖供电局110kV变电站电力监控系统网络安全态势感知建设</w:t>
            </w:r>
            <w:r>
              <w:rPr>
                <w:rFonts w:ascii="宋体" w:eastAsia="宋体" w:hAnsi="宋体" w:cs="宋体" w:hint="eastAsia"/>
                <w:spacing w:val="18"/>
                <w:sz w:val="24"/>
                <w:szCs w:val="24"/>
                <w:lang w:val="en-US" w:eastAsia="zh-CN"/>
              </w:rPr>
              <w:t>项目</w:t>
            </w:r>
          </w:p>
          <w:p>
            <w:pPr>
              <w:spacing w:before="14" w:line="236" w:lineRule="auto"/>
              <w:ind w:left="580" w:right="107" w:hanging="455"/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14605" b="14605"/>
                  <wp:docPr id="3" name="IM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 10"/>
                          <pic:cNvPicPr/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 w:hint="eastAsia"/>
                <w:spacing w:val="18"/>
                <w:sz w:val="24"/>
                <w:szCs w:val="24"/>
              </w:rPr>
              <w:t>四川射洪35kV香山等15座变电站技术服务</w:t>
            </w:r>
            <w:r>
              <w:rPr>
                <w:rFonts w:ascii="宋体" w:eastAsia="宋体" w:hAnsi="宋体" w:cs="宋体" w:hint="eastAsia"/>
                <w:spacing w:val="18"/>
                <w:sz w:val="24"/>
                <w:szCs w:val="24"/>
                <w:lang w:val="en-US" w:eastAsia="zh-CN"/>
              </w:rPr>
              <w:t>项目</w:t>
            </w:r>
          </w:p>
          <w:p>
            <w:pPr>
              <w:spacing w:before="12" w:line="234" w:lineRule="auto"/>
              <w:ind w:left="118" w:right="107" w:firstLine="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14605" b="14605"/>
                  <wp:docPr id="4" name="IM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 12"/>
                          <pic:cNvPicPr/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 w:hint="eastAsia"/>
                <w:spacing w:val="18"/>
                <w:sz w:val="24"/>
                <w:szCs w:val="24"/>
              </w:rPr>
              <w:t>海南华能东方戈枕电厂项目</w:t>
            </w:r>
          </w:p>
        </w:tc>
        <w:tc>
          <w:tcPr>
            <w:tcW w:w="1986" w:type="dxa"/>
          </w:tcPr>
          <w:p>
            <w:pPr>
              <w:pStyle w:val="TableText"/>
            </w:pPr>
          </w:p>
          <w:p>
            <w:pPr>
              <w:pStyle w:val="TableText"/>
            </w:pPr>
          </w:p>
          <w:p>
            <w:pPr>
              <w:pStyle w:val="TableText"/>
            </w:pPr>
          </w:p>
          <w:p>
            <w:pPr>
              <w:pStyle w:val="TableText"/>
              <w:spacing w:line="241" w:lineRule="auto"/>
            </w:pPr>
          </w:p>
          <w:p>
            <w:pPr>
              <w:pStyle w:val="TableText"/>
              <w:spacing w:line="241" w:lineRule="auto"/>
            </w:pPr>
          </w:p>
          <w:p>
            <w:pPr>
              <w:spacing w:before="78" w:line="221" w:lineRule="auto"/>
              <w:ind w:left="52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开源工具</w:t>
            </w:r>
          </w:p>
        </w:tc>
        <w:tc>
          <w:tcPr>
            <w:tcW w:w="3196" w:type="dxa"/>
          </w:tcPr>
          <w:p>
            <w:pPr>
              <w:spacing w:before="40" w:line="237" w:lineRule="auto"/>
              <w:ind w:left="115" w:right="103"/>
              <w:jc w:val="both"/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/>
                <w:spacing w:val="7"/>
                <w:sz w:val="24"/>
                <w:szCs w:val="24"/>
              </w:rPr>
              <w:t>通过系统监控平台可以及时了解系统的运行情况，在故障发生前进行预防，在故障发生后及时告警，同时也为系统的巡检提供了大量的数据依据，为系统的改进、完善打下了坚实的基础，同时</w:t>
            </w:r>
            <w:r>
              <w:rPr>
                <w:rFonts w:ascii="宋体" w:eastAsia="宋体" w:hAnsi="宋体" w:cs="宋体"/>
                <w:spacing w:val="30"/>
                <w:sz w:val="24"/>
                <w:szCs w:val="24"/>
              </w:rPr>
              <w:t>缩短了系统故障发生的时</w:t>
            </w:r>
            <w:r>
              <w:rPr>
                <w:rFonts w:ascii="宋体" w:eastAsia="宋体" w:hAnsi="宋体" w:cs="宋体"/>
                <w:spacing w:val="7"/>
                <w:sz w:val="24"/>
                <w:szCs w:val="24"/>
              </w:rPr>
              <w:t>长，使故障能够得到及时</w:t>
            </w:r>
            <w:r>
              <w:rPr>
                <w:rFonts w:ascii="宋体" w:eastAsia="宋体" w:hAnsi="宋体" w:cs="宋体" w:hint="eastAsia"/>
                <w:spacing w:val="7"/>
                <w:sz w:val="24"/>
                <w:szCs w:val="24"/>
                <w:lang w:val="en-US" w:eastAsia="zh-CN"/>
              </w:rPr>
              <w:t>处置</w:t>
            </w:r>
          </w:p>
        </w:tc>
        <w:tc>
          <w:tcPr>
            <w:tcW w:w="1343" w:type="dxa"/>
          </w:tcPr>
          <w:p>
            <w:pPr>
              <w:pStyle w:val="TableText"/>
              <w:spacing w:line="261" w:lineRule="auto"/>
            </w:pPr>
          </w:p>
          <w:p>
            <w:pPr>
              <w:pStyle w:val="TableText"/>
              <w:spacing w:line="262" w:lineRule="auto"/>
            </w:pPr>
          </w:p>
          <w:p>
            <w:pPr>
              <w:pStyle w:val="TableText"/>
              <w:spacing w:line="262" w:lineRule="auto"/>
            </w:pPr>
          </w:p>
          <w:p>
            <w:pPr>
              <w:pStyle w:val="TableText"/>
              <w:spacing w:line="262" w:lineRule="auto"/>
            </w:pPr>
          </w:p>
          <w:p>
            <w:pPr>
              <w:spacing w:before="26" w:line="239" w:lineRule="auto"/>
              <w:ind w:left="120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spacing w:val="-4"/>
              </w:rPr>
              <w:t>赵川华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2025.7</w:t>
            </w: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val="en-US" w:eastAsia="zh-CN"/>
              </w:rPr>
              <w:t>0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.</w:t>
            </w: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val="en-US" w:eastAsia="zh-CN"/>
              </w:rPr>
              <w:t>30</w:t>
            </w:r>
          </w:p>
        </w:tc>
      </w:tr>
    </w:tbl>
    <w:p>
      <w:pPr>
        <w:bidi w:val="0"/>
        <w:rPr>
          <w:rFonts w:hint="default"/>
          <w:lang w:val="en-US" w:eastAsia="zh-CN"/>
        </w:rPr>
      </w:pPr>
    </w:p>
    <w:sectPr>
      <w:pgSz w:w="16838" w:h="11906" w:orient="landscape"/>
      <w:pgMar w:top="1800" w:right="1440" w:bottom="1800" w:left="144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3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285</Words>
  <Characters>373</Characters>
  <Application>Microsoft Office Word</Application>
  <DocSecurity>0</DocSecurity>
  <Lines>0</Lines>
  <Paragraphs>0</Paragraphs>
  <ScaleCrop>false</ScaleCrop>
  <Company/>
  <LinksUpToDate>false</LinksUpToDate>
  <CharactersWithSpaces>373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18442</dc:creator>
  <cp:lastModifiedBy>郝宇</cp:lastModifiedBy>
  <cp:revision>0</cp:revision>
  <dcterms:created xsi:type="dcterms:W3CDTF">2025-09-06T12:49:00Z</dcterms:created>
  <dcterms:modified xsi:type="dcterms:W3CDTF">2025-12-13T00:10:54Z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07FC051D12264F59A680B8B22651162F_13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