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bookmarkStart w:id="0" w:name="_Toc23225"/>
      <w:bookmarkStart w:id="1" w:name="_Toc1293"/>
      <w:r>
        <w:rPr>
          <w:rFonts w:hint="eastAsia"/>
          <w:lang w:val="en-US" w:eastAsia="zh-CN"/>
        </w:rPr>
        <w:t>天津市华夏电缆有限公司</w:t>
      </w:r>
      <w:bookmarkEnd w:id="0"/>
      <w:bookmarkEnd w:id="1"/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2" w:name="_Toc25347"/>
      <w:bookmarkStart w:id="3" w:name="_Toc26347"/>
      <w:r>
        <w:rPr>
          <w:rFonts w:hint="eastAsia"/>
          <w:lang w:val="en-US" w:eastAsia="zh-CN"/>
        </w:rPr>
        <w:t>服务数据应用情况说明</w:t>
      </w:r>
      <w:bookmarkEnd w:id="2"/>
      <w:bookmarkEnd w:id="3"/>
    </w:p>
    <w:p>
      <w:pPr>
        <w:pStyle w:val="a0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4" w:name="_Toc20180"/>
      <w:bookmarkStart w:id="5" w:name="_Toc32419"/>
      <w:r>
        <w:rPr>
          <w:rFonts w:hint="eastAsia"/>
          <w:lang w:val="en-US" w:eastAsia="zh-CN"/>
        </w:rPr>
        <w:t>（HXDL-ITSS-0812）</w:t>
      </w:r>
      <w:bookmarkEnd w:id="4"/>
      <w:bookmarkEnd w:id="5"/>
    </w:p>
    <w:p>
      <w:pPr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widowControl w:val="0"/>
              <w:ind w:left="0" w:right="0" w:firstLine="0" w:leftChars="0" w:rightChars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widowControl w:val="0"/>
              <w:ind w:left="0" w:right="0" w:firstLine="0" w:leftChars="0" w:rightChars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spacing w:before="98" w:line="220" w:lineRule="auto"/>
        <w:ind w:left="3195"/>
        <w:outlineLvl w:val="0"/>
        <w:rPr>
          <w:rFonts w:ascii="宋体" w:eastAsia="宋体" w:hAnsi="宋体" w:cs="宋体"/>
          <w:sz w:val="30"/>
          <w:szCs w:val="30"/>
        </w:rPr>
      </w:pPr>
      <w:bookmarkStart w:id="6" w:name="_Toc7682"/>
      <w:bookmarkStart w:id="7" w:name="_Toc20337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6"/>
      <w:bookmarkEnd w:id="7"/>
    </w:p>
    <w:tbl>
      <w:tblPr>
        <w:tblStyle w:val="TableNormal0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6"/>
        <w:gridCol w:w="1168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5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503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68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spacing w:before="177" w:line="220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77" w:line="220" w:lineRule="auto"/>
              <w:ind w:left="4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77" w:line="220" w:lineRule="auto"/>
              <w:ind w:left="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77" w:line="220" w:lineRule="auto"/>
              <w:ind w:left="48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76" w:line="221" w:lineRule="auto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6" w:type="dxa"/>
            <w:shd w:val="clear" w:color="auto" w:fill="D9D9D9"/>
          </w:tcPr>
          <w:p>
            <w:pPr>
              <w:spacing w:before="177" w:line="220" w:lineRule="auto"/>
              <w:ind w:left="4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68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spacing w:before="230" w:line="237" w:lineRule="auto"/>
              <w:ind w:left="104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>
            <w:pPr>
              <w:pStyle w:val="TableText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spacing w:before="230" w:line="237" w:lineRule="auto"/>
              <w:ind w:left="161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>
            <w:pPr>
              <w:pStyle w:val="TableText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86" w:type="dxa"/>
          </w:tcPr>
          <w:p>
            <w:pPr>
              <w:pStyle w:val="TableText"/>
              <w:spacing w:before="230" w:line="237" w:lineRule="auto"/>
              <w:ind w:left="220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68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spacing w:before="152" w:line="237" w:lineRule="auto"/>
              <w:ind w:left="195"/>
            </w:pPr>
          </w:p>
        </w:tc>
        <w:tc>
          <w:tcPr>
            <w:tcW w:w="881" w:type="dxa"/>
          </w:tcPr>
          <w:p>
            <w:pPr>
              <w:pStyle w:val="TableText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>
            <w:pPr>
              <w:pStyle w:val="TableText"/>
              <w:spacing w:before="152" w:line="237" w:lineRule="auto"/>
              <w:ind w:left="210"/>
            </w:pPr>
          </w:p>
        </w:tc>
        <w:tc>
          <w:tcPr>
            <w:tcW w:w="957" w:type="dxa"/>
          </w:tcPr>
          <w:p>
            <w:pPr>
              <w:pStyle w:val="TableText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>
            <w:pPr>
              <w:pStyle w:val="TableText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>
            <w:pPr>
              <w:pStyle w:val="TableText"/>
              <w:spacing w:before="152" w:line="220" w:lineRule="auto"/>
              <w:ind w:left="202"/>
            </w:pPr>
          </w:p>
        </w:tc>
        <w:tc>
          <w:tcPr>
            <w:tcW w:w="1486" w:type="dxa"/>
          </w:tcPr>
          <w:p>
            <w:pPr>
              <w:pStyle w:val="TableText"/>
              <w:spacing w:before="152" w:line="237" w:lineRule="auto"/>
              <w:ind w:left="220"/>
            </w:pPr>
          </w:p>
        </w:tc>
        <w:tc>
          <w:tcPr>
            <w:tcW w:w="1168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2" w:line="219" w:lineRule="auto"/>
              <w:ind w:left="436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20" w:lineRule="auto"/>
              <w:ind w:left="202"/>
            </w:pPr>
          </w:p>
        </w:tc>
        <w:tc>
          <w:tcPr>
            <w:tcW w:w="1486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57" w:line="237" w:lineRule="auto"/>
              <w:ind w:left="220"/>
            </w:pPr>
          </w:p>
        </w:tc>
        <w:tc>
          <w:tcPr>
            <w:tcW w:w="1168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57" w:line="219" w:lineRule="auto"/>
              <w:ind w:left="436"/>
            </w:pPr>
          </w:p>
        </w:tc>
      </w:tr>
    </w:tbl>
    <w:p>
      <w:pPr>
        <w:pStyle w:val="BodyText"/>
      </w:pPr>
    </w:p>
    <w:p>
      <w:pPr>
        <w:sectPr>
          <w:headerReference w:type="default" r:id="rId5"/>
          <w:pgSz w:w="11906" w:h="16839"/>
          <w:pgMar w:top="1097" w:right="1627" w:bottom="0" w:left="1628" w:header="1082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7764"/>
        <w:docPartObj>
          <w:docPartGallery w:val="Table of Contents"/>
          <w:docPartUnique/>
        </w:docPartObj>
      </w:sdtPr>
      <w:sdtEndPr>
        <w:rPr>
          <w:rFonts w:ascii="Cambria" w:eastAsia="Cambria" w:hAnsi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  <w:fldChar w:fldCharType="separate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_Toc1293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_Toc1293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_Toc26347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服务数据应用情况说明</w:t>
          </w:r>
          <w:r>
            <w:tab/>
          </w:r>
          <w:r>
            <w:fldChar w:fldCharType="begin"/>
          </w:r>
          <w:r>
            <w:instrText xml:space="preserve"> PAGEREF _Toc26347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_Toc32419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（HXDL-ITSS-0812）</w:t>
          </w:r>
          <w:r>
            <w:tab/>
          </w:r>
          <w:r>
            <w:fldChar w:fldCharType="begin"/>
          </w:r>
          <w:r>
            <w:instrText xml:space="preserve"> PAGEREF _Toc32419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_Toc20337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_Toc20337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_Toc25940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服务数据</w:t>
          </w:r>
          <w:r>
            <w:rPr>
              <w:rFonts w:hint="eastAsia"/>
            </w:rPr>
            <w:t>概况</w:t>
          </w:r>
          <w:r>
            <w:tab/>
          </w:r>
          <w:r>
            <w:fldChar w:fldCharType="begin"/>
          </w:r>
          <w:r>
            <w:instrText xml:space="preserve"> PAGEREF _Toc25940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1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_Toc23092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严格要求</w:t>
          </w:r>
          <w:r>
            <w:rPr>
              <w:rFonts w:hint="eastAsia"/>
              <w:lang w:val="en-US" w:eastAsia="zh-CN"/>
            </w:rPr>
            <w:t>服务数据管理</w:t>
          </w:r>
          <w:r>
            <w:rPr>
              <w:rFonts w:hint="eastAsia"/>
            </w:rPr>
            <w:t>工作</w:t>
          </w:r>
          <w:r>
            <w:tab/>
          </w:r>
          <w:r>
            <w:fldChar w:fldCharType="begin"/>
          </w:r>
          <w:r>
            <w:instrText xml:space="preserve"> PAGEREF _Toc23092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2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_Toc10666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指标完成情况</w:t>
          </w:r>
          <w:r>
            <w:tab/>
          </w:r>
          <w:r>
            <w:fldChar w:fldCharType="begin"/>
          </w:r>
          <w:r>
            <w:instrText xml:space="preserve"> PAGEREF _Toc10666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pStyle w:val="TOC2"/>
            <w:tabs>
              <w:tab w:val="right" w:leader="dot" w:pos="9724"/>
            </w:tabs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instrText xml:space="preserve"> HYPERLINK \l _Toc31736 </w:instrText>
          </w:r>
          <w:r>
            <w:rPr>
              <w:rFonts w:ascii="Cambria" w:eastAsia="Cambria" w:hAnsi="Cambria" w:cs="Cambria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问题改进</w:t>
          </w:r>
          <w:r>
            <w:tab/>
          </w:r>
          <w:r>
            <w:fldChar w:fldCharType="begin"/>
          </w:r>
          <w:r>
            <w:instrText xml:space="preserve"> PAGEREF _Toc31736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>
          <w:pPr>
            <w:spacing w:line="220" w:lineRule="auto"/>
            <w:rPr>
              <w:rFonts w:ascii="Cambria" w:eastAsia="Cambria" w:hAnsi="Cambria" w:cs="Cambria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mbria" w:eastAsia="Cambria" w:hAnsi="Cambria" w:cs="Cambria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>
      <w:pPr>
        <w:spacing w:line="220" w:lineRule="auto"/>
        <w:rPr>
          <w:rFonts w:ascii="Cambria" w:eastAsia="Cambria" w:hAnsi="Cambria" w:cs="Cambria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w:type="default" r:id="rId6"/>
          <w:footerReference w:type="default" r:id="rId7"/>
          <w:pgSz w:w="11906" w:h="16839"/>
          <w:pgMar w:top="400" w:right="1090" w:bottom="1157" w:left="1092" w:header="0" w:footer="990" w:gutter="0"/>
          <w:cols w:num="1" w:space="720"/>
        </w:sectPr>
      </w:pPr>
      <w:bookmarkStart w:id="8" w:name="_GoBack"/>
      <w:bookmarkEnd w:id="8"/>
    </w:p>
    <w:p>
      <w:pPr>
        <w:pStyle w:val="1"/>
        <w:bidi w:val="0"/>
        <w:rPr>
          <w:rFonts w:hint="eastAsia"/>
        </w:rPr>
      </w:pPr>
      <w:bookmarkStart w:id="9" w:name="bookmark1"/>
      <w:bookmarkEnd w:id="9"/>
      <w:bookmarkStart w:id="10" w:name="_Toc22156"/>
      <w:bookmarkStart w:id="11" w:name="_Toc25940"/>
      <w:r>
        <w:rPr>
          <w:rFonts w:hint="eastAsia"/>
          <w:lang w:val="en-US" w:eastAsia="zh-CN"/>
        </w:rPr>
        <w:t>服务数据</w:t>
      </w:r>
      <w:r>
        <w:rPr>
          <w:rFonts w:hint="eastAsia"/>
        </w:rPr>
        <w:t>概况</w:t>
      </w:r>
      <w:bookmarkEnd w:id="10"/>
      <w:bookmarkEnd w:id="11"/>
    </w:p>
    <w:p>
      <w:pPr>
        <w:spacing w:before="266" w:line="348" w:lineRule="auto"/>
        <w:ind w:left="1" w:right="287" w:firstLine="559"/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随着公司《服务数据管理制度》的制定和实施，明确了流程执行原则，服务数据的使用和管理能力逐渐提升。服务数据是运维过程中产生的各类数据集合，包括系统性能数据（如 CPU 使用率、响应时间）、服务台工单数据（如故障类型、处理时长）、用户反馈数据等。其核心作用是 “驱动运维从‘被动响应 ’向‘主动优化 ’转型 ”。</w:t>
      </w:r>
    </w:p>
    <w:p>
      <w:pPr>
        <w:pStyle w:val="1"/>
        <w:bidi w:val="0"/>
        <w:rPr>
          <w:rFonts w:hint="eastAsia"/>
        </w:rPr>
      </w:pPr>
      <w:bookmarkStart w:id="12" w:name="_Toc24803"/>
      <w:bookmarkStart w:id="13" w:name="_Toc23092"/>
      <w:r>
        <w:rPr>
          <w:rFonts w:hint="eastAsia"/>
        </w:rPr>
        <w:t>严格要求</w:t>
      </w:r>
      <w:r>
        <w:rPr>
          <w:rFonts w:hint="eastAsia"/>
          <w:lang w:val="en-US" w:eastAsia="zh-CN"/>
        </w:rPr>
        <w:t>服务数据管理</w:t>
      </w:r>
      <w:r>
        <w:rPr>
          <w:rFonts w:hint="eastAsia"/>
        </w:rPr>
        <w:t>工作</w:t>
      </w:r>
      <w:bookmarkEnd w:id="12"/>
      <w:bookmarkEnd w:id="13"/>
    </w:p>
    <w:p>
      <w:pPr>
        <w:spacing w:before="266" w:line="348" w:lineRule="auto"/>
        <w:ind w:left="1" w:right="287" w:firstLine="559"/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</w:pP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数据采集与分析</w:t>
      </w:r>
    </w:p>
    <w:p>
      <w:pPr>
        <w:spacing w:before="266" w:line="348" w:lineRule="auto"/>
        <w:ind w:left="1" w:right="287" w:firstLine="559"/>
      </w:pPr>
      <w:r>
        <w:rPr>
          <w:rFonts w:ascii="宋体" w:eastAsia="宋体" w:hAnsi="宋体" w:cs="宋体" w:hint="eastAsia"/>
          <w:spacing w:val="-1"/>
          <w:sz w:val="28"/>
          <w:szCs w:val="28"/>
          <w:lang w:val="en-US" w:eastAsia="zh-CN"/>
        </w:rPr>
        <w:t>采集范围：包括监控数据系统性能数据等。运用H3C智能管理中心进行数据采集</w:t>
      </w:r>
      <w:r>
        <w:drawing>
          <wp:inline distT="0" distB="0" distL="114300" distR="114300">
            <wp:extent cx="6039485" cy="215773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6035040" cy="2996565"/>
            <wp:effectExtent l="0" t="0" r="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29552"/>
      <w:bookmarkStart w:id="15" w:name="_Toc10666"/>
      <w:r>
        <w:rPr>
          <w:rFonts w:hint="eastAsia"/>
          <w:lang w:val="en-US" w:eastAsia="zh-CN"/>
        </w:rPr>
        <w:t>指标完成情况</w:t>
      </w:r>
      <w:bookmarkEnd w:id="14"/>
      <w:bookmarkEnd w:id="15"/>
    </w:p>
    <w:p>
      <w:pPr>
        <w:spacing w:before="78" w:line="362" w:lineRule="auto"/>
        <w:ind w:left="24" w:right="123" w:firstLine="239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3"/>
          <w:sz w:val="24"/>
          <w:szCs w:val="24"/>
        </w:rPr>
        <w:t>2025年度运维服务能力管理指标体系</w:t>
      </w:r>
      <w:r>
        <w:rPr>
          <w:rFonts w:ascii="宋体" w:eastAsia="宋体" w:hAnsi="宋体" w:cs="宋体" w:hint="eastAsia"/>
          <w:spacing w:val="3"/>
          <w:sz w:val="24"/>
          <w:szCs w:val="24"/>
          <w:lang w:val="en-US" w:eastAsia="zh-CN"/>
        </w:rPr>
        <w:t>中要求服务数据的季度分析利用次数≥2次</w:t>
      </w:r>
      <w:r>
        <w:rPr>
          <w:rFonts w:ascii="宋体" w:eastAsia="宋体" w:hAnsi="宋体" w:cs="宋体"/>
          <w:spacing w:val="2"/>
          <w:sz w:val="24"/>
          <w:szCs w:val="24"/>
        </w:rPr>
        <w:t>，</w:t>
      </w:r>
      <w:r>
        <w:rPr>
          <w:rFonts w:ascii="宋体" w:eastAsia="宋体" w:hAnsi="宋体" w:cs="宋体" w:hint="eastAsia"/>
          <w:spacing w:val="2"/>
          <w:sz w:val="24"/>
          <w:szCs w:val="24"/>
          <w:lang w:val="en-US" w:eastAsia="zh-CN"/>
        </w:rPr>
        <w:t>2025年第一、二和三季度服务数据分析利用次数分别为2次、3次、3次</w:t>
      </w:r>
      <w:r>
        <w:rPr>
          <w:rFonts w:ascii="宋体" w:eastAsia="宋体" w:hAnsi="宋体" w:cs="宋体"/>
          <w:spacing w:val="-4"/>
          <w:sz w:val="24"/>
          <w:szCs w:val="24"/>
        </w:rPr>
        <w:t>。目前公司服务数据管理情况良好，但仍有提升的空间。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32450"/>
      <w:bookmarkStart w:id="17" w:name="_Toc31736"/>
      <w:r>
        <w:rPr>
          <w:rFonts w:hint="eastAsia"/>
          <w:lang w:val="en-US" w:eastAsia="zh-CN"/>
        </w:rPr>
        <w:t>问题改进</w:t>
      </w:r>
      <w:bookmarkEnd w:id="16"/>
      <w:bookmarkEnd w:id="17"/>
    </w:p>
    <w:p>
      <w:pPr>
        <w:spacing w:before="78" w:line="362" w:lineRule="auto"/>
        <w:ind w:left="24" w:right="123" w:firstLine="239"/>
        <w:rPr>
          <w:rFonts w:ascii="宋体" w:eastAsia="宋体" w:hAnsi="宋体" w:cs="宋体" w:hint="default"/>
          <w:spacing w:val="-4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4"/>
          <w:sz w:val="24"/>
          <w:szCs w:val="24"/>
        </w:rPr>
        <w:t>数据孤岛现象依然存在，部分系统的数据尚未接入数据库汇总，导致数据分析的全面性受到影响。</w:t>
      </w:r>
    </w:p>
    <w:sectPr>
      <w:headerReference w:type="default" r:id="rId10"/>
      <w:footerReference w:type="default" r:id="rId11"/>
      <w:pgSz w:w="11906" w:h="16839"/>
      <w:pgMar w:top="400" w:right="1305" w:bottom="885" w:left="1088" w:header="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8" w:lineRule="auto"/>
      <w:ind w:left="4822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7" w:lineRule="auto"/>
      <w:ind w:left="4827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5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pict>
        <v:shape id="_x0000_s4098" o:spid="_x0000_s2049" style="height:0.75pt;margin-left:88.4pt;margin-top:54.1pt;mso-height-relative:page;mso-position-horizontal-relative:page;mso-position-vertical-relative:page;mso-width-relative:page;position:absolute;width:418.5pt;z-index:251658240" coordsize="8370,15" o:allowincell="f" path="m,7l8369,7e" filled="f" stroked="t">
          <v:stroke joinstyle="miter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525</Words>
  <Characters>618</Characters>
  <Application>Microsoft Office Word</Application>
  <DocSecurity>0</DocSecurity>
  <Lines>0</Lines>
  <Paragraphs>0</Paragraphs>
  <ScaleCrop>false</ScaleCrop>
  <Company/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健 张</dc:creator>
  <cp:lastModifiedBy>郝宇</cp:lastModifiedBy>
  <cp:revision>0</cp:revision>
  <dcterms:created xsi:type="dcterms:W3CDTF">2025-08-19T16:09:00Z</dcterms:created>
  <dcterms:modified xsi:type="dcterms:W3CDTF">2025-12-14T14:57:54Z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2025-08-19T16:30:13Z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CFDE222629BE4E3F8B7CA130F736AF10_13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