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bookmarkStart w:id="0" w:name="_Toc12969"/>
      <w:r>
        <w:rPr>
          <w:rFonts w:hint="eastAsia"/>
          <w:lang w:val="en-US" w:eastAsia="zh-CN"/>
        </w:rPr>
        <w:t>天津市华夏电缆有限公司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default"/>
          <w:lang w:val="en-US" w:eastAsia="zh-CN"/>
        </w:rPr>
      </w:pPr>
      <w:bookmarkStart w:id="1" w:name="_Toc27971"/>
      <w:r>
        <w:rPr>
          <w:rFonts w:hint="eastAsia"/>
          <w:lang w:val="en-US" w:eastAsia="zh-CN"/>
        </w:rPr>
        <w:t>交付管理规定</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2" w:name="_Toc30198"/>
      <w:r>
        <w:rPr>
          <w:rFonts w:hint="eastAsia"/>
          <w:lang w:val="en-US" w:eastAsia="zh-CN"/>
        </w:rPr>
        <w:t>（HXDL-ITSS-0901）</w:t>
      </w:r>
      <w:bookmarkEnd w:id="2"/>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赵川华</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bookmarkStart w:id="3" w:name="_Toc8905"/>
      <w:r>
        <w:rPr>
          <w:rFonts w:ascii="宋体" w:eastAsia="宋体" w:hAnsi="宋体" w:cs="宋体"/>
          <w:b/>
          <w:bCs/>
          <w:spacing w:val="-4"/>
          <w:sz w:val="30"/>
          <w:szCs w:val="30"/>
        </w:rPr>
        <w:t>文件编制和变更履历</w:t>
      </w:r>
      <w:bookmarkEnd w:id="3"/>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76430"/>
        <w:docPartObj>
          <w:docPartGallery w:val="Table of Contents"/>
          <w:docPartUnique/>
        </w:docPartObj>
      </w:sdtPr>
      <w:sdtContent>
        <w:p>
          <w:pPr>
            <w:spacing w:before="0" w:beforeLines="0" w:after="0" w:afterLines="0" w:line="240" w:lineRule="auto"/>
            <w:ind w:left="0" w:right="0" w:firstLine="0" w:leftChars="0" w:rightChars="0" w:firstLineChars="0"/>
            <w:jc w:val="center"/>
          </w:pPr>
          <w:bookmarkStart w:id="4" w:name="heading_2"/>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_Toc12969 </w:instrText>
          </w:r>
          <w:r>
            <w:fldChar w:fldCharType="separate"/>
          </w:r>
          <w:r>
            <w:rPr>
              <w:rFonts w:hint="eastAsia"/>
              <w:lang w:val="en-US" w:eastAsia="zh-CN"/>
            </w:rPr>
            <w:t>天津市华夏电缆有限公司</w:t>
          </w:r>
          <w:r>
            <w:tab/>
          </w:r>
          <w:r>
            <w:fldChar w:fldCharType="begin"/>
          </w:r>
          <w:r>
            <w:instrText xml:space="preserve"> PAGEREF _Toc12969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_Toc27971 </w:instrText>
          </w:r>
          <w:r>
            <w:fldChar w:fldCharType="separate"/>
          </w:r>
          <w:r>
            <w:rPr>
              <w:rFonts w:hint="eastAsia"/>
              <w:lang w:val="en-US" w:eastAsia="zh-CN"/>
            </w:rPr>
            <w:t>交付管理规定</w:t>
          </w:r>
          <w:r>
            <w:tab/>
          </w:r>
          <w:r>
            <w:fldChar w:fldCharType="begin"/>
          </w:r>
          <w:r>
            <w:instrText xml:space="preserve"> PAGEREF _Toc27971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_Toc30198 </w:instrText>
          </w:r>
          <w:r>
            <w:fldChar w:fldCharType="separate"/>
          </w:r>
          <w:r>
            <w:rPr>
              <w:rFonts w:hint="eastAsia"/>
              <w:lang w:val="en-US" w:eastAsia="zh-CN"/>
            </w:rPr>
            <w:t>（HXDL-ITSS-0901）</w:t>
          </w:r>
          <w:r>
            <w:tab/>
          </w:r>
          <w:r>
            <w:fldChar w:fldCharType="begin"/>
          </w:r>
          <w:r>
            <w:instrText xml:space="preserve"> PAGEREF _Toc30198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_Toc8905 </w:instrText>
          </w:r>
          <w:r>
            <w:fldChar w:fldCharType="separate"/>
          </w:r>
          <w:r>
            <w:rPr>
              <w:rFonts w:ascii="宋体" w:eastAsia="宋体" w:hAnsi="宋体" w:cs="宋体"/>
              <w:bCs/>
              <w:spacing w:val="-4"/>
              <w:szCs w:val="30"/>
            </w:rPr>
            <w:t>文件编制和变更履历</w:t>
          </w:r>
          <w:r>
            <w:tab/>
          </w:r>
          <w:r>
            <w:fldChar w:fldCharType="begin"/>
          </w:r>
          <w:r>
            <w:instrText xml:space="preserve"> PAGEREF _Toc8905 \h </w:instrText>
          </w:r>
          <w:r>
            <w:fldChar w:fldCharType="separate"/>
          </w:r>
          <w:r>
            <w:t>2</w:t>
          </w:r>
          <w:r>
            <w:fldChar w:fldCharType="end"/>
          </w:r>
          <w:r>
            <w:fldChar w:fldCharType="end"/>
          </w:r>
        </w:p>
        <w:p>
          <w:pPr>
            <w:pStyle w:val="TOC1"/>
            <w:tabs>
              <w:tab w:val="right" w:leader="dot" w:pos="8306"/>
            </w:tabs>
          </w:pPr>
          <w:r>
            <w:fldChar w:fldCharType="begin"/>
          </w:r>
          <w:r>
            <w:instrText xml:space="preserve"> HYPERLINK \l _Toc13885 </w:instrText>
          </w:r>
          <w:r>
            <w:fldChar w:fldCharType="separate"/>
          </w:r>
          <w:r>
            <w:rPr>
              <w:rFonts w:hint="default"/>
            </w:rPr>
            <w:t xml:space="preserve">1. </w:t>
          </w:r>
          <w:r>
            <w:t>目的</w:t>
          </w:r>
          <w:r>
            <w:tab/>
          </w:r>
          <w:r>
            <w:fldChar w:fldCharType="begin"/>
          </w:r>
          <w:r>
            <w:instrText xml:space="preserve"> PAGEREF _Toc13885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_Toc8716 </w:instrText>
          </w:r>
          <w:r>
            <w:fldChar w:fldCharType="separate"/>
          </w:r>
          <w:r>
            <w:rPr>
              <w:rFonts w:hint="default"/>
            </w:rPr>
            <w:t xml:space="preserve">2. </w:t>
          </w:r>
          <w:r>
            <w:t>术语定义与引用标准</w:t>
          </w:r>
          <w:r>
            <w:tab/>
          </w:r>
          <w:r>
            <w:fldChar w:fldCharType="begin"/>
          </w:r>
          <w:r>
            <w:instrText xml:space="preserve"> PAGEREF _Toc8716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_Toc20557 </w:instrText>
          </w:r>
          <w:r>
            <w:fldChar w:fldCharType="separate"/>
          </w:r>
          <w:r>
            <w:rPr>
              <w:rFonts w:hint="default"/>
            </w:rPr>
            <w:t xml:space="preserve">2.1. </w:t>
          </w:r>
          <w:r>
            <w:t>术语定义</w:t>
          </w:r>
          <w:r>
            <w:tab/>
          </w:r>
          <w:r>
            <w:fldChar w:fldCharType="begin"/>
          </w:r>
          <w:r>
            <w:instrText xml:space="preserve"> PAGEREF _Toc20557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_Toc1007 </w:instrText>
          </w:r>
          <w:r>
            <w:fldChar w:fldCharType="separate"/>
          </w:r>
          <w:r>
            <w:rPr>
              <w:rFonts w:hint="default"/>
            </w:rPr>
            <w:t xml:space="preserve">2.2. </w:t>
          </w:r>
          <w:r>
            <w:t>引用标准</w:t>
          </w:r>
          <w:r>
            <w:tab/>
          </w:r>
          <w:r>
            <w:fldChar w:fldCharType="begin"/>
          </w:r>
          <w:r>
            <w:instrText xml:space="preserve"> PAGEREF _Toc1007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_Toc13191 </w:instrText>
          </w:r>
          <w:r>
            <w:fldChar w:fldCharType="separate"/>
          </w:r>
          <w:r>
            <w:rPr>
              <w:rFonts w:hint="default"/>
            </w:rPr>
            <w:t xml:space="preserve">3. </w:t>
          </w:r>
          <w:r>
            <w:t>适用范围</w:t>
          </w:r>
          <w:r>
            <w:tab/>
          </w:r>
          <w:r>
            <w:fldChar w:fldCharType="begin"/>
          </w:r>
          <w:r>
            <w:instrText xml:space="preserve"> PAGEREF _Toc13191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_Toc29746 </w:instrText>
          </w:r>
          <w:r>
            <w:fldChar w:fldCharType="separate"/>
          </w:r>
          <w:r>
            <w:rPr>
              <w:rFonts w:hint="default"/>
            </w:rPr>
            <w:t xml:space="preserve">4. </w:t>
          </w:r>
          <w:r>
            <w:t>职责</w:t>
          </w:r>
          <w:r>
            <w:tab/>
          </w:r>
          <w:r>
            <w:fldChar w:fldCharType="begin"/>
          </w:r>
          <w:r>
            <w:instrText xml:space="preserve"> PAGEREF _Toc29746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_Toc30474 </w:instrText>
          </w:r>
          <w:r>
            <w:fldChar w:fldCharType="separate"/>
          </w:r>
          <w:r>
            <w:rPr>
              <w:rFonts w:hint="default"/>
            </w:rPr>
            <w:t xml:space="preserve">4.1. </w:t>
          </w:r>
          <w:r>
            <w:t>人力资源部</w:t>
          </w:r>
          <w:r>
            <w:tab/>
          </w:r>
          <w:r>
            <w:fldChar w:fldCharType="begin"/>
          </w:r>
          <w:r>
            <w:instrText xml:space="preserve"> PAGEREF _Toc30474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_Toc18028 </w:instrText>
          </w:r>
          <w:r>
            <w:fldChar w:fldCharType="separate"/>
          </w:r>
          <w:r>
            <w:rPr>
              <w:rFonts w:hint="default"/>
            </w:rPr>
            <w:t xml:space="preserve">4.2. </w:t>
          </w:r>
          <w:r>
            <w:t>运维部</w:t>
          </w:r>
          <w:r>
            <w:tab/>
          </w:r>
          <w:r>
            <w:fldChar w:fldCharType="begin"/>
          </w:r>
          <w:r>
            <w:instrText xml:space="preserve"> PAGEREF _Toc18028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_Toc7475 </w:instrText>
          </w:r>
          <w:r>
            <w:fldChar w:fldCharType="separate"/>
          </w:r>
          <w:r>
            <w:rPr>
              <w:rFonts w:hint="default"/>
            </w:rPr>
            <w:t xml:space="preserve">4.3. </w:t>
          </w:r>
          <w:r>
            <w:t>质量部</w:t>
          </w:r>
          <w:r>
            <w:tab/>
          </w:r>
          <w:r>
            <w:fldChar w:fldCharType="begin"/>
          </w:r>
          <w:r>
            <w:instrText xml:space="preserve"> PAGEREF _Toc7475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_Toc9223 </w:instrText>
          </w:r>
          <w:r>
            <w:fldChar w:fldCharType="separate"/>
          </w:r>
          <w:r>
            <w:rPr>
              <w:rFonts w:hint="default"/>
            </w:rPr>
            <w:t xml:space="preserve">5. </w:t>
          </w:r>
          <w:r>
            <w:t>运维项目交付管理</w:t>
          </w:r>
          <w:r>
            <w:tab/>
          </w:r>
          <w:r>
            <w:fldChar w:fldCharType="begin"/>
          </w:r>
          <w:r>
            <w:instrText xml:space="preserve"> PAGEREF _Toc9223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_Toc8261 </w:instrText>
          </w:r>
          <w:r>
            <w:fldChar w:fldCharType="separate"/>
          </w:r>
          <w:r>
            <w:rPr>
              <w:rFonts w:hint="default"/>
            </w:rPr>
            <w:t xml:space="preserve">5.1. </w:t>
          </w:r>
          <w:r>
            <w:t>项目立项</w:t>
          </w:r>
          <w:r>
            <w:tab/>
          </w:r>
          <w:r>
            <w:fldChar w:fldCharType="begin"/>
          </w:r>
          <w:r>
            <w:instrText xml:space="preserve"> PAGEREF _Toc8261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_Toc8903 </w:instrText>
          </w:r>
          <w:r>
            <w:fldChar w:fldCharType="separate"/>
          </w:r>
          <w:r>
            <w:rPr>
              <w:rFonts w:hint="default"/>
            </w:rPr>
            <w:t xml:space="preserve">5.2. </w:t>
          </w:r>
          <w:r>
            <w:t>项目策划</w:t>
          </w:r>
          <w:r>
            <w:tab/>
          </w:r>
          <w:r>
            <w:fldChar w:fldCharType="begin"/>
          </w:r>
          <w:r>
            <w:instrText xml:space="preserve"> PAGEREF _Toc8903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_Toc31034 </w:instrText>
          </w:r>
          <w:r>
            <w:fldChar w:fldCharType="separate"/>
          </w:r>
          <w:r>
            <w:rPr>
              <w:rFonts w:hint="default"/>
            </w:rPr>
            <w:t xml:space="preserve">5.3. </w:t>
          </w:r>
          <w:r>
            <w:t>计划评审</w:t>
          </w:r>
          <w:r>
            <w:tab/>
          </w:r>
          <w:r>
            <w:fldChar w:fldCharType="begin"/>
          </w:r>
          <w:r>
            <w:instrText xml:space="preserve"> PAGEREF _Toc31034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_Toc20712 </w:instrText>
          </w:r>
          <w:r>
            <w:fldChar w:fldCharType="separate"/>
          </w:r>
          <w:r>
            <w:rPr>
              <w:rFonts w:hint="default"/>
            </w:rPr>
            <w:t xml:space="preserve">5.4. </w:t>
          </w:r>
          <w:r>
            <w:t>项目实施</w:t>
          </w:r>
          <w:r>
            <w:tab/>
          </w:r>
          <w:r>
            <w:fldChar w:fldCharType="begin"/>
          </w:r>
          <w:r>
            <w:instrText xml:space="preserve"> PAGEREF _Toc20712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_Toc6652 </w:instrText>
          </w:r>
          <w:r>
            <w:fldChar w:fldCharType="separate"/>
          </w:r>
          <w:r>
            <w:rPr>
              <w:rFonts w:hint="default"/>
            </w:rPr>
            <w:t xml:space="preserve">5.4.1. </w:t>
          </w:r>
          <w:r>
            <w:t>项目团队组建</w:t>
          </w:r>
          <w:r>
            <w:tab/>
          </w:r>
          <w:r>
            <w:fldChar w:fldCharType="begin"/>
          </w:r>
          <w:r>
            <w:instrText xml:space="preserve"> PAGEREF _Toc6652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_Toc27353 </w:instrText>
          </w:r>
          <w:r>
            <w:fldChar w:fldCharType="separate"/>
          </w:r>
          <w:r>
            <w:rPr>
              <w:rFonts w:hint="default"/>
            </w:rPr>
            <w:t xml:space="preserve">5.4.2. </w:t>
          </w:r>
          <w:r>
            <w:t>项目实施</w:t>
          </w:r>
          <w:r>
            <w:tab/>
          </w:r>
          <w:r>
            <w:fldChar w:fldCharType="begin"/>
          </w:r>
          <w:r>
            <w:instrText xml:space="preserve"> PAGEREF _Toc27353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_Toc24225 </w:instrText>
          </w:r>
          <w:r>
            <w:fldChar w:fldCharType="separate"/>
          </w:r>
          <w:r>
            <w:rPr>
              <w:rFonts w:hint="default"/>
            </w:rPr>
            <w:t xml:space="preserve">5.4.3. </w:t>
          </w:r>
          <w:r>
            <w:t>项目检查</w:t>
          </w:r>
          <w:r>
            <w:tab/>
          </w:r>
          <w:r>
            <w:fldChar w:fldCharType="begin"/>
          </w:r>
          <w:r>
            <w:instrText xml:space="preserve"> PAGEREF _Toc24225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_Toc20509 </w:instrText>
          </w:r>
          <w:r>
            <w:fldChar w:fldCharType="separate"/>
          </w:r>
          <w:r>
            <w:rPr>
              <w:rFonts w:hint="default"/>
            </w:rPr>
            <w:t xml:space="preserve">5.4.4. </w:t>
          </w:r>
          <w:r>
            <w:t>项目验收</w:t>
          </w:r>
          <w:r>
            <w:tab/>
          </w:r>
          <w:r>
            <w:fldChar w:fldCharType="begin"/>
          </w:r>
          <w:r>
            <w:instrText xml:space="preserve"> PAGEREF _Toc20509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_Toc21859 </w:instrText>
          </w:r>
          <w:r>
            <w:fldChar w:fldCharType="separate"/>
          </w:r>
          <w:r>
            <w:rPr>
              <w:rFonts w:hint="default"/>
            </w:rPr>
            <w:t xml:space="preserve">5.4.5. </w:t>
          </w:r>
          <w:r>
            <w:t>项目改进</w:t>
          </w:r>
          <w:r>
            <w:tab/>
          </w:r>
          <w:r>
            <w:fldChar w:fldCharType="begin"/>
          </w:r>
          <w:r>
            <w:instrText xml:space="preserve"> PAGEREF _Toc21859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_Toc14292 </w:instrText>
          </w:r>
          <w:r>
            <w:fldChar w:fldCharType="separate"/>
          </w:r>
          <w:r>
            <w:rPr>
              <w:rFonts w:hint="default"/>
            </w:rPr>
            <w:t xml:space="preserve">5.4.6. </w:t>
          </w:r>
          <w:r>
            <w:t>项目交付</w:t>
          </w:r>
          <w:r>
            <w:tab/>
          </w:r>
          <w:r>
            <w:fldChar w:fldCharType="begin"/>
          </w:r>
          <w:r>
            <w:instrText xml:space="preserve"> PAGEREF _Toc14292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_Toc31587 </w:instrText>
          </w:r>
          <w:r>
            <w:fldChar w:fldCharType="separate"/>
          </w:r>
          <w:r>
            <w:rPr>
              <w:rFonts w:hint="default"/>
            </w:rPr>
            <w:t xml:space="preserve">5.4.7. </w:t>
          </w:r>
          <w:r>
            <w:t>交付成果</w:t>
          </w:r>
          <w:r>
            <w:tab/>
          </w:r>
          <w:r>
            <w:fldChar w:fldCharType="begin"/>
          </w:r>
          <w:r>
            <w:instrText xml:space="preserve"> PAGEREF _Toc31587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_Toc27392 </w:instrText>
          </w:r>
          <w:r>
            <w:fldChar w:fldCharType="separate"/>
          </w:r>
          <w:r>
            <w:rPr>
              <w:rFonts w:hint="default"/>
            </w:rPr>
            <w:t xml:space="preserve">6. </w:t>
          </w:r>
          <w:r>
            <w:t>相关文件和记录</w:t>
          </w:r>
          <w:r>
            <w:tab/>
          </w:r>
          <w:r>
            <w:fldChar w:fldCharType="begin"/>
          </w:r>
          <w:r>
            <w:instrText xml:space="preserve"> PAGEREF _Toc27392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_Toc15483 </w:instrText>
          </w:r>
          <w:r>
            <w:fldChar w:fldCharType="separate"/>
          </w:r>
          <w:r>
            <w:rPr>
              <w:rFonts w:hint="default"/>
            </w:rPr>
            <w:t xml:space="preserve">7. </w:t>
          </w:r>
          <w:r>
            <w:t>交付管理关键指标</w:t>
          </w:r>
          <w:r>
            <w:tab/>
          </w:r>
          <w:r>
            <w:fldChar w:fldCharType="begin"/>
          </w:r>
          <w:r>
            <w:instrText xml:space="preserve"> PAGEREF _Toc15483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_Toc14724 </w:instrText>
          </w:r>
          <w:r>
            <w:fldChar w:fldCharType="separate"/>
          </w:r>
          <w:r>
            <w:rPr>
              <w:rFonts w:hint="default"/>
              <w:lang w:val="en-US" w:eastAsia="zh-CN"/>
            </w:rPr>
            <w:t xml:space="preserve">8. </w:t>
          </w:r>
          <w:r>
            <w:rPr>
              <w:rFonts w:hint="eastAsia"/>
              <w:lang w:val="en-US" w:eastAsia="zh-CN"/>
            </w:rPr>
            <w:t>KPI指标</w:t>
          </w:r>
          <w:r>
            <w:tab/>
          </w:r>
          <w:r>
            <w:fldChar w:fldCharType="begin"/>
          </w:r>
          <w:r>
            <w:instrText xml:space="preserve"> PAGEREF _Toc14724 \h </w:instrText>
          </w:r>
          <w:r>
            <w:fldChar w:fldCharType="separate"/>
          </w:r>
          <w:r>
            <w:t>12</w:t>
          </w:r>
          <w:r>
            <w:fldChar w:fldCharType="end"/>
          </w:r>
          <w:r>
            <w:fldChar w:fldCharType="end"/>
          </w:r>
        </w:p>
        <w:p>
          <w:r>
            <w:fldChar w:fldCharType="end"/>
          </w:r>
          <w:bookmarkStart w:id="5" w:name="_GoBack"/>
          <w:bookmarkEnd w:id="5"/>
        </w:p>
      </w:sdtContent>
    </w:sdt>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13885"/>
      <w:r>
        <w:t>目的</w:t>
      </w:r>
      <w:bookmarkEnd w:id="4"/>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文件编写的目的是为了规范化管理公司的运维服务项目管理，在运维服务业务中倡导一致的项目管理方式，统一运维项目的服务内容管理，规范指导并管理项目运行，以向客户提供标准化、规范化的运维服务，提高用户满意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3"/>
      <w:bookmarkStart w:id="8" w:name="_Toc8716"/>
      <w:r>
        <w:t>术语定义与引用标准</w:t>
      </w:r>
      <w:bookmarkEnd w:id="7"/>
      <w:bookmarkEnd w:id="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4"/>
      <w:bookmarkStart w:id="10" w:name="_Toc20557"/>
      <w:r>
        <w:t>术语定义</w:t>
      </w:r>
      <w:bookmarkEnd w:id="9"/>
      <w:bookmarkEnd w:id="10"/>
    </w:p>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无</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5"/>
      <w:bookmarkStart w:id="12" w:name="_Toc1007"/>
      <w:r>
        <w:t>引用标准</w:t>
      </w:r>
      <w:bookmarkEnd w:id="11"/>
      <w:bookmarkEnd w:id="12"/>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GB/T 28827.1-20</w:t>
      </w:r>
      <w:r>
        <w:rPr>
          <w:rFonts w:hint="eastAsia"/>
          <w:lang w:val="en-US" w:eastAsia="zh-CN"/>
        </w:rPr>
        <w:t>2</w:t>
      </w:r>
      <w:r>
        <w:t>2 信息技术服务 运行维护 第1 部分:通用要求</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GB/T 28827.2-2012 信息技术服务 运行维护 第2 部分:交付规范</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GB/T 28827.3-2012 信息技术服务 运行维护 第3 部分:应急响应规范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6"/>
      <w:bookmarkStart w:id="14" w:name="_Toc13191"/>
      <w:r>
        <w:t>适用范围</w:t>
      </w:r>
      <w:bookmarkEnd w:id="13"/>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本文件适用于公司的运维服务项目管理。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7"/>
      <w:bookmarkStart w:id="16" w:name="_Toc29746"/>
      <w:r>
        <w:t>职责</w:t>
      </w:r>
      <w:bookmarkEnd w:id="15"/>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项目交付管理工作涉及运维部、项目经理、服务台、</w:t>
      </w:r>
      <w:r>
        <w:rPr>
          <w:rFonts w:hint="eastAsia"/>
          <w:lang w:val="en-US" w:eastAsia="zh-CN"/>
        </w:rPr>
        <w:t>质量部</w:t>
      </w:r>
      <w:r>
        <w:t>、</w:t>
      </w:r>
      <w:r>
        <w:rPr>
          <w:rFonts w:hint="eastAsia"/>
          <w:lang w:val="en-US" w:eastAsia="zh-CN"/>
        </w:rPr>
        <w:t>人力资源部</w:t>
      </w:r>
      <w:r>
        <w:t>，组成。各相关部门的具体工作职责如下：</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9"/>
      <w:bookmarkStart w:id="18" w:name="_Toc30474"/>
      <w:r>
        <w:t>人力资源部</w:t>
      </w:r>
      <w:bookmarkEnd w:id="17"/>
      <w:bookmarkEnd w:id="18"/>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负责协助项目组建团队，招募项目团队成员；</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负责协助项目成员培训组织与实施；</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协助项目实施部门做好人员岗位设置与绩效管理工作；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11"/>
      <w:bookmarkStart w:id="20" w:name="_Toc18028"/>
      <w:r>
        <w:t>运维部</w:t>
      </w:r>
      <w:bookmarkEnd w:id="19"/>
      <w:bookmarkEnd w:id="20"/>
    </w:p>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运维部的主要工作职责如下：</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负责组建和管理项目团队；</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负责编写项目立项及项目计划材料，明确项目范围、量化目标等；</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负责按与客户约定的SLA向客户提供服务，并及时向公司管理层反映项目实施过程中出现的异常情况和纠正措施；</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负责项目交付管理过程的监督与协调工作，定期向</w:t>
      </w:r>
      <w:r>
        <w:rPr>
          <w:rFonts w:hint="eastAsia"/>
          <w:lang w:eastAsia="zh-CN"/>
        </w:rPr>
        <w:t>质量部</w:t>
      </w:r>
      <w:r>
        <w:t>提交SLA自检结果及质量目标统计数据；</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负责推动完成客户验收工作。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heading_12"/>
      <w:bookmarkStart w:id="22" w:name="_Toc7475"/>
      <w:r>
        <w:t>质量部</w:t>
      </w:r>
      <w:bookmarkEnd w:id="21"/>
      <w:bookmarkEnd w:id="22"/>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负责组织级运维服务质量统计与管理归口工作；</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负责各类运维服务质量管理活动的组织工作。</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3"/>
      <w:bookmarkStart w:id="24" w:name="_Toc9223"/>
      <w:r>
        <w:t>运维项目交付管理</w:t>
      </w:r>
      <w:bookmarkEnd w:id="23"/>
      <w:bookmarkEnd w:id="2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heading_14"/>
      <w:bookmarkStart w:id="26" w:name="_Toc8261"/>
      <w:r>
        <w:t>项目立项</w:t>
      </w:r>
      <w:bookmarkEnd w:id="25"/>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立项分为两类，一类是续签类运维项目，一类是新签订运维项目。续签类项目原则上由原运维项目经理及团队负责项目的交付实施工作，新签订运维项目由部门经理召集部门项目经理组成员及其相关团队根据项目SLA确定项目经理及团队成员，组建项目团队。项目团队组建完毕后由项目经理在公司项目管理系统中申报立项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5"/>
      <w:bookmarkStart w:id="28" w:name="_Toc8903"/>
      <w:r>
        <w:t>项目策划</w:t>
      </w:r>
      <w:bookmarkEnd w:id="27"/>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项目经理组织项目管理工作时，应根据项目情况制定项目管理计划，应至少包含以下内容：</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项目经理应根据运维合同中SLA协议，梳理并明确本项目的交付内容、交付方式、交付成果，并确定量化的考核指标；</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项目经理应以满足SLA协议的交付内容、方式、成果的要求，预估项目工作量，确定项目团队所需人力资源架构，并着手落实所需人力资源；</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项目经理应以满足SLA协议的交付内容、方式、成果的要求，确定本项目适宜的工作流程、关键记录、服务报告、监控方式等，以保证项目实施过程与服务质量得到有效监督与管理；</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项目经理应明确项目实施所需工具、资源的配备要求，以确保项目实施所需能力得到满足；</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项目经理应充分识别项目实施过程的风险，并制定相应的风险规避、减缓或应急措施；</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项目经理应制定沟通策略，以保证与项目实施、质量相关的关键信息能及时传达给项目相关人员；</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项目经理应根据项目策划的结果，编制《运维项目管理计划》并提交审核。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6"/>
      <w:bookmarkStart w:id="30" w:name="_Toc31034"/>
      <w:r>
        <w:t>计划评审</w:t>
      </w:r>
      <w:bookmarkEnd w:id="29"/>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项目经理完成《运维项目管理计划》后应提交至运维部经理、运维业务线及</w:t>
      </w:r>
      <w:r>
        <w:rPr>
          <w:rFonts w:hint="eastAsia"/>
          <w:lang w:eastAsia="zh-CN"/>
        </w:rPr>
        <w:t>质量部</w:t>
      </w:r>
      <w:r>
        <w:t>相关人员进行评审，以保证完成项目所覆盖合同所需人员、过程、资源及工具的配备与客户签订的SLA的要求能力相匹配。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评审通过的《运维项目管理计划》应通知项目相关人员，包括项目组成员、技术支撑组、客户接口人等。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7"/>
      <w:bookmarkStart w:id="32" w:name="_Toc20712"/>
      <w:r>
        <w:t>项目实施</w:t>
      </w:r>
      <w:bookmarkEnd w:id="31"/>
      <w:bookmarkEnd w:id="32"/>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8"/>
      <w:bookmarkStart w:id="34" w:name="_Toc6652"/>
      <w:r>
        <w:t>项目团队组建</w:t>
      </w:r>
      <w:bookmarkEnd w:id="33"/>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项目经理根据项目管理计划负责组建项目团队，明确团队职责、汇报关系；制定成员培训计划，持续提升团队能力。</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9"/>
      <w:bookmarkStart w:id="36" w:name="_Toc27353"/>
      <w:r>
        <w:t>项目实施</w:t>
      </w:r>
      <w:bookmarkEnd w:id="35"/>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项目经理组织项目团队按合同SLA要求实施项目，协调人力和其他资源，确保与客户约定SLA的达成。在项目实施过程中，各项目成员应注意以下问题：</w:t>
      </w:r>
    </w:p>
    <w:p>
      <w:pPr>
        <w:pStyle w:val="a1"/>
        <w:numPr>
          <w:ilvl w:val="0"/>
          <w:numId w:val="7"/>
        </w:numPr>
        <w:bidi w:val="0"/>
      </w:pPr>
      <w:r>
        <w:t>按照交付策划的要求实施；</w:t>
      </w:r>
    </w:p>
    <w:p>
      <w:pPr>
        <w:pStyle w:val="a1"/>
        <w:numPr>
          <w:ilvl w:val="0"/>
          <w:numId w:val="7"/>
        </w:numPr>
        <w:bidi w:val="0"/>
      </w:pPr>
      <w:r>
        <w:t>根据维护服务相关流程管理制度的规定、各类作业指导书的指引开展各项维护服务工作并留下工作记录，如内容、过程、状态、人员和时间等；</w:t>
      </w:r>
    </w:p>
    <w:p>
      <w:pPr>
        <w:pStyle w:val="a1"/>
        <w:numPr>
          <w:ilvl w:val="0"/>
          <w:numId w:val="7"/>
        </w:numPr>
        <w:bidi w:val="0"/>
      </w:pPr>
      <w:r>
        <w:t>对关键服务信息有记录，记录和统计衡量服务级别协议所需信息，如响应时间、现场支持时间等；</w:t>
      </w:r>
    </w:p>
    <w:p>
      <w:pPr>
        <w:pStyle w:val="a1"/>
        <w:numPr>
          <w:ilvl w:val="0"/>
          <w:numId w:val="7"/>
        </w:numPr>
        <w:bidi w:val="0"/>
      </w:pPr>
      <w:r>
        <w:t>按照管理要求和服务承诺提交服务报告；</w:t>
      </w:r>
    </w:p>
    <w:p>
      <w:pPr>
        <w:pStyle w:val="a1"/>
        <w:numPr>
          <w:ilvl w:val="0"/>
          <w:numId w:val="7"/>
        </w:numPr>
        <w:bidi w:val="0"/>
      </w:pPr>
      <w:r>
        <w:t>通过会议、邮件、工具平台等形式及时反馈任务进度、完成情况和执行过程中存在的问题等；</w:t>
      </w:r>
    </w:p>
    <w:p>
      <w:pPr>
        <w:pStyle w:val="a1"/>
        <w:numPr>
          <w:ilvl w:val="0"/>
          <w:numId w:val="7"/>
        </w:numPr>
        <w:bidi w:val="0"/>
      </w:pPr>
      <w:r>
        <w:t>使用</w:t>
      </w:r>
      <w:r>
        <w:rPr>
          <w:rFonts w:hint="eastAsia"/>
          <w:lang w:val="en-US" w:eastAsia="zh-CN"/>
        </w:rPr>
        <w:t>服务知识</w:t>
      </w:r>
      <w:r>
        <w:t>，及时归档文件，分享经验；</w:t>
      </w:r>
    </w:p>
    <w:p>
      <w:pPr>
        <w:pStyle w:val="a1"/>
        <w:numPr>
          <w:ilvl w:val="0"/>
          <w:numId w:val="7"/>
        </w:numPr>
        <w:bidi w:val="0"/>
      </w:pPr>
      <w:r>
        <w:t>确保人员、操作、数据以及工具等符合交付策划中对安全的要求；</w:t>
      </w:r>
    </w:p>
    <w:p>
      <w:pPr>
        <w:pStyle w:val="a1"/>
        <w:numPr>
          <w:ilvl w:val="0"/>
          <w:numId w:val="7"/>
        </w:numPr>
        <w:bidi w:val="0"/>
      </w:pPr>
      <w:r>
        <w:t>根据风险规避计划及时处理实施过程中发现的风险。</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heading_20"/>
      <w:bookmarkStart w:id="38" w:name="_Toc24225"/>
      <w:r>
        <w:t>项目检查</w:t>
      </w:r>
      <w:bookmarkEnd w:id="37"/>
      <w:bookmarkEnd w:id="38"/>
    </w:p>
    <w:p>
      <w:pPr>
        <w:pStyle w:val="a1"/>
        <w:bidi w:val="0"/>
      </w:pPr>
      <w:r>
        <w:t>运维部应定期通过工具、记录等方法监督查看项目SLA或其它服务度量指标的达成情况，总结项目实施过程风险预防效果、问题解决情况及效果等，并对是否会对项目整体SLA达成造成潜在威胁进行判断。当发现存在不符合或其它可能存在影响项目SLA及服务质量达成的隐患时，应组织相关人员分析原因，找出消除的方法并予以改进。</w:t>
      </w:r>
    </w:p>
    <w:p>
      <w:pPr>
        <w:pStyle w:val="a1"/>
        <w:bidi w:val="0"/>
      </w:pPr>
      <w:r>
        <w:rPr>
          <w:rFonts w:hint="eastAsia"/>
          <w:lang w:eastAsia="zh-CN"/>
        </w:rPr>
        <w:t>质量部</w:t>
      </w:r>
      <w:r>
        <w:t>依据交付策划对交付实施情况进行检查，进行需方满意度调查，定期从运维部收集项目实施相关数据；对服务交付的情况做审计评估，如策划的执行情况、服务交付的规范程度、文档的归档情况、交付过程信息的记录情况等。当发现目标未达成或存在影响运维服务能力的隐患时，应组织运维部及其它相关部门对问题原因进行分析，并加以整改。检查评估交付各过程中的安全情况和风险规避情况。</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21"/>
      <w:bookmarkStart w:id="40" w:name="_Toc20509"/>
      <w:r>
        <w:t>项目验收</w:t>
      </w:r>
      <w:bookmarkEnd w:id="39"/>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项目验收分为内部验收和外部验收。</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41" w:name="heading_22"/>
      <w:r>
        <w:t>内部验收</w:t>
      </w:r>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运维项目结束一个月内，项目组向</w:t>
      </w:r>
      <w:r>
        <w:rPr>
          <w:rFonts w:hint="eastAsia"/>
          <w:lang w:val="en-US" w:eastAsia="zh-CN"/>
        </w:rPr>
        <w:t>质量部</w:t>
      </w:r>
      <w:r>
        <w:t>提出内部验收申请，内部验收包括可交付成果(项目验收文档)提交与SLA达成评估。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项目组将完整的项目验收文档及SLA达成自评记录提交部门和</w:t>
      </w:r>
      <w:r>
        <w:rPr>
          <w:rFonts w:hint="eastAsia"/>
          <w:lang w:val="en-US" w:eastAsia="zh-CN"/>
        </w:rPr>
        <w:t>质量部</w:t>
      </w:r>
      <w:r>
        <w:t>。运维部与</w:t>
      </w:r>
      <w:r>
        <w:rPr>
          <w:rFonts w:hint="eastAsia"/>
          <w:lang w:eastAsia="zh-CN"/>
        </w:rPr>
        <w:t>质量部</w:t>
      </w:r>
      <w:r>
        <w:t>收集客户满意度调查结果，并结合项目组提交的SLA达成自评记录，对项目组的SLA达成情况进行评估，评估结果与项目绩效考核结果挂钩。</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42" w:name="heading_23"/>
      <w:r>
        <w:t>客户验收</w:t>
      </w:r>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项目经理应按合同约定的时间推进客户开展项目验收活动。客户对项目进行初验后，如存在遗留问题，项目经理应在终验或与客户约定的时间前组织解决落实。</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3" w:name="heading_24"/>
      <w:bookmarkStart w:id="44" w:name="_Toc21859"/>
      <w:r>
        <w:t>项目改进</w:t>
      </w:r>
      <w:bookmarkEnd w:id="43"/>
      <w:bookmarkEnd w:id="4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总结分析不符合服务级别协议的服务交付，提出并实施改善建议，跟踪反馈；调查分析需方投诉或满意度低分项，与需方确认不满意的具体内容，提出并实施改善意见，跟踪反馈；对需要规避的安全问题和风险提出并实施改进措施，跟踪反馈；按照交付改进计划持续改进。</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5"/>
      <w:bookmarkStart w:id="46" w:name="_Toc14292"/>
      <w:r>
        <w:t>项目交付</w:t>
      </w:r>
      <w:bookmarkEnd w:id="45"/>
      <w:bookmarkEnd w:id="4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交付可采用现场交付或远程交付的交付方式，确保运行维护服务的正常提供，以满足服务级别协议要求。</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bookmarkStart w:id="47" w:name="heading_26"/>
      <w:r>
        <w:t>现场交付</w:t>
      </w:r>
      <w:bookmarkEnd w:id="4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运维工程师到达客户现场为客户提供运维服务，从而满足服务级别协议要求。现场交付按照以下规范以及步骤执行：</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运维工程师在接收到现场交付工作后，需在抵达客户现场前开展客户信息收集工作。确定客户现场需交付内容以及客户要求到达时间，同时了解前期运维支持情况以及遗留的问题。并对以上信息进行记录汇总，记录完毕后再次与客户人员确定上述信息正确性；</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运维工程师需对初步确定的现场交付内容进行判定，并针对交付内容形成处理预案，由部门经理统一审核。同时对交付内容进行风险判定，针对风险制定风险应急预案；</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运维工程师根据处理预案准备相关资料以及运维工具，同时根据现场服务安全要求做好安全防范准备；</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运维工程师抵达客户现场后，需及时向客户告知已经抵达；</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运维工程师需要对现场客户人员详细说明服务内容、处理预案、风险信息以及风险应急措施，经客户人员确认方可开展工作；</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经客户人员确认后，运维工程师需根据客户现场管理制度，依据处理预案开展并完成运维服务作业；</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运维服务作业期间，存在问题无法解决或客户提出额外要求时，运维工程师需及时上报主管领导，经主管领导授权后，方可开展工作。同时对操作流程进行详细记录；</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此次运维服务工作存在问题遗留的，运维工程师需制定初步的遗留问题处理方案以及处理计划，双方达成共识后，由客户签署遗留问题确认单；</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运维工程师完成运维服务作业后，需协助客户对运维服务作业进行验收确认，并由客户最终签署服务单；</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运维工程师在完成服务现场恢复清洁后，经客户确认后方可离场；</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运维工程师返回组织驻地后，需提交《现场服务报告单》，由</w:t>
      </w:r>
      <w:r>
        <w:rPr>
          <w:rFonts w:hint="eastAsia"/>
          <w:lang w:eastAsia="zh-CN"/>
        </w:rPr>
        <w:t>运维部经理</w:t>
      </w:r>
      <w:r>
        <w:t>审核确认；</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rPr>
          <w:rFonts w:hint="eastAsia"/>
          <w:lang w:eastAsia="zh-CN"/>
        </w:rPr>
        <w:t>运维部经理</w:t>
      </w:r>
      <w:r>
        <w:t>组织开展针对遗留问题处理方案讨论会议，确定处理预案，并在下次现场交付时予以实施；</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由</w:t>
      </w:r>
      <w:r>
        <w:rPr>
          <w:rFonts w:hint="eastAsia"/>
          <w:lang w:eastAsia="zh-CN"/>
        </w:rPr>
        <w:t>服务台</w:t>
      </w:r>
      <w:r>
        <w:t>针对此次运维交付开展客户满意度调查，并如实记录归档。此次运维交付工作结束。</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bookmarkStart w:id="48" w:name="heading_27"/>
      <w:r>
        <w:t>远程交付</w:t>
      </w:r>
      <w:bookmarkEnd w:id="4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由运维工程师向客户提供远程运维服务，从而满足服务级别协议要求。远程交付按照以下规范以及步骤执行：</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运维工程师接受远程运维服务工作后，在开展远程运维服务前需开展客户信息收集工作。确定客户现场需交付内容以及客户要求支持时间，同时了解前期支持情况以及遗留的问题，并对以上信息进行记录汇总归档，记录完毕后再次与客户人员确定上述信息；</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对初步确定的远程交付内容进行问题判定，并针对交付内容形成处理预案，由</w:t>
      </w:r>
      <w:r>
        <w:rPr>
          <w:rFonts w:hint="eastAsia"/>
          <w:lang w:eastAsia="zh-CN"/>
        </w:rPr>
        <w:t>运维部经理</w:t>
      </w:r>
      <w:r>
        <w:t>统一审核。同时对交付内容进行风险判定，针对风险制定风险应急预案；</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运维工程师完成预案整理后，需验证远程交付工作条件，确定其稳定、安全以及可用后方可开展远程运维服务；</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运维工程师需按照约定时间联系需求方，并提供远程交付；</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在开展远程交付前，运维工程师需向需求方详细说明服务内容以及处理预案，并告知客户此次远程交付可能存在的风险以及风险应对预案；</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运维工程师需严格按照客户管理制度，在确保安全合规的前提下，依照处理预案开展远程服务工作，并做好相关服务记录；</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如在远程交付工作中出现无法解决的问题以及客户提出额外工作要求时，运维工程师需通知直属领导，经直属领导授权后方可开展后续工作；</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远程运维服务完成后，如仍存在遗留问题，运维工程师需对遗留问题进行详细记录，并针对遗留问题指定初步的处理预案以及处理计划。并将处理预案以及处理计划和客户沟通达成共识；</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完成远程支持作业后，运维工程师需协助客户验收和确认远程支持工作成果；</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运维工程师结束远程支持作业后，需对操作账号进行注销，并且断开远程连接等工作。运维工程师需告知客户并要求其进行确认。对方确认后，远程作业结束，完成远程交付；</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完成远程支持后，运维工程师需完善服务记录并经</w:t>
      </w:r>
      <w:r>
        <w:rPr>
          <w:rFonts w:hint="eastAsia"/>
          <w:lang w:eastAsia="zh-CN"/>
        </w:rPr>
        <w:t>运维部经理</w:t>
      </w:r>
      <w:r>
        <w:t>审核后归档；</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rPr>
          <w:rFonts w:hint="eastAsia"/>
          <w:lang w:eastAsia="zh-CN"/>
        </w:rPr>
        <w:t>服务台</w:t>
      </w:r>
      <w:r>
        <w:t>进行客户满意度回访，如实记录并归档；</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运维工程师对遗留问题进行深度挖掘，寻找解决方案，确定最终处理预案以及处理计划，及时跟踪处理；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远程交付工作结束。</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9" w:name="heading_28"/>
      <w:bookmarkStart w:id="50" w:name="_Toc31587"/>
      <w:r>
        <w:t>交付成果</w:t>
      </w:r>
      <w:bookmarkEnd w:id="49"/>
      <w:bookmarkEnd w:id="50"/>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bookmarkStart w:id="51" w:name="heading_29"/>
      <w:r>
        <w:t>例行操作</w:t>
      </w:r>
      <w:bookmarkEnd w:id="5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根据用户需求，形成的例行操作交付成果包括但不限于：运行状态信息记录；运行状态异常处理记录；趋势分析及可能的风险消除建议；运行维护服务对象配置信息记录；需方满意度调查和分析报告。</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bookmarkStart w:id="52" w:name="heading_30"/>
      <w:r>
        <w:t>应急响应</w:t>
      </w:r>
      <w:bookmarkEnd w:id="5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用户需求，形成的响应支持交付成果包括但不限于：响应支持记录；响应支持关键指标数据记录(服务级别协议达成情况、数量、分布、趋势)；重大事件(故障)的分析改进报告；运行维护服务对象配置信息更新记录；需方满意度调查和分析报告。</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bookmarkStart w:id="53" w:name="heading_31"/>
      <w:r>
        <w:t>优化改善</w:t>
      </w:r>
      <w:bookmarkEnd w:id="5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用户需求，形成的优化改善交付成果包括但不限于：优化改善方案及相关评审记录；优化改善实施方案及相关评审记录；优化改善实施的变更和发布报告；运行维护服务对象配置信息更新记录；需方满意度调查和分析报告。</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bookmarkStart w:id="54" w:name="heading_32"/>
      <w:r>
        <w:t>调研评估</w:t>
      </w:r>
      <w:bookmarkEnd w:id="5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根据用户需求，形成的调研评估交付成果包括但不限于：调研评估计划书；调研评估分析报告；调研评估的规划方案或建议及评审记录；需方满意度调查和分析报告。</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5" w:name="heading_33"/>
      <w:bookmarkStart w:id="56" w:name="_Toc27392"/>
      <w:r>
        <w:t>相关文件和记录</w:t>
      </w:r>
      <w:bookmarkEnd w:id="55"/>
      <w:bookmarkEnd w:id="56"/>
    </w:p>
    <w:p>
      <w:pPr>
        <w:pStyle w:val="a3"/>
        <w:numPr>
          <w:ilvl w:val="0"/>
          <w:numId w:val="13"/>
        </w:numPr>
        <w:bidi w:val="0"/>
      </w:pPr>
      <w:r>
        <w:t>《运维项目管理计划》</w:t>
      </w:r>
    </w:p>
    <w:p>
      <w:pPr>
        <w:pStyle w:val="a3"/>
        <w:numPr>
          <w:ilvl w:val="0"/>
          <w:numId w:val="13"/>
        </w:numPr>
        <w:bidi w:val="0"/>
      </w:pPr>
      <w:r>
        <w:t>《现场服务单》</w:t>
      </w:r>
    </w:p>
    <w:p>
      <w:pPr>
        <w:pStyle w:val="a3"/>
        <w:numPr>
          <w:ilvl w:val="0"/>
          <w:numId w:val="13"/>
        </w:numPr>
        <w:bidi w:val="0"/>
      </w:pPr>
      <w:r>
        <w:t>《项目验收报告》</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34"/>
      <w:bookmarkStart w:id="58" w:name="_Toc15483"/>
      <w:r>
        <w:t>交付管理关键指标</w:t>
      </w:r>
      <w:bookmarkEnd w:id="57"/>
      <w:bookmarkEnd w:id="58"/>
    </w:p>
    <w:p>
      <w:pPr>
        <w:pStyle w:val="a1"/>
        <w:bidi w:val="0"/>
      </w:pPr>
      <w:r>
        <w:t>运维部每年需结合上年度管理指标、管理指标达成情况、管理评审结果等内容制定交付管理的关键指标，包括指标项、指标值等内容。</w:t>
      </w:r>
    </w:p>
    <w:p>
      <w:pPr>
        <w:pStyle w:val="1"/>
        <w:bidi w:val="0"/>
        <w:rPr>
          <w:rFonts w:hint="default"/>
          <w:lang w:val="en-US" w:eastAsia="zh-CN"/>
        </w:rPr>
      </w:pPr>
      <w:bookmarkStart w:id="59" w:name="_Toc14724"/>
      <w:r>
        <w:rPr>
          <w:rFonts w:hint="eastAsia"/>
          <w:lang w:val="en-US" w:eastAsia="zh-CN"/>
        </w:rPr>
        <w:t>KPI指标</w:t>
      </w:r>
      <w:bookmarkEnd w:id="59"/>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35"/>
        <w:gridCol w:w="4704"/>
        <w:gridCol w:w="996"/>
        <w:gridCol w:w="108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35" w:type="dxa"/>
            <w:shd w:val="clear" w:color="auto" w:fill="C0C0C0"/>
          </w:tcPr>
          <w:p>
            <w:pPr>
              <w:pStyle w:val="TableText"/>
              <w:widowControl w:val="0"/>
              <w:spacing w:before="196" w:line="217" w:lineRule="auto"/>
              <w:ind w:left="491" w:leftChars="0"/>
              <w:rPr>
                <w:rFonts w:ascii="宋体" w:eastAsia="宋体" w:hAnsi="宋体" w:cs="宋体" w:hint="default"/>
                <w:snapToGrid w:val="0"/>
                <w:color w:val="000000"/>
                <w:kern w:val="0"/>
                <w:sz w:val="24"/>
                <w:szCs w:val="24"/>
                <w:lang w:val="en-US" w:eastAsia="zh-CN" w:bidi="ar-SA"/>
              </w:rPr>
            </w:pPr>
            <w:r>
              <w:rPr>
                <w:b/>
                <w:bCs/>
                <w:spacing w:val="-6"/>
                <w:sz w:val="24"/>
                <w:szCs w:val="24"/>
              </w:rPr>
              <w:t>指标名称</w:t>
            </w:r>
          </w:p>
        </w:tc>
        <w:tc>
          <w:tcPr>
            <w:tcW w:w="4704" w:type="dxa"/>
            <w:shd w:val="clear" w:color="auto" w:fill="C0C0C0"/>
          </w:tcPr>
          <w:p>
            <w:pPr>
              <w:pStyle w:val="TableText"/>
              <w:widowControl w:val="0"/>
              <w:spacing w:before="197" w:line="217" w:lineRule="auto"/>
              <w:rPr>
                <w:rFonts w:ascii="宋体" w:eastAsia="宋体" w:hAnsi="宋体" w:cs="宋体" w:hint="default"/>
                <w:snapToGrid w:val="0"/>
                <w:color w:val="000000"/>
                <w:kern w:val="0"/>
                <w:sz w:val="24"/>
                <w:szCs w:val="24"/>
                <w:lang w:val="en-US" w:eastAsia="zh-CN" w:bidi="ar-SA"/>
              </w:rPr>
            </w:pPr>
            <w:r>
              <w:rPr>
                <w:b/>
                <w:bCs/>
                <w:spacing w:val="-6"/>
                <w:sz w:val="24"/>
                <w:szCs w:val="24"/>
              </w:rPr>
              <w:t>计算公式</w:t>
            </w:r>
          </w:p>
        </w:tc>
        <w:tc>
          <w:tcPr>
            <w:tcW w:w="996" w:type="dxa"/>
            <w:shd w:val="clear" w:color="auto" w:fill="C0C0C0"/>
          </w:tcPr>
          <w:p>
            <w:pPr>
              <w:pStyle w:val="TableText"/>
              <w:widowControl w:val="0"/>
              <w:spacing w:before="40" w:line="218" w:lineRule="auto"/>
              <w:ind w:left="212"/>
              <w:rPr>
                <w:sz w:val="24"/>
                <w:szCs w:val="24"/>
              </w:rPr>
            </w:pPr>
            <w:r>
              <w:rPr>
                <w:b/>
                <w:bCs/>
                <w:spacing w:val="-7"/>
                <w:sz w:val="24"/>
                <w:szCs w:val="24"/>
              </w:rPr>
              <w:t>考核</w:t>
            </w:r>
          </w:p>
          <w:p>
            <w:pPr>
              <w:pStyle w:val="TableText"/>
              <w:widowControl w:val="0"/>
              <w:spacing w:before="28" w:line="208" w:lineRule="auto"/>
              <w:ind w:left="216" w:leftChars="0"/>
              <w:rPr>
                <w:rFonts w:ascii="宋体" w:eastAsia="宋体" w:hAnsi="宋体" w:cs="宋体" w:hint="default"/>
                <w:snapToGrid w:val="0"/>
                <w:color w:val="000000"/>
                <w:kern w:val="0"/>
                <w:sz w:val="24"/>
                <w:szCs w:val="24"/>
                <w:lang w:val="en-US" w:eastAsia="zh-CN" w:bidi="ar-SA"/>
              </w:rPr>
            </w:pPr>
            <w:r>
              <w:rPr>
                <w:b/>
                <w:bCs/>
                <w:spacing w:val="-8"/>
                <w:sz w:val="24"/>
                <w:szCs w:val="24"/>
              </w:rPr>
              <w:t>要求</w:t>
            </w:r>
          </w:p>
        </w:tc>
        <w:tc>
          <w:tcPr>
            <w:tcW w:w="1087" w:type="dxa"/>
            <w:shd w:val="clear" w:color="auto" w:fill="C0C0C0"/>
          </w:tcPr>
          <w:p>
            <w:pPr>
              <w:pStyle w:val="TableText"/>
              <w:widowControl w:val="0"/>
              <w:spacing w:before="40" w:line="218" w:lineRule="auto"/>
              <w:ind w:left="155"/>
              <w:rPr>
                <w:sz w:val="24"/>
                <w:szCs w:val="24"/>
              </w:rPr>
            </w:pPr>
            <w:r>
              <w:rPr>
                <w:b/>
                <w:bCs/>
                <w:spacing w:val="-7"/>
                <w:sz w:val="24"/>
                <w:szCs w:val="24"/>
              </w:rPr>
              <w:t>考核</w:t>
            </w:r>
          </w:p>
          <w:p>
            <w:pPr>
              <w:pStyle w:val="TableText"/>
              <w:widowControl w:val="0"/>
              <w:spacing w:before="28" w:line="208" w:lineRule="auto"/>
              <w:ind w:left="156" w:leftChars="0"/>
              <w:rPr>
                <w:rFonts w:ascii="宋体" w:eastAsia="宋体" w:hAnsi="宋体" w:cs="宋体" w:hint="default"/>
                <w:snapToGrid w:val="0"/>
                <w:color w:val="000000"/>
                <w:kern w:val="0"/>
                <w:sz w:val="24"/>
                <w:szCs w:val="24"/>
                <w:lang w:val="en-US" w:eastAsia="zh-CN" w:bidi="ar-SA"/>
              </w:rPr>
            </w:pPr>
            <w:r>
              <w:rPr>
                <w:b/>
                <w:bCs/>
                <w:spacing w:val="-7"/>
                <w:sz w:val="24"/>
                <w:szCs w:val="24"/>
              </w:rPr>
              <w:t>周期</w:t>
            </w:r>
          </w:p>
        </w:tc>
      </w:tr>
      <w:tr>
        <w:tblPrEx>
          <w:tblW w:w="0" w:type="auto"/>
          <w:tblInd w:w="0" w:type="dxa"/>
          <w:tblCellMar>
            <w:top w:w="0" w:type="dxa"/>
            <w:left w:w="108" w:type="dxa"/>
            <w:bottom w:w="0" w:type="dxa"/>
            <w:right w:w="108" w:type="dxa"/>
          </w:tblCellMar>
        </w:tblPrEx>
        <w:tc>
          <w:tcPr>
            <w:tcW w:w="1735" w:type="dxa"/>
            <w:shd w:val="clear" w:color="auto" w:fill="auto"/>
          </w:tcPr>
          <w:p>
            <w:pPr>
              <w:pStyle w:val="a1"/>
              <w:widowControl w:val="0"/>
              <w:bidi w:val="0"/>
              <w:ind w:left="0" w:firstLine="0" w:leftChars="0" w:firstLineChars="0"/>
              <w:rPr>
                <w:rFonts w:ascii="Arial" w:eastAsia="宋体" w:hAnsi="Arial" w:cs="Arial" w:hint="default"/>
                <w:snapToGrid w:val="0"/>
                <w:color w:val="000000"/>
                <w:kern w:val="0"/>
                <w:sz w:val="24"/>
                <w:szCs w:val="21"/>
                <w:lang w:val="en-US" w:eastAsia="zh-CN" w:bidi="ar-SA"/>
              </w:rPr>
            </w:pPr>
            <w:r>
              <w:rPr>
                <w:rFonts w:hint="eastAsia"/>
                <w:lang w:val="en-US" w:eastAsia="zh-CN"/>
              </w:rPr>
              <w:t>服务报告比例</w:t>
            </w:r>
          </w:p>
        </w:tc>
        <w:tc>
          <w:tcPr>
            <w:tcW w:w="4704" w:type="dxa"/>
            <w:shd w:val="clear" w:color="auto" w:fill="auto"/>
          </w:tcPr>
          <w:p>
            <w:pPr>
              <w:pStyle w:val="a1"/>
              <w:widowControl w:val="0"/>
              <w:bidi w:val="0"/>
              <w:ind w:left="0" w:firstLine="0" w:leftChars="0" w:firstLineChars="0"/>
              <w:rPr>
                <w:rFonts w:ascii="Arial" w:eastAsia="宋体" w:hAnsi="Arial" w:cs="Arial" w:hint="default"/>
                <w:snapToGrid w:val="0"/>
                <w:color w:val="000000"/>
                <w:kern w:val="0"/>
                <w:sz w:val="24"/>
                <w:szCs w:val="21"/>
                <w:lang w:val="en-US" w:eastAsia="zh-CN" w:bidi="ar-SA"/>
              </w:rPr>
            </w:pPr>
            <w:r>
              <w:rPr>
                <w:rFonts w:hint="eastAsia"/>
                <w:lang w:val="en-US" w:eastAsia="zh-CN"/>
              </w:rPr>
              <w:t>实际交付服务报告数量/应交付的服务报告数量*100%</w:t>
            </w:r>
          </w:p>
        </w:tc>
        <w:tc>
          <w:tcPr>
            <w:tcW w:w="996" w:type="dxa"/>
            <w:shd w:val="clear" w:color="auto" w:fill="auto"/>
          </w:tcPr>
          <w:p>
            <w:pPr>
              <w:pStyle w:val="a1"/>
              <w:widowControl w:val="0"/>
              <w:bidi w:val="0"/>
              <w:ind w:left="0" w:right="0" w:firstLine="0" w:leftChars="0" w:rightChars="0" w:firstLineChars="0"/>
              <w:jc w:val="both"/>
              <w:rPr>
                <w:rFonts w:ascii="Arial" w:eastAsia="宋体" w:hAnsi="Arial" w:cs="Arial" w:hint="default"/>
                <w:snapToGrid w:val="0"/>
                <w:color w:val="000000"/>
                <w:kern w:val="0"/>
                <w:sz w:val="24"/>
                <w:szCs w:val="21"/>
                <w:lang w:val="en-US" w:eastAsia="zh-CN" w:bidi="ar-SA"/>
              </w:rPr>
            </w:pPr>
            <w:r>
              <w:rPr>
                <w:rFonts w:hint="eastAsia"/>
                <w:lang w:val="en-US" w:eastAsia="zh-CN"/>
              </w:rPr>
              <w:t>95%</w:t>
            </w:r>
          </w:p>
        </w:tc>
        <w:tc>
          <w:tcPr>
            <w:tcW w:w="1087" w:type="dxa"/>
            <w:shd w:val="clear" w:color="auto" w:fill="auto"/>
          </w:tcPr>
          <w:p>
            <w:pPr>
              <w:pStyle w:val="a1"/>
              <w:widowControl w:val="0"/>
              <w:bidi w:val="0"/>
              <w:ind w:left="0" w:firstLine="0" w:leftChars="0" w:firstLineChars="0"/>
              <w:rPr>
                <w:rFonts w:ascii="Arial" w:eastAsia="宋体" w:hAnsi="Arial" w:cs="Arial" w:hint="default"/>
                <w:snapToGrid w:val="0"/>
                <w:color w:val="000000"/>
                <w:kern w:val="0"/>
                <w:sz w:val="24"/>
                <w:szCs w:val="21"/>
                <w:lang w:val="en-US" w:eastAsia="zh-CN" w:bidi="ar-SA"/>
              </w:rPr>
            </w:pPr>
            <w:r>
              <w:rPr>
                <w:rFonts w:hint="eastAsia"/>
                <w:lang w:val="en-US" w:eastAsia="zh-CN"/>
              </w:rPr>
              <w:t>月度</w:t>
            </w:r>
          </w:p>
        </w:tc>
      </w:tr>
    </w:tbl>
    <w:p>
      <w:pPr>
        <w:pStyle w:val="a1"/>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80A81F0"/>
    <w:multiLevelType w:val="singleLevel"/>
    <w:tmpl w:val="C80A81F0"/>
    <w:lvl w:ilvl="0">
      <w:start w:val="1"/>
      <w:numFmt w:val="decimal"/>
      <w:lvlText w:val="%1."/>
      <w:lvlJc w:val="left"/>
      <w:pPr>
        <w:ind w:left="425" w:hanging="425"/>
      </w:pPr>
      <w:rPr>
        <w:rFonts w:hint="default"/>
      </w:rPr>
    </w:lvl>
  </w:abstractNum>
  <w:abstractNum w:abstractNumId="2">
    <w:nsid w:val="EA537FDA"/>
    <w:multiLevelType w:val="singleLevel"/>
    <w:tmpl w:val="EA537FDA"/>
    <w:lvl w:ilvl="0">
      <w:start w:val="1"/>
      <w:numFmt w:val="decimal"/>
      <w:lvlText w:val="%1."/>
      <w:lvlJc w:val="left"/>
      <w:pPr>
        <w:ind w:left="425" w:hanging="425"/>
      </w:pPr>
      <w:rPr>
        <w:rFonts w:hint="default"/>
      </w:rPr>
    </w:lvl>
  </w:abstractNum>
  <w:abstractNum w:abstractNumId="3">
    <w:nsid w:val="F1CE31E8"/>
    <w:multiLevelType w:val="singleLevel"/>
    <w:tmpl w:val="F1CE31E8"/>
    <w:lvl w:ilvl="0">
      <w:start w:val="1"/>
      <w:numFmt w:val="decimal"/>
      <w:lvlText w:val="%1."/>
      <w:lvlJc w:val="left"/>
      <w:pPr>
        <w:ind w:left="425" w:hanging="425"/>
      </w:pPr>
      <w:rPr>
        <w:rFonts w:hint="default"/>
      </w:rPr>
    </w:lvl>
  </w:abstractNum>
  <w:abstractNum w:abstractNumId="4">
    <w:nsid w:val="F66F0995"/>
    <w:multiLevelType w:val="singleLevel"/>
    <w:tmpl w:val="F66F0995"/>
    <w:lvl w:ilvl="0">
      <w:start w:val="1"/>
      <w:numFmt w:val="decimal"/>
      <w:lvlText w:val="%1."/>
      <w:lvlJc w:val="left"/>
      <w:pPr>
        <w:ind w:left="425" w:hanging="425"/>
      </w:pPr>
      <w:rPr>
        <w:rFonts w:hint="default"/>
      </w:rPr>
    </w:lvl>
  </w:abstractNum>
  <w:abstractNum w:abstractNumId="5">
    <w:nsid w:val="FA363874"/>
    <w:multiLevelType w:val="singleLevel"/>
    <w:tmpl w:val="FA363874"/>
    <w:lvl w:ilvl="0">
      <w:start w:val="1"/>
      <w:numFmt w:val="decimal"/>
      <w:lvlText w:val="%1."/>
      <w:lvlJc w:val="left"/>
      <w:pPr>
        <w:ind w:left="425" w:hanging="425"/>
      </w:pPr>
      <w:rPr>
        <w:rFonts w:hint="default"/>
      </w:rPr>
    </w:lvl>
  </w:abstractNum>
  <w:abstractNum w:abstractNumId="6">
    <w:nsid w:val="FC97CAE2"/>
    <w:multiLevelType w:val="singleLevel"/>
    <w:tmpl w:val="FC97CAE2"/>
    <w:lvl w:ilvl="0">
      <w:start w:val="1"/>
      <w:numFmt w:val="decimal"/>
      <w:lvlText w:val="%1."/>
      <w:lvlJc w:val="left"/>
      <w:pPr>
        <w:ind w:left="425" w:hanging="425"/>
      </w:pPr>
      <w:rPr>
        <w:rFonts w:hint="default"/>
      </w:rPr>
    </w:lvl>
  </w:abstractNum>
  <w:abstractNum w:abstractNumId="7">
    <w:nsid w:val="205E53B2"/>
    <w:multiLevelType w:val="singleLevel"/>
    <w:tmpl w:val="205E53B2"/>
    <w:lvl w:ilvl="0">
      <w:start w:val="1"/>
      <w:numFmt w:val="decimal"/>
      <w:lvlText w:val="%1."/>
      <w:lvlJc w:val="left"/>
      <w:pPr>
        <w:ind w:left="425" w:hanging="425"/>
      </w:pPr>
      <w:rPr>
        <w:rFonts w:hint="default"/>
      </w:rPr>
    </w:lvl>
  </w:abstractNum>
  <w:abstractNum w:abstractNumId="8">
    <w:nsid w:val="225223A7"/>
    <w:multiLevelType w:val="singleLevel"/>
    <w:tmpl w:val="225223A7"/>
    <w:lvl w:ilvl="0">
      <w:start w:val="1"/>
      <w:numFmt w:val="decimal"/>
      <w:lvlText w:val="%1."/>
      <w:lvlJc w:val="left"/>
      <w:pPr>
        <w:ind w:left="425" w:hanging="425"/>
      </w:pPr>
      <w:rPr>
        <w:rFonts w:hint="default"/>
      </w:rPr>
    </w:lvl>
  </w:abstractNum>
  <w:abstractNum w:abstractNumId="9">
    <w:nsid w:val="23D2F5A5"/>
    <w:multiLevelType w:val="singleLevel"/>
    <w:tmpl w:val="23D2F5A5"/>
    <w:lvl w:ilvl="0">
      <w:start w:val="1"/>
      <w:numFmt w:val="decimal"/>
      <w:lvlText w:val="%1."/>
      <w:lvlJc w:val="left"/>
      <w:pPr>
        <w:ind w:left="425" w:hanging="425"/>
      </w:pPr>
      <w:rPr>
        <w:rFonts w:hint="default"/>
      </w:rPr>
    </w:lvl>
  </w:abstractNum>
  <w:abstractNum w:abstractNumId="10">
    <w:nsid w:val="2BF34C70"/>
    <w:multiLevelType w:val="singleLevel"/>
    <w:tmpl w:val="2BF34C70"/>
    <w:lvl w:ilvl="0">
      <w:start w:val="1"/>
      <w:numFmt w:val="decimal"/>
      <w:lvlText w:val="%1."/>
      <w:lvlJc w:val="left"/>
      <w:pPr>
        <w:ind w:left="425" w:hanging="425"/>
      </w:pPr>
      <w:rPr>
        <w:rFonts w:hint="default"/>
      </w:rPr>
    </w:lvl>
  </w:abstractNum>
  <w:abstractNum w:abstractNumId="11">
    <w:nsid w:val="2D8080BC"/>
    <w:multiLevelType w:val="singleLevel"/>
    <w:tmpl w:val="2D8080BC"/>
    <w:lvl w:ilvl="0">
      <w:start w:val="1"/>
      <w:numFmt w:val="decimal"/>
      <w:lvlText w:val="%1."/>
      <w:lvlJc w:val="left"/>
      <w:pPr>
        <w:ind w:left="425" w:hanging="425"/>
      </w:pPr>
      <w:rPr>
        <w:rFonts w:hint="default"/>
      </w:rPr>
    </w:lvl>
  </w:abstractNum>
  <w:abstractNum w:abstractNumId="12">
    <w:nsid w:val="4A19A279"/>
    <w:multiLevelType w:val="singleLevel"/>
    <w:tmpl w:val="4A19A279"/>
    <w:lvl w:ilvl="0">
      <w:start w:val="1"/>
      <w:numFmt w:val="decimal"/>
      <w:lvlText w:val="%1."/>
      <w:lvlJc w:val="left"/>
      <w:pPr>
        <w:ind w:left="425" w:hanging="425"/>
      </w:pPr>
      <w:rPr>
        <w:rFonts w:hint="default"/>
      </w:rPr>
    </w:lvl>
  </w:abstractNum>
  <w:num w:numId="1">
    <w:abstractNumId w:val="0"/>
  </w:num>
  <w:num w:numId="2">
    <w:abstractNumId w:val="6"/>
  </w:num>
  <w:num w:numId="3">
    <w:abstractNumId w:val="3"/>
  </w:num>
  <w:num w:numId="4">
    <w:abstractNumId w:val="1"/>
  </w:num>
  <w:num w:numId="5">
    <w:abstractNumId w:val="5"/>
  </w:num>
  <w:num w:numId="6">
    <w:abstractNumId w:val="2"/>
  </w:num>
  <w:num w:numId="7">
    <w:abstractNumId w:val="9"/>
  </w:num>
  <w:num w:numId="8">
    <w:abstractNumId w:val="4"/>
  </w:num>
  <w:num w:numId="9">
    <w:abstractNumId w:val="12"/>
  </w:num>
  <w:num w:numId="10">
    <w:abstractNumId w:val="7"/>
  </w:num>
  <w:num w:numId="11">
    <w:abstractNumId w:val="8"/>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34</TotalTime>
  <Pages>11</Pages>
  <Words>4527</Words>
  <Characters>4676</Characters>
  <Application>Microsoft Office Word</Application>
  <DocSecurity>0</DocSecurity>
  <Lines>0</Lines>
  <Paragraphs>0</Paragraphs>
  <ScaleCrop>false</ScaleCrop>
  <Company/>
  <LinksUpToDate>false</LinksUpToDate>
  <CharactersWithSpaces>4691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2025-12-14T13:58:09Z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