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850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529"/>
      <w:r>
        <w:rPr>
          <w:rFonts w:hint="eastAsia"/>
          <w:lang w:val="en-US" w:eastAsia="zh-CN"/>
        </w:rPr>
        <w:t>曲靖供电局110kV变电站电力监控系统网络安全态势感知系统建设-项目实施方案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9573"/>
      <w:r>
        <w:rPr>
          <w:rFonts w:hint="eastAsia"/>
          <w:lang w:val="en-US" w:eastAsia="zh-CN"/>
        </w:rPr>
        <w:t>（HXDL-ITSS-0902）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20235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0" w:firstLine="0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0" w:firstLine="0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firstLine="0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firstLine="0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0" w:firstLine="0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0" w:firstLine="0" w:leftChars="0" w:firstLineChars="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firstLine="0" w:leftChars="0" w:firstLineChars="0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0" w:firstLine="0" w:leftChars="0" w:firstLineChars="0"/>
              <w:textAlignment w:val="baseline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0" w:firstLine="0" w:leftChars="0" w:firstLineChars="0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firstLine="0" w:leftChars="0" w:firstLineChars="0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0" w:firstLine="0" w:leftChars="0" w:firstLineChars="0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0" w:firstLine="0" w:leftChars="0" w:firstLineChars="0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0" w:firstLine="0" w:leftChars="0" w:firstLineChars="0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966"/>
        <w:docPartObj>
          <w:docPartGallery w:val="Table of Contents"/>
          <w:docPartUnique/>
        </w:docPartObj>
      </w:sdt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_Toc3850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_Toc3850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_Toc6529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曲靖供电局110kV变电站电力监控系统网络安全态势感知系统建设-项目实施方案</w:t>
          </w:r>
          <w:r>
            <w:tab/>
          </w:r>
          <w:r>
            <w:fldChar w:fldCharType="begin"/>
          </w:r>
          <w:r>
            <w:instrText xml:space="preserve"> PAGEREF _Toc6529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_Toc9573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（HXDL-ITSS-0902）</w:t>
          </w:r>
          <w:r>
            <w:tab/>
          </w:r>
          <w:r>
            <w:fldChar w:fldCharType="begin"/>
          </w:r>
          <w:r>
            <w:instrText xml:space="preserve"> PAGEREF _Toc9573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_Toc20235 </w:instrText>
          </w:r>
          <w: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_Toc20235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_Toc15509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项目总览</w:t>
          </w:r>
          <w:r>
            <w:tab/>
          </w:r>
          <w:r>
            <w:fldChar w:fldCharType="begin"/>
          </w:r>
          <w:r>
            <w:instrText xml:space="preserve"> PAGEREF _Toc15509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_Toc32057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项目背景与依据</w:t>
          </w:r>
          <w:r>
            <w:tab/>
          </w:r>
          <w:r>
            <w:fldChar w:fldCharType="begin"/>
          </w:r>
          <w:r>
            <w:instrText xml:space="preserve"> PAGEREF _Toc32057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建设目标</w:t>
          </w:r>
          <w:r>
            <w:tab/>
          </w:r>
          <w:r>
            <w:fldChar w:fldCharType="begin"/>
          </w:r>
          <w:r>
            <w:instrText xml:space="preserve"> PAGEREF _Toc1402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_Toc7261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建设范围</w:t>
          </w:r>
          <w:r>
            <w:tab/>
          </w:r>
          <w:r>
            <w:fldChar w:fldCharType="begin"/>
          </w:r>
          <w:r>
            <w:instrText xml:space="preserve"> PAGEREF _Toc7261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_Toc24112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项目组织与管理</w:t>
          </w:r>
          <w:r>
            <w:tab/>
          </w:r>
          <w:r>
            <w:fldChar w:fldCharType="begin"/>
          </w:r>
          <w:r>
            <w:instrText xml:space="preserve"> PAGEREF _Toc24112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_Toc1268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_Toc3301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</w:rPr>
            <w:t>各方职责</w:t>
          </w:r>
          <w:r>
            <w:tab/>
          </w:r>
          <w:r>
            <w:fldChar w:fldCharType="begin"/>
          </w:r>
          <w:r>
            <w:instrText xml:space="preserve"> PAGEREF _Toc3301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总体技术架构与设计</w:t>
          </w:r>
          <w:r>
            <w:tab/>
          </w:r>
          <w:r>
            <w:fldChar w:fldCharType="begin"/>
          </w:r>
          <w:r>
            <w:instrText xml:space="preserve"> PAGEREF _Toc32136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_Toc23210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项目实施路线图</w:t>
          </w:r>
          <w:r>
            <w:tab/>
          </w:r>
          <w:r>
            <w:fldChar w:fldCharType="begin"/>
          </w:r>
          <w:r>
            <w:instrText xml:space="preserve"> PAGEREF _Toc23210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_Toc7381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第一阶段：项目启动与详细设计</w:t>
          </w:r>
          <w:r>
            <w:tab/>
          </w:r>
          <w:r>
            <w:fldChar w:fldCharType="begin"/>
          </w:r>
          <w:r>
            <w:instrText xml:space="preserve"> PAGEREF _Toc7381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_Toc21901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第二阶段：平台搭建与数据接入</w:t>
          </w:r>
          <w:r>
            <w:tab/>
          </w:r>
          <w:r>
            <w:fldChar w:fldCharType="begin"/>
          </w:r>
          <w:r>
            <w:instrText xml:space="preserve"> PAGEREF _Toc21901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_Toc18921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第三阶段：功能实现与策略优化</w:t>
          </w:r>
          <w:r>
            <w:tab/>
          </w:r>
          <w:r>
            <w:fldChar w:fldCharType="begin"/>
          </w:r>
          <w:r>
            <w:instrText xml:space="preserve"> PAGEREF _Toc18921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_Toc31930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第四阶段：系统联调与试运行</w:t>
          </w:r>
          <w:r>
            <w:tab/>
          </w:r>
          <w:r>
            <w:fldChar w:fldCharType="begin"/>
          </w:r>
          <w:r>
            <w:instrText xml:space="preserve"> PAGEREF _Toc31930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_Toc12875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第五阶段：验收交付与培训 (2026.04)</w:t>
          </w:r>
          <w:r>
            <w:tab/>
          </w:r>
          <w:r>
            <w:fldChar w:fldCharType="begin"/>
          </w:r>
          <w:r>
            <w:instrText xml:space="preserve"> PAGEREF _Toc12875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_Toc28282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质量管理与风险控制</w:t>
          </w:r>
          <w:r>
            <w:tab/>
          </w:r>
          <w:r>
            <w:fldChar w:fldCharType="begin"/>
          </w:r>
          <w:r>
            <w:instrText xml:space="preserve"> PAGEREF _Toc28282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_Toc3707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培训与知识转移计划</w:t>
          </w:r>
          <w:r>
            <w:tab/>
          </w:r>
          <w:r>
            <w:fldChar w:fldCharType="begin"/>
          </w:r>
          <w:r>
            <w:instrText xml:space="preserve"> PAGEREF _Toc3707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_Toc12097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_Toc12097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bookmarkStart w:id="4" w:name="_GoBack"/>
      <w:bookmarkEnd w:id="4"/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5" w:name="_Toc15509"/>
      <w:r>
        <w:rPr>
          <w:rFonts w:hint="eastAsia"/>
        </w:rPr>
        <w:t>项目总览</w:t>
      </w:r>
      <w:bookmarkEnd w:id="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6" w:name="_Toc32057"/>
      <w:r>
        <w:rPr>
          <w:rFonts w:hint="eastAsia"/>
        </w:rPr>
        <w:t>项目背景与依据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为全面落实国家《网络安全法》、《关键信息基础设施安全保护条例》及能源行业网络安全防护系列规范要求，强化曲靖供电局所属110kV变电站电力监控系统的网络安全主动防御与态势感知能力，特规划并实施本网络安全态势感知系统（NSAP）项目。本项目旨在构建一套覆盖“采集、分析、预警、响应”全流程的网络安全纵深防护体系，实现从“被动防护”到“主动预警、智能感知”的转变，保障电网监控系统的安全稳定运行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7" w:name="_Toc1402"/>
      <w:r>
        <w:rPr>
          <w:rFonts w:hint="eastAsia"/>
        </w:rPr>
        <w:t>建设目标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本项目计划于2025年8月正式启动，力争在2026年第一季度完成整体建设与试运行。核心建设目标如下：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全面监测： 实现对110kV变电站电力监控系统网络流量、安全设备日志、主机行为、应用访问等安全数据的全面采集与标准化处理。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智能分析： 建立基于规则和机器学习的威胁检测模型，精准识别网络攻击、异常行为、违规操作等安全事件，降低误报率。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实时预警与可视： 构建统一的网络安全态势可视化平台，实现安全风险的实时告警、全局态势的动态呈现与风险量化评估。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协同响应： 建立初步的安全事件应急响应流程，实现告警事件与运维工单的联动，提升事件处置效率。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合规达标： 建设成果需满足电力监控系统安全防护“安全分区、网络专用、横向隔离、纵向认证”的总体原则，并通过相关安全测评。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8" w:name="_Toc7261"/>
      <w:r>
        <w:rPr>
          <w:rFonts w:hint="eastAsia"/>
        </w:rPr>
        <w:t>建设范围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本项目覆盖曲靖供电局指定范围内110kV变电站的电力监控系统，主要包括：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系统范围：站控层、间隔层相关监控主机、服务器、网络设备、安全设备及关键应用系统。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功能范围： 网络安全态势感知平台软件的建设，以及必要的探针（软件/硬件）部署、安全数据中台构建、展示中心建设等。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服务范围：包含系统规划设计、软硬件集成部署、策略配置调优、联调测试、等保定级备案协助、人员培训及初期运维支持。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9" w:name="_Toc24112"/>
      <w:r>
        <w:rPr>
          <w:rFonts w:hint="eastAsia"/>
        </w:rPr>
        <w:t>项目组织与管理</w:t>
      </w:r>
      <w:bookmarkEnd w:id="9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0" w:name="_Toc1268"/>
      <w:r>
        <w:rPr>
          <w:rFonts w:hint="eastAsia"/>
        </w:rPr>
        <w:t>项目组织架构</w:t>
      </w:r>
      <w:bookmarkEnd w:id="10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成立三级项目组织，确保项目高效推进：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项目领导小组： 由曲靖供电局、云南中恒及云南腾电高层领导组成，负责项目重大决策、资源协调与最终审批。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项目管理办公室（PMO）： 由三方项目经理及核心骨干组成，负责日常计划、执行、监控、沟通与风险管理。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项目实施小组：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业务协调组（甲方主导）： 负责业务需求确认、现场协调、业务数据提供及最终用户测试。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技术实施组（乙方主导）： 负责系统设计、部署、开发、测试、培训等全部技术工作。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质量与安全组（双方参与）： 负责项目质量审查、安全规范符合性检查及文档管理。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3301"/>
      <w:r>
        <w:rPr>
          <w:rFonts w:hint="eastAsia"/>
        </w:rPr>
        <w:t>各方职责</w:t>
      </w:r>
      <w:bookmarkEnd w:id="1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角色方</w:t>
      </w:r>
      <w:r>
        <w:rPr>
          <w:rFonts w:hint="eastAsia"/>
        </w:rPr>
        <w:tab/>
      </w:r>
      <w:r>
        <w:rPr>
          <w:rFonts w:hint="eastAsia"/>
        </w:rPr>
        <w:t>核心职责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曲靖供电局</w:t>
      </w:r>
      <w:r>
        <w:rPr>
          <w:rFonts w:hint="eastAsia"/>
        </w:rPr>
        <w:tab/>
      </w:r>
      <w:r>
        <w:rPr>
          <w:rFonts w:hint="eastAsia"/>
        </w:rPr>
        <w:t>提出总体安全需求，审批建设方案，提供必要现场环境与业务接入，组织最终验收。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云南中恒</w:t>
      </w:r>
      <w:r>
        <w:rPr>
          <w:rFonts w:hint="eastAsia"/>
        </w:rPr>
        <w:tab/>
      </w:r>
      <w:r>
        <w:rPr>
          <w:rFonts w:hint="eastAsia"/>
        </w:rPr>
        <w:t>作为总集成与服务方，负责项目整体管理、资源协调、与甲方的需求对接及部分现场配合工作。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云南腾电</w:t>
      </w:r>
      <w:r>
        <w:rPr>
          <w:rFonts w:hint="eastAsia"/>
        </w:rPr>
        <w:tab/>
      </w:r>
      <w:r>
        <w:rPr>
          <w:rFonts w:hint="eastAsia"/>
        </w:rPr>
        <w:t>作为技术实施方，负责态势感知系统的详细设计、产品提供、系统集成、部署实施、技术培训及文档交付。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2136"/>
      <w:r>
        <w:rPr>
          <w:rFonts w:hint="eastAsia"/>
        </w:rPr>
        <w:t>总体技术架构与设计</w:t>
      </w:r>
      <w:bookmarkEnd w:id="12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本项目采用“一个中心、三层体系”的总体架构：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数据采集层： 在网络关键节点、核心服务器部署轻量级探针，通过流量镜像、Syslog、SNMP、API接口等多种方式，采集网络、安全、主机、应用日志。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数据分析层： 构建安全大数据平台，对采集的异构数据进行标准化、范式化处理，并利用关联分析引擎、威胁情报库、行为分析模型进行深度挖掘与智能分析。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态势展示与响应层： 通过统一可视化平台，实现全局安全态势概览、实时威胁告警、攻击路径溯源、资产风险画像、合规报表生成，并提供事件工单流转接口。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23210"/>
      <w:r>
        <w:rPr>
          <w:rFonts w:hint="eastAsia"/>
        </w:rPr>
        <w:t>项目实施路线图</w:t>
      </w:r>
      <w:bookmarkEnd w:id="13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项目分为五个阶段，循序渐进，确保建设质量。</w:t>
      </w:r>
    </w:p>
    <w:p>
      <w:pPr>
        <w:pStyle w:val="2"/>
        <w:bidi w:val="0"/>
        <w:rPr>
          <w:rFonts w:hint="eastAsia"/>
        </w:rPr>
      </w:pPr>
      <w:bookmarkStart w:id="14" w:name="_Toc7381"/>
      <w:r>
        <w:rPr>
          <w:rFonts w:hint="eastAsia"/>
        </w:rPr>
        <w:t>第一阶段：项目启动与详细设计</w:t>
      </w:r>
      <w:bookmarkEnd w:id="14"/>
      <w:r>
        <w:rPr>
          <w:rFonts w:hint="eastAsia"/>
        </w:rPr>
        <w:t xml:space="preserve"> </w:t>
      </w:r>
    </w:p>
    <w:p>
      <w:pPr>
        <w:pStyle w:val="a1"/>
        <w:ind w:left="0" w:firstLine="0" w:leftChars="0" w:firstLineChars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2025.08 - 2025.09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目标： 完成项目蓝图设计，达成技术共识。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关键任务： 项目启动会、现场调研、需求深度分析、编制《详细设计说明书》及《实施方案》。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交付物： 《项目章程》、《详细需求规格说明书》、《系统详细设计文档》。</w:t>
      </w:r>
    </w:p>
    <w:p>
      <w:pPr>
        <w:pStyle w:val="2"/>
        <w:bidi w:val="0"/>
        <w:rPr>
          <w:rFonts w:hint="eastAsia"/>
        </w:rPr>
      </w:pPr>
      <w:bookmarkStart w:id="15" w:name="_Toc21901"/>
      <w:r>
        <w:rPr>
          <w:rFonts w:hint="eastAsia"/>
        </w:rPr>
        <w:t>第二阶段：平台搭建与数据接入</w:t>
      </w:r>
      <w:bookmarkEnd w:id="15"/>
      <w:r>
        <w:rPr>
          <w:rFonts w:hint="eastAsia"/>
        </w:rPr>
        <w:t xml:space="preserve"> </w:t>
      </w:r>
    </w:p>
    <w:p>
      <w:pPr>
        <w:pStyle w:val="a1"/>
        <w:ind w:left="0" w:firstLine="0" w:leftChars="0" w:firstLineChars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2025.70 - 2025.72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目标： 完成核心平台部署，实现首批数据接入与分析。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关键任务： 软硬件环境准备、平台软件安装部署、采集探针部署与调试、基础数据接入、平台基本功能联调。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交付物： 部署完成的软硬件系统、《系统部署报告》、《数据接入规范》。</w:t>
      </w:r>
    </w:p>
    <w:p>
      <w:pPr>
        <w:pStyle w:val="2"/>
        <w:bidi w:val="0"/>
        <w:rPr>
          <w:rFonts w:hint="eastAsia"/>
        </w:rPr>
      </w:pPr>
      <w:bookmarkStart w:id="16" w:name="_Toc18921"/>
      <w:r>
        <w:rPr>
          <w:rFonts w:hint="eastAsia"/>
        </w:rPr>
        <w:t>第三阶段：功能实现与策略优化</w:t>
      </w:r>
      <w:bookmarkEnd w:id="16"/>
    </w:p>
    <w:p>
      <w:pPr>
        <w:pStyle w:val="a1"/>
        <w:ind w:left="0" w:firstLine="0" w:leftChars="0" w:firstLineChars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2026.01 - 2026.02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目标： 完成核心检测能力建设，实现有效预警。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关键任务： 威胁检测规则与模型配置、场景化分析仪表板开发、告警策略调优、与现有运维流程初步集成。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交付物： 《威胁检测规则集》、《态势可视化大屏》、《系统配置手册》。</w:t>
      </w:r>
    </w:p>
    <w:p>
      <w:pPr>
        <w:pStyle w:val="2"/>
        <w:bidi w:val="0"/>
        <w:rPr>
          <w:rFonts w:hint="eastAsia"/>
        </w:rPr>
      </w:pPr>
      <w:bookmarkStart w:id="17" w:name="_Toc31930"/>
      <w:r>
        <w:rPr>
          <w:rFonts w:hint="eastAsia"/>
        </w:rPr>
        <w:t>第四阶段：系统联调与试运行</w:t>
      </w:r>
      <w:bookmarkEnd w:id="17"/>
      <w:r>
        <w:rPr>
          <w:rFonts w:hint="eastAsia"/>
        </w:rPr>
        <w:t xml:space="preserve"> </w:t>
      </w:r>
    </w:p>
    <w:p>
      <w:pPr>
        <w:pStyle w:val="a1"/>
        <w:ind w:left="0" w:firstLine="0" w:leftChars="0" w:firstLineChars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计划时间：</w:t>
      </w:r>
      <w:r>
        <w:rPr>
          <w:rFonts w:hint="eastAsia"/>
        </w:rPr>
        <w:t>2026.03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目标： 全面验证系统功能与性能，进入实用化考核。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关键任务： 全网联调测试、模拟攻防演练、性能压力测试、系统试运行（不少于1个月）。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交付物： 《系统联调测试报告》、《试运行报告》、《应急预案》。</w:t>
      </w:r>
    </w:p>
    <w:p>
      <w:pPr>
        <w:pStyle w:val="2"/>
        <w:bidi w:val="0"/>
        <w:rPr>
          <w:rFonts w:hint="eastAsia"/>
        </w:rPr>
      </w:pPr>
      <w:bookmarkStart w:id="18" w:name="_Toc12875"/>
      <w:r>
        <w:rPr>
          <w:rFonts w:hint="eastAsia"/>
        </w:rPr>
        <w:t>第五阶段：验收交付与培训 (2026.04)</w:t>
      </w:r>
      <w:bookmarkEnd w:id="18"/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目标： 完成项目验收，移交运维能力。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关键任务： 编制竣工文档、组织全面培训、进行项目最终验收评审。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交付物： 《项目竣工报告》、《用户操作手册》、《运维手册》、《最终验收报告》。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9" w:name="_Toc28282"/>
      <w:r>
        <w:rPr>
          <w:rFonts w:hint="eastAsia"/>
        </w:rPr>
        <w:t>质量管理与风险控制</w:t>
      </w:r>
      <w:bookmarkEnd w:id="19"/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质量管理：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遵循ISO9001质量管理体系，设立质量检查点（如设计评审、代码审查、测试用例评审）。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所有交付物均需经过内部评审和客户确认。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试运行期间记录系统缺陷并限期整改。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风险控制：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技术风险： 采用成熟、经过电力行业验证的技术和产品；进行充分的概念验证（PoC）测试。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进度风险： 制定详尽的WBS和进度计划，使用项目管理工具跟踪，定期审视关键路径。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安全风险： 实施方案必须通过甲方安全评审；实施过程严格遵守现场安全生产规定；部署操作在业务低峰期进行。</w:t>
      </w:r>
    </w:p>
    <w:p>
      <w:pPr>
        <w:pStyle w:val="a3"/>
        <w:bidi w:val="0"/>
        <w:rPr>
          <w:rFonts w:hint="eastAsia"/>
        </w:rPr>
      </w:pPr>
      <w:r>
        <w:rPr>
          <w:rFonts w:hint="eastAsia"/>
        </w:rPr>
        <w:t>沟通风险： 建立定期会议制度（周报、月报）和即时沟通渠道，确保信息透明对称。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0" w:name="_Toc3707"/>
      <w:r>
        <w:rPr>
          <w:rFonts w:hint="eastAsia"/>
        </w:rPr>
        <w:t>培训与知识转移计划</w:t>
      </w:r>
      <w:bookmarkEnd w:id="20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为确保系统建成后能用、好用，制定三级培训计划：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管理层培训： 介绍系统价值、呈现的宏观态势及管理报表。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运维人员培训： 重点培训平台日常监控、告警处置、报表生成、系统基础配置与维护。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分析人员培训： 深度培训威胁狩猎、事件溯源分析、检测规则自定义、情报利用等高级技能。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21" w:name="_Toc12097"/>
      <w:r>
        <w:rPr>
          <w:rFonts w:hint="eastAsia"/>
        </w:rPr>
        <w:t>验收标准</w:t>
      </w:r>
      <w:bookmarkEnd w:id="21"/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项目验收将分为阶段验收和最终验收。最终验收需满足以下基本条件：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系统功能符合《详细设计说明书》要求，并通过所有合同约定的测试。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系统性能指标（如数据处理延迟、页面响应时间、并发用户数）达到设计标准。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完成所有合同约定的交付物提交，且文档齐全、准确。</w:t>
      </w:r>
    </w:p>
    <w:p>
      <w:pPr>
        <w:pStyle w:val="a1"/>
        <w:bidi w:val="0"/>
        <w:rPr>
          <w:rFonts w:hint="eastAsia"/>
        </w:rPr>
      </w:pPr>
      <w:r>
        <w:rPr>
          <w:rFonts w:hint="eastAsia"/>
        </w:rPr>
        <w:t>完成对所有相关用户的培训，且通过考核。</w:t>
      </w:r>
    </w:p>
    <w:p>
      <w:pPr>
        <w:pStyle w:val="a1"/>
        <w:bidi w:val="0"/>
      </w:pPr>
      <w:r>
        <w:rPr>
          <w:rFonts w:hint="eastAsia"/>
        </w:rPr>
        <w:t>系统稳定试运行期满，无重大缺陷。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2626</Words>
  <Characters>2790</Characters>
  <Application>Microsoft Office Word</Application>
  <DocSecurity>0</DocSecurity>
  <Lines>0</Lines>
  <Paragraphs>0</Paragraphs>
  <ScaleCrop>false</ScaleCrop>
  <Company/>
  <LinksUpToDate>false</LinksUpToDate>
  <CharactersWithSpaces>2840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2025-12-12T03:51:00Z</dcterms:created>
  <dcterms:modified xsi:type="dcterms:W3CDTF">2025-12-14T13:19:54Z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F16DCA3577CB42FA952694E436ECB338_11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