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bidi w:val="0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bookmarkStart w:id="0" w:name="_Toc5368"/>
      <w:r>
        <w:rPr>
          <w:rFonts w:hint="eastAsia"/>
          <w:lang w:val="en-US" w:eastAsia="zh-CN"/>
        </w:rPr>
        <w:t>天津市华夏电缆有限公司</w:t>
      </w:r>
      <w:bookmarkEnd w:id="0"/>
    </w:p>
    <w:p>
      <w:pPr>
        <w:pStyle w:val="a0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23856"/>
      <w:r>
        <w:rPr>
          <w:rFonts w:hint="eastAsia"/>
          <w:lang w:val="en-US" w:eastAsia="zh-CN"/>
        </w:rPr>
        <w:t>曲靖供电局110kV变电站电力监控系统网络安全态势感知系统建设-项目实施计划（HXDL-ITSS-0903）</w:t>
      </w:r>
      <w:bookmarkEnd w:id="1"/>
    </w:p>
    <w:p>
      <w:pPr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spacing w:before="98" w:line="220" w:lineRule="auto"/>
        <w:ind w:left="3195"/>
        <w:outlineLvl w:val="0"/>
        <w:rPr>
          <w:rFonts w:ascii="宋体" w:eastAsia="宋体" w:hAnsi="宋体" w:cs="宋体"/>
          <w:sz w:val="30"/>
          <w:szCs w:val="30"/>
        </w:rPr>
      </w:pPr>
      <w:bookmarkStart w:id="2" w:name="_Toc24222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  <w:bookmarkEnd w:id="2"/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5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19" w:lineRule="auto"/>
              <w:ind w:left="9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9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spacing w:before="177" w:line="220" w:lineRule="auto"/>
              <w:ind w:left="19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spacing w:before="177" w:line="220" w:lineRule="auto"/>
              <w:ind w:left="4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spacing w:before="177" w:line="220" w:lineRule="auto"/>
              <w:ind w:left="24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spacing w:before="177" w:line="220" w:lineRule="auto"/>
              <w:ind w:left="48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spacing w:before="176" w:line="221" w:lineRule="auto"/>
              <w:ind w:left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spacing w:before="177" w:line="220" w:lineRule="auto"/>
              <w:ind w:left="4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230" w:line="219" w:lineRule="auto"/>
              <w:ind w:left="125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>
            <w:pPr>
              <w:pStyle w:val="TableText"/>
              <w:spacing w:before="230" w:line="237" w:lineRule="auto"/>
              <w:ind w:left="104"/>
              <w:rPr>
                <w:rFonts w:eastAsia="宋体" w:hint="eastAsia"/>
                <w:lang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957" w:type="dxa"/>
          </w:tcPr>
          <w:p>
            <w:pPr>
              <w:pStyle w:val="TableText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spacing w:before="230" w:line="237" w:lineRule="auto"/>
              <w:ind w:left="161"/>
              <w:rPr>
                <w:rFonts w:eastAsia="宋体" w:hint="eastAsia"/>
                <w:lang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1017" w:type="dxa"/>
          </w:tcPr>
          <w:p>
            <w:pPr>
              <w:pStyle w:val="TableText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>
            <w:pPr>
              <w:pStyle w:val="TableText"/>
              <w:spacing w:before="230" w:line="237" w:lineRule="auto"/>
              <w:ind w:left="220"/>
              <w:rPr>
                <w:rFonts w:eastAsia="宋体" w:hint="eastAsia"/>
                <w:lang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152" w:line="237" w:lineRule="auto"/>
              <w:ind w:left="195"/>
            </w:pPr>
          </w:p>
        </w:tc>
        <w:tc>
          <w:tcPr>
            <w:tcW w:w="881" w:type="dxa"/>
          </w:tcPr>
          <w:p>
            <w:pPr>
              <w:pStyle w:val="TableText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>
            <w:pPr>
              <w:pStyle w:val="TableText"/>
              <w:spacing w:before="152" w:line="237" w:lineRule="auto"/>
              <w:ind w:left="210"/>
            </w:pPr>
          </w:p>
        </w:tc>
        <w:tc>
          <w:tcPr>
            <w:tcW w:w="957" w:type="dxa"/>
          </w:tcPr>
          <w:p>
            <w:pPr>
              <w:pStyle w:val="TableText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>
            <w:pPr>
              <w:pStyle w:val="TableText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>
            <w:pPr>
              <w:pStyle w:val="TableText"/>
              <w:spacing w:before="152" w:line="220" w:lineRule="auto"/>
              <w:ind w:left="202"/>
            </w:pPr>
          </w:p>
        </w:tc>
        <w:tc>
          <w:tcPr>
            <w:tcW w:w="1271" w:type="dxa"/>
          </w:tcPr>
          <w:p>
            <w:pPr>
              <w:pStyle w:val="TableText"/>
              <w:spacing w:before="152" w:line="237" w:lineRule="auto"/>
              <w:ind w:left="220"/>
            </w:pP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52" w:line="219" w:lineRule="auto"/>
              <w:ind w:left="436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20" w:lineRule="auto"/>
              <w:ind w:left="202"/>
            </w:pP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20"/>
            </w:pP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57" w:line="219" w:lineRule="auto"/>
              <w:ind w:left="436"/>
            </w:pP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7087"/>
        <w:docPartObj>
          <w:docPartGallery w:val="Table of Contents"/>
          <w:docPartUnique/>
        </w:docPartObj>
      </w:sdt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3" w:name="_GoBack"/>
          <w:bookmarkEnd w:id="3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_Toc5368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_Toc5368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_Toc23856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曲靖供电局110kV变电站电力监控系统网络安全态势感知系统建设-项目实施计划（HXDL-ITSS-0903）</w:t>
          </w:r>
          <w:r>
            <w:tab/>
          </w:r>
          <w:r>
            <w:fldChar w:fldCharType="begin"/>
          </w:r>
          <w:r>
            <w:instrText xml:space="preserve"> PAGEREF _Toc23856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_Toc24222 </w:instrText>
          </w:r>
          <w:r>
            <w:fldChar w:fldCharType="separate"/>
          </w:r>
          <w:r>
            <w:rPr>
              <w:rFonts w:ascii="宋体" w:eastAsia="宋体" w:hAnsi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_Toc24222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_Toc18566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项目总览与目标</w:t>
          </w:r>
          <w:r>
            <w:tab/>
          </w:r>
          <w:r>
            <w:fldChar w:fldCharType="begin"/>
          </w:r>
          <w:r>
            <w:instrText xml:space="preserve"> PAGEREF _Toc18566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项目组织与职责矩阵</w:t>
          </w:r>
          <w:r>
            <w:tab/>
          </w:r>
          <w:r>
            <w:fldChar w:fldCharType="begin"/>
          </w:r>
          <w:r>
            <w:instrText xml:space="preserve"> PAGEREF _Toc2789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详细实施阶段与任务分解</w:t>
          </w:r>
          <w:r>
            <w:tab/>
          </w:r>
          <w:r>
            <w:fldChar w:fldCharType="begin"/>
          </w:r>
          <w:r>
            <w:instrText xml:space="preserve"> PAGEREF _Toc9076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第一阶段：项目启动与蓝图设计</w:t>
          </w:r>
          <w:r>
            <w:tab/>
          </w:r>
          <w:r>
            <w:fldChar w:fldCharType="begin"/>
          </w:r>
          <w:r>
            <w:instrText xml:space="preserve"> PAGEREF _Toc23288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第二阶段：平台部署与数据接入 (2025.70.08 - 2025.72.19)</w:t>
          </w:r>
          <w:r>
            <w:tab/>
          </w:r>
          <w:r>
            <w:fldChar w:fldCharType="begin"/>
          </w:r>
          <w:r>
            <w:instrText xml:space="preserve"> PAGEREF _Toc4168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_Toc32369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第三阶段：功能实现与策略调优 (2026.01.02 - 2026.02.28)</w:t>
          </w:r>
          <w:r>
            <w:tab/>
          </w:r>
          <w:r>
            <w:fldChar w:fldCharType="begin"/>
          </w:r>
          <w:r>
            <w:instrText xml:space="preserve"> PAGEREF _Toc32369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第四阶段：系统试运行与优化 (2026.03.01 - 2026.03.31)</w:t>
          </w:r>
          <w:r>
            <w:tab/>
          </w:r>
          <w:r>
            <w:fldChar w:fldCharType="begin"/>
          </w:r>
          <w:r>
            <w:instrText xml:space="preserve"> PAGEREF _Toc25753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第五阶段：项目收尾与验收交付 (2026.04.01 - 2026.04.30)</w:t>
          </w:r>
          <w:r>
            <w:tab/>
          </w:r>
          <w:r>
            <w:fldChar w:fldCharType="begin"/>
          </w:r>
          <w:r>
            <w:instrText xml:space="preserve"> PAGEREF _Toc20331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风险管理计划</w:t>
          </w:r>
          <w:r>
            <w:tab/>
          </w:r>
          <w:r>
            <w:fldChar w:fldCharType="begin"/>
          </w:r>
          <w:r>
            <w:instrText xml:space="preserve"> PAGEREF _Toc27013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沟通管理计划</w:t>
          </w:r>
          <w:r>
            <w:tab/>
          </w:r>
          <w:r>
            <w:fldChar w:fldCharType="begin"/>
          </w:r>
          <w:r>
            <w:instrText xml:space="preserve"> PAGEREF _Toc13360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交付成果清单</w:t>
          </w:r>
          <w:r>
            <w:tab/>
          </w:r>
          <w:r>
            <w:fldChar w:fldCharType="begin"/>
          </w:r>
          <w:r>
            <w:instrText xml:space="preserve"> PAGEREF _Toc20278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/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8566"/>
      <w:r>
        <w:rPr>
          <w:rFonts w:hint="default"/>
          <w:lang w:val="en-US" w:eastAsia="zh-CN"/>
        </w:rPr>
        <w:t>项目总览与目标</w:t>
      </w:r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旨在为“曲靖供电局110kV变电站电力监控系统网络安全态势感知系统建设项目”提供详尽的行动路线图与执行基准。项目旨在构建一套技术先进、贴合业务、持续运营的网络安全主动防御体系。本计划将项目生命周期划分为五个阶段，明确各阶段的任务、产出、责任分工与时间节点，确保项目于 2026年4月30日前 高质量完成交付与验收。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2789"/>
      <w:r>
        <w:rPr>
          <w:rFonts w:hint="default"/>
          <w:lang w:val="en-US" w:eastAsia="zh-CN"/>
        </w:rPr>
        <w:t>项目组织与职责矩阵</w:t>
      </w:r>
      <w:bookmarkEnd w:id="5"/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1"/>
        <w:gridCol w:w="2245"/>
        <w:gridCol w:w="2686"/>
        <w:gridCol w:w="254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 (云南中恒)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 (云南腾电)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曲靖供电局 (业主方)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领导小组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负责项目整体协调、资源保障、重大决策审批。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承担项目总体交付责任，对技术方案与最终成果负责。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提出核心需求，审批总体方案与里程碑，组织最终验收。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项目经理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作为甲方总代表，负责需求确认、进度监督、内外部协调及验收组织。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负责计划的全面执行、团队管理、风险控制、沟通汇报及交付物管理。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指定业务接口人，参与关键节点评审，监督项目符合业务与安全要求。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1" w:type="dxa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提供必要的技术资料与环境访问权限，配合进行联调测试与业务验证。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负责系统设计、部署、配置、开发、测试、调优等全部技术实施工作。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审核技术方案的安全性与合规性，参与系统功能与性能测试。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1" w:type="dxa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派员全程参与，为后续运维接管做准备。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提供全面的知识转移培训，交付完整运维文档与工具。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确认培训效果与运维文档的适用性。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9076"/>
      <w:r>
        <w:rPr>
          <w:rFonts w:hint="default"/>
          <w:lang w:val="en-US" w:eastAsia="zh-CN"/>
        </w:rPr>
        <w:t>详细实施阶段与任务分解</w:t>
      </w:r>
      <w:bookmarkEnd w:id="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本计划严格遵循总体技术架构，划分为五个循序渐进的阶段。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" w:name="_Toc23288"/>
      <w:r>
        <w:rPr>
          <w:rFonts w:hint="default"/>
          <w:lang w:val="en-US" w:eastAsia="zh-CN"/>
        </w:rPr>
        <w:t>第一阶段：项目启动与蓝图设计</w:t>
      </w:r>
      <w:bookmarkEnd w:id="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完成项目初始化，明确需求细节，输出指导后续工作的详细设计方案。</w:t>
      </w:r>
    </w:p>
    <w:p>
      <w:pPr>
        <w:pStyle w:val="a1"/>
        <w:bidi w:val="0"/>
        <w:rPr>
          <w:rFonts w:hint="default"/>
          <w:lang w:val="en-US" w:eastAsia="zh-CN"/>
        </w:rPr>
      </w:pP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1"/>
        <w:gridCol w:w="1599"/>
        <w:gridCol w:w="2242"/>
        <w:gridCol w:w="1612"/>
        <w:gridCol w:w="1027"/>
        <w:gridCol w:w="1187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计划起止日期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项目启动与开工会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明确项目目标、范围、组织、沟通机制及本计划评审。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《项目启动会纪要》、《项目章程》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2025.08.01 - 08.02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现状与需求深度调研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走访关键站点，访谈相关业务与技术人员，收集网络拓扑、资产列表、安全策略等资料。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《现状调研报告》、《详细需求规格说明书》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乙方主导，甲方配合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2025.08.05 - 08.16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系统详细设计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完成技术架构、部署架构、数据流、功能模块、接口及安全设计的详细方案。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《系统详细设计说明书》(含架构图)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2025.08.19 - 09.06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设计评审与确认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组织甲方、业主方进行多轮技术方案评审，并根据意见修改完善。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经三方签字确认的《详细设计说明书》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2025.09.09 - 09.30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第一阶段里程碑：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蓝图设计获得正式批准，项目进入实质性建设阶段。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4168"/>
      <w:r>
        <w:rPr>
          <w:rFonts w:hint="default"/>
          <w:lang w:val="en-US" w:eastAsia="zh-CN"/>
        </w:rPr>
        <w:t>第二阶段：平台部署与数据接入 (2025.70.08 - 2025.72.19)</w:t>
      </w:r>
      <w:bookmarkEnd w:id="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完成软硬件基础环境搭建，实现核心平台部署与首批关键数据源接入。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4"/>
        <w:gridCol w:w="1878"/>
        <w:gridCol w:w="1984"/>
        <w:gridCol w:w="1563"/>
        <w:gridCol w:w="1082"/>
        <w:gridCol w:w="1177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计划起止日期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硬件环境准备与部署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完成服务器、存储、网络设备的上架、加电、网络配置及系统初始化安装。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《硬件部署报告》、《系统环境检查清单》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乙方执行，甲方提供环境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2025.70.08 - 10.25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态势感知平台软件部署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安装部署大数据平台、分析引擎、可视化平台等核心软件组件。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《软件部署手册》、《平台安装报告》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2025.70.28 - 11.08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采集探针部署与调试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在指定网络节点及服务器上部署流量探针或日志代理，完成数据采集调试。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《采集点部署清单》、《数据接入测试报告》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乙方执行，甲方协调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2025.71.11 - 12.06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基础数据接入与标准化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配置日志解析规则，实现网络设备、安全设备等首批日志的标准化接入与处理。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《数据标准化规范》、《数据接入验证报告》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2025.72.09 - 12.19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第二阶段里程碑：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核心平台运行正常，具备基础数据接入与分析能力，完成内部功能联调。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32369"/>
      <w:r>
        <w:rPr>
          <w:rFonts w:hint="default"/>
          <w:lang w:val="en-US" w:eastAsia="zh-CN"/>
        </w:rPr>
        <w:t>第三阶段：功能实现与策略调优 (2026.01.02 - 2026.02.28)</w:t>
      </w:r>
      <w:bookmarkEnd w:id="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构建核心安全分析能力，完成态势可视化展示，实现初步的监测预警。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1661"/>
        <w:gridCol w:w="2224"/>
        <w:gridCol w:w="1609"/>
        <w:gridCol w:w="1010"/>
        <w:gridCol w:w="1178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任务名称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主要工作内容</w:t>
            </w: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计划起止日期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威胁检测模型与规则配置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基于行业情报和本地需求，配置入侵检测、异常行为、合规检查等分析规则与模型。</w:t>
            </w: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《威胁检测规则集》、《模型配置文档》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2026.01.02 - 01.17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态势可视化开发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开发定制化的安全态势总览、资产风险、攻击溯源、报表统计等可视化大屏及页面。</w:t>
            </w: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《态势可视化大屏》、《定制化报表》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2026.01.20 - 02.07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告警策略与响应流程配置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设定告警级别、通知方式（邮件、短信），并与甲方现有工单流程进行初步对接。</w:t>
            </w: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《告警策略配置手册》、《事件响应流程V1.0》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乙方主导，甲方确认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2026.02.10 - 02.21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系统集成与接口联调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与现有网管、安管平台等进行接口（如有）联调，验证数据交互与功能调用。</w:t>
            </w: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《系统集成测试报告》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2026.02.24 - 02.28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第三阶段里程碑：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系统核心监测与展示功能全部实现，具备上线试运行条件。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0" w:name="_Toc25753"/>
      <w:r>
        <w:rPr>
          <w:rFonts w:hint="default"/>
          <w:lang w:val="en-US" w:eastAsia="zh-CN"/>
        </w:rPr>
        <w:t>第四阶段：系统试运行与优化 (2026.03.01 - 2026.03.31)</w:t>
      </w:r>
      <w:bookmarkEnd w:id="10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系统正式上线试运行，通过实战检验并持续优化，固化运维流程。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1952"/>
        <w:gridCol w:w="1938"/>
        <w:gridCol w:w="1568"/>
        <w:gridCol w:w="1010"/>
        <w:gridCol w:w="1214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计划起止日期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试运行上线发布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召开试运行启动会，发布正式用户手册，系统全面投入生产监测。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《试运行发布通告》、《用户操作手册V1.0》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2026.03.01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监控与日常支持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乙方提供7x24小时监控与支持，每日检查系统状态，及时处理告警与事件。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《试运行日报/周报》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2026.03.02 - 03.31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策略与性能持续调优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根据试运行期间的告警数据与用户反馈，持续优化检测规则和系统性能。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《系统优化记录》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试运行期间持续进行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模拟攻防演练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在可控范围内，组织一次小规模模拟攻击测试，验证系统检测与响应能力。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《攻防演练方案与报告》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乙方设计，甲方参与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2026.03.18 - 03.22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第四阶段里程碑：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系统稳定试运行满1个月，核心功能与性能得到实际验证，未出现重大缺陷。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20331"/>
      <w:r>
        <w:rPr>
          <w:rFonts w:hint="default"/>
          <w:lang w:val="en-US" w:eastAsia="zh-CN"/>
        </w:rPr>
        <w:t>第五阶段：项目收尾与验收交付 (2026.04.01 - 2026.04.30)</w:t>
      </w:r>
      <w:bookmarkEnd w:id="1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完成项目所有工作，整理交付成果，通过正式验收，实现项目闭环。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9"/>
        <w:gridCol w:w="2020"/>
        <w:gridCol w:w="2115"/>
        <w:gridCol w:w="1686"/>
        <w:gridCol w:w="667"/>
        <w:gridCol w:w="122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计划起止日期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竣工文档编制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汇总整理项目实施全过程的所有技术与管理文档。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《项目竣工报告》、《最终交付物清单》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2026.04.01 - 04.10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最终用户培训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面向运维团队和管理层，进行系统性的最终应用培训与考核。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《培训签到记录》、《培训效果评估》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2026.04.15 - 04.17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项目最终验收评审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召开验收评审会，汇报项目成果，演示系统功能，审核交付文档。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《项目最终验收报告》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2026.04.24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项目总结与移交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进行项目工作总结，签署项目移交备忘录，进入质保运维期。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《项目总结报告》、《系统移交备忘录》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2026.04.28 - 04.30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最终里程碑：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项目获得三方正式验收，完成所有成果移交，项目成功闭环。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27013"/>
      <w:r>
        <w:rPr>
          <w:rFonts w:hint="default"/>
          <w:lang w:val="en-US" w:eastAsia="zh-CN"/>
        </w:rPr>
        <w:t>风险管理计划</w:t>
      </w:r>
      <w:bookmarkEnd w:id="12"/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2"/>
        <w:gridCol w:w="2445"/>
        <w:gridCol w:w="645"/>
        <w:gridCol w:w="645"/>
        <w:gridCol w:w="41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风险类别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概率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应对策略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技术风险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现有网络结构复杂，导致数据采集不全或影响业务。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前期深度调研，制定分步、分区域采集方案；采用流量镜像等无损技术，并进行严格测试。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进度风险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硬件采购或到货延迟。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甲方提前启动采购流程；制定备选设备清单；在计划中预留缓冲时间。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需求风险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试运行期间用户提出较多变更或新增需求。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建立严格的变更控制流程（CCB），区分缺陷修复与范围变更，评估对工期和成本的影响后决策。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安全风险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部署操作可能影响生产网络稳定性。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所有操作均须在甲方批准的维护窗口进行，并提前提交详细实施方案及回退计划。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13360"/>
      <w:r>
        <w:rPr>
          <w:rFonts w:hint="default"/>
          <w:lang w:val="en-US" w:eastAsia="zh-CN"/>
        </w:rPr>
        <w:t>沟通管理计划</w:t>
      </w:r>
      <w:bookmarkEnd w:id="1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项目周报： 乙方项目经理每周五向全体项目组成员发送项目周报，汇报进展、问题和下周计划。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双周例会： 每两周召开一次项目例会，由双方项目经理、技术负责人参加，同步进展，解决跨团队问题。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里程碑评审会： 在每个阶段里程碑完成后，召开正式评审会议，邀请领导小组参加。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即时沟通： 建立企业微信群，用于日常问题快速沟通与协调。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邮件确认： 所有关键决策、方案确认、变更请求等均通过邮件等书面形式存档。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4" w:name="_Toc20278"/>
      <w:r>
        <w:rPr>
          <w:rFonts w:hint="default"/>
          <w:lang w:val="en-US" w:eastAsia="zh-CN"/>
        </w:rPr>
        <w:t>交付成果清单</w:t>
      </w:r>
      <w:bookmarkEnd w:id="1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项目最终将向甲方及业主方交付包括但不限于以下成果：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管理文档： 项目计划、会议纪要、验收报告、总结报告。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技术文档： 详细设计说明书、部署手册、配置手册、数据接口规范。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用户文档： 用户操作手册、管理员运维手册、培训教材。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软件产品： 网络安全态势感知系统软件及其许可。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有形系统： 部署完成、配置就绪、稳定运行的一整套软件与集成环境。</w:t>
      </w:r>
    </w:p>
    <w:p>
      <w:pPr>
        <w:pStyle w:val="a1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816</Words>
  <Characters>912</Characters>
  <Application>Microsoft Office Word</Application>
  <DocSecurity>0</DocSecurity>
  <Lines>0</Lines>
  <Paragraphs>0</Paragraphs>
  <ScaleCrop>false</ScaleCrop>
  <Company/>
  <LinksUpToDate>false</LinksUpToDate>
  <CharactersWithSpaces>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2025-12-14T13:19:33Z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F41D3CD44E5B48B7B4D45D74A96542DD_13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