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42B8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</w:p>
    <w:p w14:paraId="249DC66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运维服务研发成果</w:t>
      </w:r>
    </w:p>
    <w:p w14:paraId="5864612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（HXDL-ITSS-0703）</w:t>
      </w:r>
    </w:p>
    <w:p w14:paraId="1A23AF7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0BC8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1C7208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郑运龙</w:t>
            </w:r>
          </w:p>
        </w:tc>
        <w:tc>
          <w:tcPr>
            <w:tcW w:w="4261" w:type="dxa"/>
          </w:tcPr>
          <w:p w14:paraId="0606CC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  <w:tr w14:paraId="04813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5AFBBE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7BB8BB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  <w:tr w14:paraId="01F62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7E9CBA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334191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</w:tbl>
    <w:p w14:paraId="2A58067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244ECE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58"/>
        <w:gridCol w:w="1196"/>
      </w:tblGrid>
      <w:tr w14:paraId="711E3A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2778A8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08BB77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E6857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2A6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7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7200AF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96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4604D2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367DE7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2A85A8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2E2B0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6DD574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2186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3708AF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5EE10F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8BB25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58" w:type="dxa"/>
            <w:shd w:val="clear" w:color="auto" w:fill="D9D9D9"/>
          </w:tcPr>
          <w:p w14:paraId="4E37F4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96" w:type="dxa"/>
            <w:vMerge w:val="continue"/>
            <w:tcBorders>
              <w:top w:val="nil"/>
              <w:right w:val="single" w:color="000000" w:sz="10" w:space="0"/>
            </w:tcBorders>
          </w:tcPr>
          <w:p w14:paraId="6C3186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67F233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71A0124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0EEA601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郑运龙</w:t>
            </w:r>
          </w:p>
        </w:tc>
        <w:tc>
          <w:tcPr>
            <w:tcW w:w="1274" w:type="dxa"/>
          </w:tcPr>
          <w:p w14:paraId="0DB1C8A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31E51E6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3697453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2F7C0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58" w:type="dxa"/>
          </w:tcPr>
          <w:p w14:paraId="56BE7CE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196" w:type="dxa"/>
            <w:tcBorders>
              <w:right w:val="single" w:color="000000" w:sz="10" w:space="0"/>
            </w:tcBorders>
          </w:tcPr>
          <w:p w14:paraId="675E1C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1A5DB7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7485AD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7ED46F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205348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3681A5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591C175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38CB86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58" w:type="dxa"/>
          </w:tcPr>
          <w:p w14:paraId="1E702C1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196" w:type="dxa"/>
            <w:tcBorders>
              <w:right w:val="single" w:color="000000" w:sz="10" w:space="0"/>
            </w:tcBorders>
          </w:tcPr>
          <w:p w14:paraId="18EA4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09A75B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7959CF0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4A99D2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2FF15D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5DF0A6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6A4781E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13AE2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58" w:type="dxa"/>
            <w:tcBorders>
              <w:bottom w:val="single" w:color="000000" w:sz="10" w:space="0"/>
            </w:tcBorders>
          </w:tcPr>
          <w:p w14:paraId="1A3F9D5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196" w:type="dxa"/>
            <w:tcBorders>
              <w:bottom w:val="single" w:color="000000" w:sz="10" w:space="0"/>
              <w:right w:val="single" w:color="000000" w:sz="10" w:space="0"/>
            </w:tcBorders>
          </w:tcPr>
          <w:p w14:paraId="03CE8A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384369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04EE2F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heading_2"/>
      <w:r>
        <w:t>综述</w:t>
      </w:r>
      <w:bookmarkEnd w:id="0"/>
    </w:p>
    <w:p w14:paraId="3B23C9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公司以技术研发为核心，通过先进技术推动业务发展，已具备全面承接软件开发项目的基础能力，业务领域涵盖营销、设备、调控、人资</w:t>
      </w:r>
      <w:r>
        <w:rPr>
          <w:rFonts w:hint="eastAsia"/>
          <w:lang w:val="en-US" w:eastAsia="zh-CN"/>
        </w:rPr>
        <w:t>和</w:t>
      </w:r>
      <w:bookmarkStart w:id="13" w:name="_GoBack"/>
      <w:bookmarkEnd w:id="13"/>
      <w:r>
        <w:t>物资等；同时负责公司信息通信系统运维项目及运维工具研发，范围包括所有信息通信基础资源、基础应用平台及核心业务系统。</w:t>
      </w:r>
    </w:p>
    <w:p w14:paraId="2D6E22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当前与运维业务相关的工具研发重点包括</w:t>
      </w:r>
      <w:r>
        <w:rPr>
          <w:rFonts w:hint="eastAsia"/>
          <w:lang w:val="en-US" w:eastAsia="zh-CN"/>
        </w:rPr>
        <w:t>四</w:t>
      </w:r>
      <w:r>
        <w:t>项内容：</w:t>
      </w:r>
    </w:p>
    <w:p w14:paraId="196785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《物管平台-物联标识系统》，建设基于物联网技术的标识管理体系，实现设备注册、审核、解析等功能，深化设备信息应用；</w:t>
      </w:r>
    </w:p>
    <w:p w14:paraId="090F34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《隔离装置监控处置工具》，研发自动监测处置功能，在不影响业务的前提下5分钟内完成故障处置，提升外网系统稳定性；</w:t>
      </w:r>
    </w:p>
    <w:p w14:paraId="415F76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</w:t>
      </w:r>
      <w:r>
        <w:rPr>
          <w:rFonts w:hint="default"/>
          <w:lang w:val="en-US" w:eastAsia="zh-CN"/>
        </w:rPr>
        <w:t>曲靖供电局110kV变电站电力监控系统网络安全态势感知</w:t>
      </w:r>
      <w:r>
        <w:rPr>
          <w:rFonts w:hint="eastAsia"/>
          <w:lang w:val="en-US" w:eastAsia="zh-CN"/>
        </w:rPr>
        <w:t>系统运行手册</w:t>
      </w:r>
      <w:r>
        <w:t>》，总结机房系统运行情况与故障特点，提出改进措施及规范运行方式。</w:t>
      </w:r>
    </w:p>
    <w:p w14:paraId="26D631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r>
        <w:rPr>
          <w:rFonts w:hint="eastAsia"/>
          <w:sz w:val="21"/>
          <w:szCs w:val="21"/>
          <w:lang w:val="en-US" w:eastAsia="zh-CN"/>
        </w:rPr>
        <w:t>《PC服务器标准化操作指导书》总结服务器运维过程中常见问题，</w:t>
      </w:r>
    </w:p>
    <w:p w14:paraId="3E52E6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所有研发项目均按计划有序推进，通过周报、月报、季度总结及年度总结结合项目管理工具的方式，严格监控研发进度与质量，确保项目执行可控。</w:t>
      </w:r>
    </w:p>
    <w:p w14:paraId="7466DCF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4"/>
      <w:r>
        <w:t>运维工具研发成果说明</w:t>
      </w:r>
      <w:bookmarkEnd w:id="1"/>
    </w:p>
    <w:p w14:paraId="64CD983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5"/>
      <w:r>
        <w:t>物管平台-物联标识系统</w:t>
      </w:r>
      <w:bookmarkEnd w:id="2"/>
    </w:p>
    <w:p w14:paraId="278A74D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6"/>
      <w:r>
        <w:t>项目总体</w:t>
      </w:r>
      <w:bookmarkEnd w:id="3"/>
      <w:r>
        <w:rPr>
          <w:rFonts w:hint="eastAsia"/>
          <w:lang w:val="en-US" w:eastAsia="zh-CN"/>
        </w:rPr>
        <w:t>概况</w:t>
      </w:r>
    </w:p>
    <w:tbl>
      <w:tblPr>
        <w:tblStyle w:val="20"/>
        <w:tblW w:w="84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25"/>
      </w:tblGrid>
      <w:tr w14:paraId="019F8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42E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内容分类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018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</w:tr>
      <w:tr w14:paraId="1F11E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CB9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总体目标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40E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建设基于物联网技术的物联标识系统，实现物联网设备的注册、审核、解析、标识管理，深化物联网设备信息应用；</w:t>
            </w:r>
          </w:p>
          <w:p w14:paraId="362858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打造统一设备标识管理体系，为设备新增、应用深化、数据共享及与业务系统深度融合提供技术基础。</w:t>
            </w:r>
          </w:p>
        </w:tc>
      </w:tr>
      <w:tr w14:paraId="47F74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720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总体计划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D2E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7</w:t>
            </w:r>
            <w:r>
              <w:rPr>
                <w:rFonts w:ascii="Arial" w:hAnsi="Arial" w:eastAsia="等线" w:cs="Arial"/>
                <w:sz w:val="22"/>
              </w:rPr>
              <w:t>月：完成需求调研、需求说明书编制、原型设计、数据库表设计及数据来源梳理；</w:t>
            </w:r>
          </w:p>
          <w:p w14:paraId="61B70D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8</w:t>
            </w:r>
            <w:r>
              <w:rPr>
                <w:rFonts w:ascii="Arial" w:hAnsi="Arial" w:eastAsia="等线" w:cs="Arial"/>
                <w:sz w:val="22"/>
              </w:rPr>
              <w:t>-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11</w:t>
            </w:r>
            <w:r>
              <w:rPr>
                <w:rFonts w:ascii="Arial" w:hAnsi="Arial" w:eastAsia="等线" w:cs="Arial"/>
                <w:sz w:val="22"/>
              </w:rPr>
              <w:t>月：完成UI设计、前端开发、后端开发、接口开发及数据联调；</w:t>
            </w:r>
          </w:p>
          <w:p w14:paraId="03BE15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12</w:t>
            </w:r>
            <w:r>
              <w:rPr>
                <w:rFonts w:ascii="Arial" w:hAnsi="Arial" w:eastAsia="等线" w:cs="Arial"/>
                <w:sz w:val="22"/>
              </w:rPr>
              <w:t>月：完成系统联调及问题整改，达到上线标准；</w:t>
            </w:r>
          </w:p>
          <w:p w14:paraId="3DA077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</w:t>
            </w:r>
            <w:r>
              <w:rPr>
                <w:rFonts w:ascii="Arial" w:hAnsi="Arial" w:eastAsia="等线" w:cs="Arial"/>
                <w:sz w:val="22"/>
              </w:rPr>
              <w:t>月：完成上线准备及部署。</w:t>
            </w:r>
          </w:p>
        </w:tc>
      </w:tr>
      <w:tr w14:paraId="7CC11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959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当前进度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F097A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完成所有功能开发，进入试运行阶段</w:t>
            </w:r>
          </w:p>
        </w:tc>
      </w:tr>
    </w:tbl>
    <w:p w14:paraId="60055ED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7"/>
      <w:r>
        <w:t>整体计划推进表</w:t>
      </w:r>
      <w:bookmarkEnd w:id="4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1637"/>
        <w:gridCol w:w="3576"/>
        <w:gridCol w:w="2555"/>
      </w:tblGrid>
      <w:tr w14:paraId="1B347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 w14:paraId="194F95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任务阶段</w:t>
            </w:r>
          </w:p>
        </w:tc>
        <w:tc>
          <w:tcPr>
            <w:tcW w:w="1637" w:type="dxa"/>
          </w:tcPr>
          <w:p w14:paraId="470EA5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时间节点</w:t>
            </w:r>
          </w:p>
        </w:tc>
        <w:tc>
          <w:tcPr>
            <w:tcW w:w="3576" w:type="dxa"/>
          </w:tcPr>
          <w:p w14:paraId="0F7FF80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2555" w:type="dxa"/>
          </w:tcPr>
          <w:p w14:paraId="5BB6C2F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</w:tr>
      <w:tr w14:paraId="42C13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 w14:paraId="586D22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需求调研</w:t>
            </w:r>
          </w:p>
        </w:tc>
        <w:tc>
          <w:tcPr>
            <w:tcW w:w="1637" w:type="dxa"/>
          </w:tcPr>
          <w:p w14:paraId="42491CF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3576" w:type="dxa"/>
          </w:tcPr>
          <w:p w14:paraId="4E16A36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完成需求调研，编制需求说明书，进行原型设计，完成数据库表设计和数据来源梳理</w:t>
            </w:r>
          </w:p>
        </w:tc>
        <w:tc>
          <w:tcPr>
            <w:tcW w:w="2555" w:type="dxa"/>
          </w:tcPr>
          <w:p w14:paraId="77357AA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111C2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52" w:type="dxa"/>
          </w:tcPr>
          <w:p w14:paraId="187914B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</w:t>
            </w:r>
          </w:p>
        </w:tc>
        <w:tc>
          <w:tcPr>
            <w:tcW w:w="1637" w:type="dxa"/>
          </w:tcPr>
          <w:p w14:paraId="736C325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2025年8-11月</w:t>
            </w:r>
          </w:p>
        </w:tc>
        <w:tc>
          <w:tcPr>
            <w:tcW w:w="3576" w:type="dxa"/>
          </w:tcPr>
          <w:p w14:paraId="133B95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完成前端页面开发和后台接口调试</w:t>
            </w:r>
          </w:p>
        </w:tc>
        <w:tc>
          <w:tcPr>
            <w:tcW w:w="2555" w:type="dxa"/>
          </w:tcPr>
          <w:p w14:paraId="2E683D9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B8E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 w14:paraId="6D2BE5D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上线准备</w:t>
            </w:r>
          </w:p>
        </w:tc>
        <w:tc>
          <w:tcPr>
            <w:tcW w:w="1637" w:type="dxa"/>
          </w:tcPr>
          <w:p w14:paraId="5F07FE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2025年12月</w:t>
            </w:r>
          </w:p>
        </w:tc>
        <w:tc>
          <w:tcPr>
            <w:tcW w:w="3576" w:type="dxa"/>
          </w:tcPr>
          <w:p w14:paraId="6E14DED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进行联调，解决已知问题，达到上线标准</w:t>
            </w:r>
          </w:p>
        </w:tc>
        <w:tc>
          <w:tcPr>
            <w:tcW w:w="2555" w:type="dxa"/>
          </w:tcPr>
          <w:p w14:paraId="330A037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479C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 w14:paraId="67D7B64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系统上线</w:t>
            </w:r>
          </w:p>
        </w:tc>
        <w:tc>
          <w:tcPr>
            <w:tcW w:w="1637" w:type="dxa"/>
          </w:tcPr>
          <w:p w14:paraId="11C1357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2026年1月</w:t>
            </w:r>
          </w:p>
        </w:tc>
        <w:tc>
          <w:tcPr>
            <w:tcW w:w="3576" w:type="dxa"/>
          </w:tcPr>
          <w:p w14:paraId="561834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完成系统上线</w:t>
            </w:r>
          </w:p>
        </w:tc>
        <w:tc>
          <w:tcPr>
            <w:tcW w:w="2555" w:type="dxa"/>
          </w:tcPr>
          <w:p w14:paraId="0CBFC28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3592369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9"/>
      <w:r>
        <w:t>整体功能介绍</w:t>
      </w:r>
      <w:bookmarkEnd w:id="5"/>
    </w:p>
    <w:p w14:paraId="743C5715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系统核心模块包括标识管理、标识数据统计、数据同步、系统管理（用户/组织/菜单/角色管理）及移动应用，实现物联网设备全生命周期管理与数据服务。</w:t>
      </w:r>
      <w:r>
        <w:rPr>
          <w:rFonts w:hint="eastAsia"/>
          <w:lang w:val="en-US" w:eastAsia="zh-CN"/>
        </w:rPr>
        <w:t>如图所示</w:t>
      </w:r>
    </w:p>
    <w:p w14:paraId="713B53A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981325"/>
            <wp:effectExtent l="0" t="0" r="444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9F06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标识管理模块支持批量二维码生成、Excel导出、二维码下载及标识置为无效等功能，满足设备标识批量操作需求。</w:t>
      </w:r>
      <w:r>
        <w:rPr>
          <w:rFonts w:hint="eastAsia"/>
          <w:lang w:val="en-US" w:eastAsia="zh-CN"/>
        </w:rPr>
        <w:t>如图2所示</w:t>
      </w:r>
    </w:p>
    <w:p w14:paraId="5031EE82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both"/>
        <w:textAlignment w:val="baseline"/>
      </w:pPr>
    </w:p>
    <w:p w14:paraId="57BAA626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both"/>
        <w:textAlignment w:val="baseline"/>
      </w:pPr>
      <w:r>
        <w:drawing>
          <wp:inline distT="0" distB="0" distL="114300" distR="114300">
            <wp:extent cx="5264785" cy="2874010"/>
            <wp:effectExtent l="0" t="0" r="12065" b="254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C4D7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10"/>
      <w:r>
        <w:t>主要模块详情</w:t>
      </w:r>
      <w:bookmarkEnd w:id="6"/>
    </w:p>
    <w:p w14:paraId="7779AAEC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数据统计</w:t>
      </w:r>
    </w:p>
    <w:p w14:paraId="5FCB148D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rPr>
          <w:rStyle w:val="43"/>
        </w:rPr>
        <w:t>以单位、设备类型为统计维度，采用柱状图可视化展示数据，支持全局及明细数据查看，助力设备分布与数量分析。</w:t>
      </w:r>
      <w:r>
        <w:drawing>
          <wp:inline distT="0" distB="0" distL="114300" distR="114300">
            <wp:extent cx="5269865" cy="2148840"/>
            <wp:effectExtent l="0" t="0" r="317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3571F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72405" cy="2384425"/>
            <wp:effectExtent l="0" t="0" r="635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9AC3F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数据同步</w:t>
      </w:r>
    </w:p>
    <w:p w14:paraId="614AC86E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实现与ISC系统的用户及组织信息同步，确保标识系统内的人员机构信息与主库一致，保障数据准确性。</w:t>
      </w:r>
      <w:r>
        <w:rPr>
          <w:rFonts w:hint="eastAsia"/>
          <w:lang w:val="en-US" w:eastAsia="zh-CN"/>
        </w:rPr>
        <w:t>如下图所示</w:t>
      </w:r>
      <w:r>
        <w:drawing>
          <wp:inline distT="0" distB="0" distL="114300" distR="114300">
            <wp:extent cx="5262880" cy="2773680"/>
            <wp:effectExtent l="0" t="0" r="13970" b="762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0ECB3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5D77169E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系统管理</w:t>
      </w:r>
    </w:p>
    <w:p w14:paraId="0716C7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43"/>
          <w:rFonts w:hint="eastAsia"/>
          <w:lang w:val="en-US"/>
        </w:rPr>
      </w:pPr>
      <w:r>
        <w:t>菜单管理支持自定义菜单名称、URL、路径、排序及显示状态等配置，提供返回、保存、删除及添加下级等操作按钮；组织管理记录组织名称、上级机构及创建时间等核心信息，支撑系统权限精细化管控。</w:t>
      </w:r>
      <w:r>
        <w:rPr>
          <w:rFonts w:hint="eastAsia"/>
          <w:lang w:val="en-US"/>
        </w:rPr>
        <w:t>如下图所示</w:t>
      </w:r>
    </w:p>
    <w:p w14:paraId="47FDA415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62880" cy="2108835"/>
            <wp:effectExtent l="0" t="0" r="10160" b="952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drawing>
          <wp:inline distT="0" distB="0" distL="114300" distR="114300">
            <wp:extent cx="5269230" cy="1821815"/>
            <wp:effectExtent l="0" t="0" r="7620" b="698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0E6C4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支持权限管理功能，实现按需分配权限。进行严格管控</w:t>
      </w:r>
    </w:p>
    <w:p w14:paraId="01147764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66690" cy="2153285"/>
            <wp:effectExtent l="0" t="0" r="10160" b="1841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CE096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69230" cy="1311275"/>
            <wp:effectExtent l="0" t="0" r="7620" b="317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030FE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同时支持设备管理功能</w:t>
      </w:r>
    </w:p>
    <w:p w14:paraId="30C96508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824480"/>
            <wp:effectExtent l="0" t="0" r="3810" b="1397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D64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11"/>
      <w:r>
        <w:t>产品功能与实现目标</w:t>
      </w:r>
      <w:bookmarkEnd w:id="7"/>
    </w:p>
    <w:p w14:paraId="05EE9493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产品功能</w:t>
      </w:r>
    </w:p>
    <w:p w14:paraId="1AF11E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支持海量采集终端与边缘物联代理的统一在线管理及远程运维；助力专业智能应用快速迭代升级，构建开放共享生态；实现采集数据标准化处理与存量系统接入，向企业中台及业务系统开放标准化数据接口。</w:t>
      </w:r>
    </w:p>
    <w:p w14:paraId="42D26646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实现目标</w:t>
      </w:r>
    </w:p>
    <w:p w14:paraId="096E5A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规范终端接入标准，整合终端信息存储；依托云平台与数据中台，强化物联平台服务能力；以服务、运维及数据可视化技术驱动业务，支撑各业务系统与物联平台对接，提升终端运维管理效率。</w:t>
      </w:r>
      <w:bookmarkStart w:id="8" w:name="heading_12"/>
    </w:p>
    <w:p w14:paraId="3D98939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隔离装置监控处置工具</w:t>
      </w:r>
      <w:bookmarkEnd w:id="8"/>
    </w:p>
    <w:p w14:paraId="2A9ABF1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13"/>
      <w:r>
        <w:t>项目总体</w:t>
      </w:r>
      <w:bookmarkEnd w:id="9"/>
      <w:r>
        <w:rPr>
          <w:rFonts w:hint="eastAsia"/>
          <w:lang w:val="en-US" w:eastAsia="zh-CN"/>
        </w:rPr>
        <w:t>概况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5"/>
        <w:gridCol w:w="7044"/>
      </w:tblGrid>
      <w:tr w14:paraId="25DB7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8C9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内容分类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3DA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</w:tr>
      <w:tr w14:paraId="3B10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1E2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总体目标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05B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深入研究隔离装置工作原理，研发自动监测处置工具，在不影响业务运行的前提下，通过实时监测与故障处理功能，5分钟内完成自动故障处置，提升外网业务系统运行稳定性。</w:t>
            </w:r>
          </w:p>
        </w:tc>
      </w:tr>
      <w:tr w14:paraId="2F897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010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总体计划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18B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7-8</w:t>
            </w:r>
            <w:r>
              <w:rPr>
                <w:rFonts w:ascii="Arial" w:hAnsi="Arial" w:eastAsia="等线" w:cs="Arial"/>
                <w:sz w:val="22"/>
              </w:rPr>
              <w:t>月：完成需求收集与确认；</w:t>
            </w:r>
          </w:p>
          <w:p w14:paraId="3488FB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9-11</w:t>
            </w:r>
            <w:r>
              <w:rPr>
                <w:rFonts w:ascii="Arial" w:hAnsi="Arial" w:eastAsia="等线" w:cs="Arial"/>
                <w:sz w:val="22"/>
              </w:rPr>
              <w:t>月：开展四大功能模块（探测及处理、日志记录、短信邮件告警、日志审计）迭代研发与测试；</w:t>
            </w:r>
          </w:p>
          <w:p w14:paraId="280038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12</w:t>
            </w:r>
            <w:r>
              <w:rPr>
                <w:rFonts w:ascii="Arial" w:hAnsi="Arial" w:eastAsia="等线" w:cs="Arial"/>
                <w:sz w:val="22"/>
              </w:rPr>
              <w:t>月：完成线上部署试用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并进行BUG修复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  <w:p w14:paraId="62A1DE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2026年1月：上线试运行</w:t>
            </w:r>
          </w:p>
          <w:p w14:paraId="06F3C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>-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3</w:t>
            </w:r>
            <w:r>
              <w:rPr>
                <w:rFonts w:ascii="Arial" w:hAnsi="Arial" w:eastAsia="等线" w:cs="Arial"/>
                <w:sz w:val="22"/>
              </w:rPr>
              <w:t>月：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验收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</w:tc>
      </w:tr>
      <w:tr w14:paraId="0C06F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98F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当前进度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152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上线试运行</w:t>
            </w:r>
          </w:p>
        </w:tc>
      </w:tr>
      <w:tr w14:paraId="267A5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830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本月任务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DA6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上线试运行，维护系统稳定</w:t>
            </w:r>
          </w:p>
        </w:tc>
      </w:tr>
      <w:tr w14:paraId="63F0A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E94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待协调事项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E72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9529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4D6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现存问题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487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1E406CE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15"/>
      <w:r>
        <w:t>整体功能介绍</w:t>
      </w:r>
      <w:bookmarkEnd w:id="10"/>
    </w:p>
    <w:p w14:paraId="1B9192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系统包含监测及处置、日志记录、短信邮件告警、日志审计四大核心模块，实现隔离装置的实时监测与智能化故障处理，解决传统人工运维效率低的问题，提升外网业务系统稳定性。</w:t>
      </w:r>
    </w:p>
    <w:p w14:paraId="33F7D3C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16"/>
      <w:r>
        <w:t>主要模块详情</w:t>
      </w:r>
      <w:bookmarkEnd w:id="11"/>
    </w:p>
    <w:p w14:paraId="78B939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监控模块是核心功能载体，实现隔离装置设备线上化管理与实时监控，具备5分钟自动巡检、异常关闭后自动重启等能力，彻底实现隔离装置运维自动化，减少人工干预成本。</w:t>
      </w:r>
      <w:r>
        <w:rPr>
          <w:rFonts w:hint="eastAsia"/>
          <w:lang w:val="en-US" w:eastAsia="zh-CN"/>
        </w:rPr>
        <w:t>监控功能支持总体查看设备负载趋势，如下图：</w:t>
      </w:r>
    </w:p>
    <w:p w14:paraId="3657EF9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59070" cy="2442845"/>
            <wp:effectExtent l="0" t="0" r="13970" b="1079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0C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日志记录系统的操作情况，如下图：</w:t>
      </w:r>
    </w:p>
    <w:p w14:paraId="75DA43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65420" cy="2091690"/>
            <wp:effectExtent l="0" t="0" r="11430" b="381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6284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短信邮件告警功能主要是实现对异常设备进行通知</w:t>
      </w:r>
    </w:p>
    <w:p w14:paraId="34524D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73040" cy="3006725"/>
            <wp:effectExtent l="0" t="0" r="0" b="1079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0C7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日志审计功能</w:t>
      </w:r>
    </w:p>
    <w:p w14:paraId="04F991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55895" cy="2853055"/>
            <wp:effectExtent l="0" t="0" r="1905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31A8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17"/>
      <w:r>
        <w:t>产品功能与实现目标</w:t>
      </w:r>
      <w:bookmarkEnd w:id="12"/>
    </w:p>
    <w:p w14:paraId="5F458C7D">
      <w:pPr>
        <w:pStyle w:val="29"/>
        <w:numPr>
          <w:ilvl w:val="0"/>
          <w:numId w:val="8"/>
        </w:numPr>
        <w:bidi w:val="0"/>
        <w:ind w:left="425" w:leftChars="0" w:hanging="425" w:firstLineChars="0"/>
      </w:pPr>
      <w:r>
        <w:t>产品功能</w:t>
      </w:r>
    </w:p>
    <w:p w14:paraId="29CAAAF6">
      <w:pPr>
        <w:pStyle w:val="29"/>
        <w:numPr>
          <w:ilvl w:val="0"/>
          <w:numId w:val="0"/>
        </w:numPr>
        <w:bidi w:val="0"/>
        <w:ind w:firstLine="420" w:firstLineChars="0"/>
      </w:pPr>
      <w:r>
        <w:t>实现隔离装置代理数据库可用性探测</w:t>
      </w:r>
    </w:p>
    <w:p w14:paraId="55F4385D">
      <w:pPr>
        <w:pStyle w:val="29"/>
        <w:numPr>
          <w:ilvl w:val="0"/>
          <w:numId w:val="0"/>
        </w:numPr>
        <w:bidi w:val="0"/>
        <w:ind w:firstLine="420" w:firstLineChars="0"/>
      </w:pPr>
      <w:r>
        <w:t>对探测失败的隔离装置代理进程自动重启</w:t>
      </w:r>
    </w:p>
    <w:p w14:paraId="5089AE79">
      <w:pPr>
        <w:pStyle w:val="29"/>
        <w:numPr>
          <w:ilvl w:val="0"/>
          <w:numId w:val="0"/>
        </w:numPr>
        <w:bidi w:val="0"/>
        <w:ind w:firstLine="420" w:firstLineChars="0"/>
      </w:pPr>
      <w:r>
        <w:t>记录并在监控页面展示探测失败日志</w:t>
      </w:r>
    </w:p>
    <w:p w14:paraId="35C66872">
      <w:pPr>
        <w:pStyle w:val="29"/>
        <w:numPr>
          <w:ilvl w:val="0"/>
          <w:numId w:val="0"/>
        </w:numPr>
        <w:bidi w:val="0"/>
        <w:ind w:firstLine="420" w:firstLineChars="0"/>
      </w:pPr>
      <w:r>
        <w:t>支持短信及邮件告警功能，及时推送故障信息</w:t>
      </w:r>
    </w:p>
    <w:p w14:paraId="4867D13B">
      <w:pPr>
        <w:pStyle w:val="29"/>
        <w:numPr>
          <w:ilvl w:val="0"/>
          <w:numId w:val="0"/>
        </w:numPr>
        <w:bidi w:val="0"/>
        <w:ind w:firstLine="420" w:firstLineChars="0"/>
      </w:pPr>
      <w:r>
        <w:t>具备日志审计能力，确保所有操作可追溯。</w:t>
      </w:r>
    </w:p>
    <w:p w14:paraId="143579A0">
      <w:pPr>
        <w:pStyle w:val="29"/>
        <w:numPr>
          <w:ilvl w:val="0"/>
          <w:numId w:val="8"/>
        </w:numPr>
        <w:bidi w:val="0"/>
        <w:ind w:left="425" w:leftChars="0" w:hanging="425" w:firstLineChars="0"/>
      </w:pPr>
      <w:r>
        <w:t>实现目标</w:t>
      </w:r>
    </w:p>
    <w:p w14:paraId="15F1F290">
      <w:pPr>
        <w:pStyle w:val="29"/>
        <w:bidi w:val="0"/>
      </w:pPr>
      <w:r>
        <w:t>解决隔离装置代理进程“SQLproxy”假死问题。该问题会导致微信公众号、外网门户等重要系统无法正常使用，且传统依赖人工重启的方式效率低下。本工具通过自动化监测与处置，5分钟内完成故障修复，大幅提升内外网业务系统运行可靠性，改善客户体验与工作效率。</w:t>
      </w:r>
    </w:p>
    <w:p w14:paraId="77559A2F">
      <w:pPr>
        <w:pStyle w:val="29"/>
        <w:bidi w:val="0"/>
      </w:pPr>
    </w:p>
    <w:p w14:paraId="6E171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运维手册研发成果说明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9"/>
        <w:gridCol w:w="1633"/>
        <w:gridCol w:w="1258"/>
        <w:gridCol w:w="2"/>
      </w:tblGrid>
      <w:tr w14:paraId="3AE84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5629" w:type="dxa"/>
          </w:tcPr>
          <w:p w14:paraId="0C7E09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手册名称</w:t>
            </w:r>
          </w:p>
        </w:tc>
        <w:tc>
          <w:tcPr>
            <w:tcW w:w="1633" w:type="dxa"/>
          </w:tcPr>
          <w:p w14:paraId="03FC206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1258" w:type="dxa"/>
          </w:tcPr>
          <w:p w14:paraId="5B29AD9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完成情况</w:t>
            </w:r>
          </w:p>
        </w:tc>
      </w:tr>
      <w:tr w14:paraId="7BEBA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9" w:type="dxa"/>
          </w:tcPr>
          <w:p w14:paraId="7D0F1640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《Docker安装Jenkins》</w:t>
            </w:r>
          </w:p>
        </w:tc>
        <w:tc>
          <w:tcPr>
            <w:tcW w:w="1633" w:type="dxa"/>
          </w:tcPr>
          <w:p w14:paraId="62B8A639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260" w:type="dxa"/>
            <w:gridSpan w:val="2"/>
          </w:tcPr>
          <w:p w14:paraId="1C852B15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23E37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29" w:type="dxa"/>
          </w:tcPr>
          <w:p w14:paraId="76E756B5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Jenkins构建java项目（分布式）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》</w:t>
            </w:r>
          </w:p>
        </w:tc>
        <w:tc>
          <w:tcPr>
            <w:tcW w:w="1633" w:type="dxa"/>
          </w:tcPr>
          <w:p w14:paraId="62F88164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260" w:type="dxa"/>
            <w:gridSpan w:val="2"/>
          </w:tcPr>
          <w:p w14:paraId="06C1E7DD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2AD21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29" w:type="dxa"/>
          </w:tcPr>
          <w:p w14:paraId="5E58BD7D">
            <w:pPr>
              <w:pStyle w:val="29"/>
              <w:widowControl w:val="0"/>
              <w:bidi w:val="0"/>
              <w:ind w:left="0" w:leftChars="0" w:firstLine="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《Jenkins构建前端项目（分布式）》</w:t>
            </w:r>
          </w:p>
        </w:tc>
        <w:tc>
          <w:tcPr>
            <w:tcW w:w="1633" w:type="dxa"/>
          </w:tcPr>
          <w:p w14:paraId="7A664D9A">
            <w:pPr>
              <w:pStyle w:val="29"/>
              <w:widowControl w:val="0"/>
              <w:bidi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2026年1月</w:t>
            </w:r>
          </w:p>
        </w:tc>
        <w:tc>
          <w:tcPr>
            <w:tcW w:w="1260" w:type="dxa"/>
            <w:gridSpan w:val="2"/>
          </w:tcPr>
          <w:p w14:paraId="7C97C2C8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</w:tbl>
    <w:p w14:paraId="2798E6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7439C6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3848100" cy="1133475"/>
            <wp:effectExtent l="0" t="0" r="762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32005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研发投入情况</w:t>
      </w:r>
    </w:p>
    <w:tbl>
      <w:tblPr>
        <w:tblStyle w:val="20"/>
        <w:tblpPr w:leftFromText="180" w:rightFromText="180" w:vertAnchor="text" w:horzAnchor="page" w:tblpX="1769" w:tblpY="7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275"/>
        <w:gridCol w:w="1248"/>
        <w:gridCol w:w="1248"/>
        <w:gridCol w:w="1944"/>
      </w:tblGrid>
      <w:tr w14:paraId="76A38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5D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021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项目类别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AC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6F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研发方式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14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资金投入（万元）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09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人员投入（人）</w:t>
            </w:r>
          </w:p>
        </w:tc>
      </w:tr>
      <w:tr w14:paraId="551B0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2D0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EA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运维工具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CB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物管平台-物联标识系统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58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E90D2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16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56BBA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</w:tr>
      <w:tr w14:paraId="65543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30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A8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运维工具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56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隔离装置监控处置工具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22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4DE79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16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2B0CF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7B2C7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A5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1A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运维手册</w:t>
            </w:r>
          </w:p>
        </w:tc>
        <w:tc>
          <w:tcPr>
            <w:tcW w:w="12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6136F">
            <w:pPr>
              <w:pStyle w:val="29"/>
              <w:bidi w:val="0"/>
              <w:ind w:left="0" w:leftChars="0" w:firstLine="0" w:firstLine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《Docker安装Jenkins》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C0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EA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CEC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</w:tr>
      <w:tr w14:paraId="2AA9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3C65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CB9D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运维手册</w:t>
            </w:r>
          </w:p>
        </w:tc>
        <w:tc>
          <w:tcPr>
            <w:tcW w:w="12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632E6">
            <w:pPr>
              <w:pStyle w:val="29"/>
              <w:bidi w:val="0"/>
              <w:ind w:left="0" w:leftChars="0" w:firstLine="0" w:firstLine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Jenkins构建java项目（分布式）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》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5536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6D8C6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BBCA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</w:t>
            </w:r>
          </w:p>
        </w:tc>
      </w:tr>
      <w:tr w14:paraId="7E709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0A6F6">
            <w:pPr>
              <w:spacing w:before="120" w:after="120" w:line="288" w:lineRule="auto"/>
              <w:ind w:left="0"/>
              <w:jc w:val="left"/>
              <w:rPr>
                <w:rFonts w:hint="default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9BAB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运维手册</w:t>
            </w:r>
          </w:p>
        </w:tc>
        <w:tc>
          <w:tcPr>
            <w:tcW w:w="12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8DFCE">
            <w:pPr>
              <w:pStyle w:val="29"/>
              <w:bidi w:val="0"/>
              <w:ind w:left="0" w:leftChars="0" w:firstLine="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Jenkins构建前端项目（分布式）</w:t>
            </w:r>
          </w:p>
        </w:tc>
        <w:tc>
          <w:tcPr>
            <w:tcW w:w="124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DEEF0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napToGrid w:val="0"/>
                <w:color w:val="000000"/>
                <w:kern w:val="0"/>
                <w:sz w:val="22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12FAE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snapToGrid w:val="0"/>
                <w:color w:val="000000"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33894">
            <w:pPr>
              <w:spacing w:before="120" w:after="120" w:line="288" w:lineRule="auto"/>
              <w:ind w:left="0"/>
              <w:jc w:val="left"/>
              <w:rPr>
                <w:rFonts w:hint="default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1</w:t>
            </w:r>
          </w:p>
        </w:tc>
      </w:tr>
      <w:tr w14:paraId="6B7FB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614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DC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7EF88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42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3F2AA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</w:p>
        </w:tc>
      </w:tr>
    </w:tbl>
    <w:p w14:paraId="260FCB7A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新技术研发</w:t>
      </w:r>
    </w:p>
    <w:p w14:paraId="428CCCBF">
      <w:pPr>
        <w:pStyle w:val="29"/>
        <w:bidi w:val="0"/>
        <w:rPr>
          <w:rFonts w:hint="eastAsia" w:eastAsia="宋体"/>
          <w:lang w:val="en-US" w:eastAsia="zh-CN"/>
        </w:rPr>
      </w:pPr>
      <w:r>
        <w:t>通过系列培训，团队成员已全面掌握Python在资源监控领域的应用能力。目前可熟练运用Pandas进行能耗数据分析，基于Flask/Dash构建实时监控可视化界面，并利用Scikit-learn实现设备异常检测模型。实践中成功将光伏电站监控系统的数据处理效率提升40%，预警准确率提高25%</w:t>
      </w:r>
      <w:r>
        <w:rPr>
          <w:rFonts w:hint="eastAsia"/>
          <w:lang w:eastAsia="zh-CN"/>
        </w:rPr>
        <w:t>。</w:t>
      </w:r>
    </w:p>
    <w:p w14:paraId="404B0134">
      <w:pPr>
        <w:pStyle w:val="29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9F783"/>
    <w:multiLevelType w:val="singleLevel"/>
    <w:tmpl w:val="84F9F78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0DA52D0"/>
    <w:multiLevelType w:val="singleLevel"/>
    <w:tmpl w:val="A0DA52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FB92D63"/>
    <w:multiLevelType w:val="singleLevel"/>
    <w:tmpl w:val="0FB92D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30144B1"/>
    <w:multiLevelType w:val="singleLevel"/>
    <w:tmpl w:val="230144B1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667DD03"/>
    <w:multiLevelType w:val="singleLevel"/>
    <w:tmpl w:val="3667DD0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199DF76"/>
    <w:multiLevelType w:val="singleLevel"/>
    <w:tmpl w:val="4199DF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CB0EA2D"/>
    <w:multiLevelType w:val="singleLevel"/>
    <w:tmpl w:val="7CB0EA2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784A7E"/>
    <w:rsid w:val="00995CEA"/>
    <w:rsid w:val="01113D6B"/>
    <w:rsid w:val="03B629A7"/>
    <w:rsid w:val="0AE23355"/>
    <w:rsid w:val="0E3F3599"/>
    <w:rsid w:val="0FB51D65"/>
    <w:rsid w:val="10515F1F"/>
    <w:rsid w:val="1735378C"/>
    <w:rsid w:val="17C57205"/>
    <w:rsid w:val="1E5310C7"/>
    <w:rsid w:val="20CA763A"/>
    <w:rsid w:val="21570ECE"/>
    <w:rsid w:val="21C267AA"/>
    <w:rsid w:val="234436D4"/>
    <w:rsid w:val="2533755C"/>
    <w:rsid w:val="25A744E0"/>
    <w:rsid w:val="25CB2FB1"/>
    <w:rsid w:val="283B58B4"/>
    <w:rsid w:val="2BA74800"/>
    <w:rsid w:val="2C7F17D8"/>
    <w:rsid w:val="2CD86C3B"/>
    <w:rsid w:val="2D8D444F"/>
    <w:rsid w:val="2DC86CB0"/>
    <w:rsid w:val="34B103C4"/>
    <w:rsid w:val="39B76556"/>
    <w:rsid w:val="3F3E6DD2"/>
    <w:rsid w:val="40C902B3"/>
    <w:rsid w:val="4C392213"/>
    <w:rsid w:val="4D5F3063"/>
    <w:rsid w:val="4DAE7A4F"/>
    <w:rsid w:val="4E4B1494"/>
    <w:rsid w:val="4F0C0C9A"/>
    <w:rsid w:val="52E236E7"/>
    <w:rsid w:val="53A25729"/>
    <w:rsid w:val="58070251"/>
    <w:rsid w:val="5A697A69"/>
    <w:rsid w:val="5CBD5382"/>
    <w:rsid w:val="600357A2"/>
    <w:rsid w:val="60BB7E2A"/>
    <w:rsid w:val="60D66BF4"/>
    <w:rsid w:val="615F10FE"/>
    <w:rsid w:val="61B16EB9"/>
    <w:rsid w:val="73942E89"/>
    <w:rsid w:val="75324707"/>
    <w:rsid w:val="79BF6786"/>
    <w:rsid w:val="79D0629D"/>
    <w:rsid w:val="7A735A72"/>
    <w:rsid w:val="7ABC269F"/>
    <w:rsid w:val="7BF10DD0"/>
    <w:rsid w:val="7D67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link w:val="43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正文_无缩进 Char"/>
    <w:link w:val="39"/>
    <w:qFormat/>
    <w:uiPriority w:val="0"/>
    <w:rPr>
      <w:rFonts w:ascii="Arial" w:hAnsi="Arial"/>
      <w:sz w:val="24"/>
      <w:lang w:eastAsia="zh-CN"/>
    </w:r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2516</Words>
  <Characters>2763</Characters>
  <Lines>0</Lines>
  <Paragraphs>0</Paragraphs>
  <TotalTime>26</TotalTime>
  <ScaleCrop>false</ScaleCrop>
  <LinksUpToDate>false</LinksUpToDate>
  <CharactersWithSpaces>2763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2026-02-26T14:34:27Z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