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308436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15875</wp:posOffset>
            </wp:positionV>
            <wp:extent cx="7609840" cy="9761855"/>
            <wp:effectExtent l="0" t="0" r="10160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天津市华夏电缆有限公司</w:t>
      </w:r>
    </w:p>
    <w:p w14:paraId="3FB6D330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运维工具列表</w:t>
      </w:r>
    </w:p>
    <w:p w14:paraId="51544D92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（HXDL-ITSS-0807）</w:t>
      </w:r>
    </w:p>
    <w:p w14:paraId="23C9326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5ECF8B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05B397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赵川华</w:t>
            </w:r>
          </w:p>
        </w:tc>
        <w:tc>
          <w:tcPr>
            <w:tcW w:w="4261" w:type="dxa"/>
          </w:tcPr>
          <w:p w14:paraId="1CEB988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2026.1.30</w:t>
            </w:r>
          </w:p>
        </w:tc>
      </w:tr>
      <w:tr w14:paraId="5DADAB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73AD3E0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 w14:paraId="06DDD7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2026.1.30</w:t>
            </w:r>
          </w:p>
        </w:tc>
      </w:tr>
      <w:tr w14:paraId="1F6754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0C3863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 w14:paraId="13503DA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2026.1.30</w:t>
            </w:r>
          </w:p>
        </w:tc>
      </w:tr>
    </w:tbl>
    <w:p w14:paraId="133C972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30A68C6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0" w:lineRule="auto"/>
        <w:ind w:left="3195"/>
        <w:textAlignment w:val="baseline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</w:p>
    <w:tbl>
      <w:tblPr>
        <w:tblStyle w:val="42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482"/>
        <w:gridCol w:w="1172"/>
      </w:tblGrid>
      <w:tr w14:paraId="1F62715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45F782E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409AC8E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7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7BB3CB7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52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4F9531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19" w:lineRule="auto"/>
              <w:ind w:left="92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499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2C7DDAA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91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172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2B5A72F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06CDE9F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21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5EA3479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1EFD23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71B0FB4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19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51D9B15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3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3DA414D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24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3592FB5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8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49DF8B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1" w:lineRule="auto"/>
              <w:ind w:left="26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482" w:type="dxa"/>
            <w:shd w:val="clear" w:color="auto" w:fill="D9D9D9"/>
          </w:tcPr>
          <w:p w14:paraId="2497AD4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4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172" w:type="dxa"/>
            <w:vMerge w:val="continue"/>
            <w:tcBorders>
              <w:top w:val="nil"/>
              <w:right w:val="single" w:color="000000" w:sz="10" w:space="0"/>
            </w:tcBorders>
          </w:tcPr>
          <w:p w14:paraId="58012B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4BCABFF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65497C6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95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4CCDA3A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25"/>
              <w:textAlignment w:val="baseline"/>
            </w:pPr>
            <w:r>
              <w:rPr>
                <w:spacing w:val="-4"/>
              </w:rPr>
              <w:t>赵川华</w:t>
            </w:r>
          </w:p>
        </w:tc>
        <w:tc>
          <w:tcPr>
            <w:tcW w:w="1274" w:type="dxa"/>
          </w:tcPr>
          <w:p w14:paraId="25AD80A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04"/>
              <w:textAlignment w:val="baseline"/>
              <w:rPr>
                <w:rFonts w:hint="default" w:eastAsia="宋体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/>
                <w:spacing w:val="-1"/>
                <w:lang w:eastAsia="zh-CN"/>
              </w:rPr>
              <w:t>2026.01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957" w:type="dxa"/>
          </w:tcPr>
          <w:p w14:paraId="2836DD1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68"/>
              <w:textAlignment w:val="baseline"/>
            </w:pPr>
            <w:r>
              <w:rPr>
                <w:spacing w:val="-4"/>
              </w:rPr>
              <w:t>张智宏</w:t>
            </w:r>
          </w:p>
        </w:tc>
        <w:tc>
          <w:tcPr>
            <w:tcW w:w="1377" w:type="dxa"/>
          </w:tcPr>
          <w:p w14:paraId="0388719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61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pacing w:val="-1"/>
                <w:lang w:eastAsia="zh-CN"/>
              </w:rPr>
              <w:t>2026.01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1017" w:type="dxa"/>
          </w:tcPr>
          <w:p w14:paraId="762FBB6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202"/>
              <w:textAlignment w:val="baseline"/>
            </w:pPr>
            <w:r>
              <w:rPr>
                <w:spacing w:val="-3"/>
              </w:rPr>
              <w:t>陈垒</w:t>
            </w:r>
          </w:p>
        </w:tc>
        <w:tc>
          <w:tcPr>
            <w:tcW w:w="1482" w:type="dxa"/>
          </w:tcPr>
          <w:p w14:paraId="5C908DE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220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pacing w:val="-1"/>
                <w:lang w:eastAsia="zh-CN"/>
              </w:rPr>
              <w:t>2026.01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1172" w:type="dxa"/>
            <w:tcBorders>
              <w:right w:val="single" w:color="000000" w:sz="10" w:space="0"/>
            </w:tcBorders>
          </w:tcPr>
          <w:p w14:paraId="6239390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7" w:lineRule="auto"/>
              <w:ind w:left="341"/>
              <w:textAlignment w:val="baseline"/>
            </w:pPr>
            <w:r>
              <w:rPr>
                <w:spacing w:val="-5"/>
              </w:rPr>
              <w:t>首次发布</w:t>
            </w:r>
          </w:p>
        </w:tc>
      </w:tr>
      <w:tr w14:paraId="03AB60B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3F86A8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195"/>
              <w:textAlignment w:val="baseline"/>
            </w:pPr>
          </w:p>
        </w:tc>
        <w:tc>
          <w:tcPr>
            <w:tcW w:w="881" w:type="dxa"/>
          </w:tcPr>
          <w:p w14:paraId="0FDD410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25"/>
              <w:textAlignment w:val="baseline"/>
            </w:pPr>
          </w:p>
        </w:tc>
        <w:tc>
          <w:tcPr>
            <w:tcW w:w="1274" w:type="dxa"/>
          </w:tcPr>
          <w:p w14:paraId="0CC9953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10"/>
              <w:textAlignment w:val="baseline"/>
            </w:pPr>
          </w:p>
        </w:tc>
        <w:tc>
          <w:tcPr>
            <w:tcW w:w="957" w:type="dxa"/>
          </w:tcPr>
          <w:p w14:paraId="510088E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68"/>
              <w:textAlignment w:val="baseline"/>
            </w:pPr>
          </w:p>
        </w:tc>
        <w:tc>
          <w:tcPr>
            <w:tcW w:w="1377" w:type="dxa"/>
          </w:tcPr>
          <w:p w14:paraId="49E6FA0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67"/>
              <w:textAlignment w:val="baseline"/>
            </w:pPr>
          </w:p>
        </w:tc>
        <w:tc>
          <w:tcPr>
            <w:tcW w:w="1017" w:type="dxa"/>
          </w:tcPr>
          <w:p w14:paraId="3E3B6D9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20" w:lineRule="auto"/>
              <w:ind w:left="202"/>
              <w:textAlignment w:val="baseline"/>
            </w:pPr>
          </w:p>
        </w:tc>
        <w:tc>
          <w:tcPr>
            <w:tcW w:w="1482" w:type="dxa"/>
          </w:tcPr>
          <w:p w14:paraId="1F9696A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20"/>
              <w:textAlignment w:val="baseline"/>
            </w:pPr>
          </w:p>
        </w:tc>
        <w:tc>
          <w:tcPr>
            <w:tcW w:w="1172" w:type="dxa"/>
            <w:tcBorders>
              <w:right w:val="single" w:color="000000" w:sz="10" w:space="0"/>
            </w:tcBorders>
          </w:tcPr>
          <w:p w14:paraId="102FF1F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436"/>
              <w:textAlignment w:val="baseline"/>
            </w:pPr>
          </w:p>
        </w:tc>
      </w:tr>
      <w:tr w14:paraId="7C4D3DF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2683A9B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195"/>
              <w:textAlignment w:val="baseline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20EEA89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125"/>
              <w:textAlignment w:val="baseline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23A46A0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10"/>
              <w:textAlignment w:val="baseline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551A762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8" w:lineRule="auto"/>
              <w:ind w:left="164"/>
              <w:textAlignment w:val="baseline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2B80334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67"/>
              <w:textAlignment w:val="baseline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1DA181D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202"/>
              <w:textAlignment w:val="baseline"/>
            </w:pPr>
          </w:p>
        </w:tc>
        <w:tc>
          <w:tcPr>
            <w:tcW w:w="1482" w:type="dxa"/>
            <w:tcBorders>
              <w:bottom w:val="single" w:color="000000" w:sz="10" w:space="0"/>
            </w:tcBorders>
          </w:tcPr>
          <w:p w14:paraId="40942D9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20"/>
              <w:textAlignment w:val="baseline"/>
            </w:pPr>
          </w:p>
        </w:tc>
        <w:tc>
          <w:tcPr>
            <w:tcW w:w="1172" w:type="dxa"/>
            <w:tcBorders>
              <w:bottom w:val="single" w:color="000000" w:sz="10" w:space="0"/>
              <w:right w:val="single" w:color="000000" w:sz="10" w:space="0"/>
            </w:tcBorders>
          </w:tcPr>
          <w:p w14:paraId="394F057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436"/>
              <w:textAlignment w:val="baseline"/>
            </w:pPr>
          </w:p>
        </w:tc>
      </w:tr>
    </w:tbl>
    <w:p w14:paraId="029251D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/>
          <w:lang w:val="en-US" w:eastAsia="zh-CN"/>
        </w:rPr>
        <w:br w:type="page"/>
      </w:r>
    </w:p>
    <w:tbl>
      <w:tblPr>
        <w:tblStyle w:val="20"/>
        <w:tblW w:w="1303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5"/>
        <w:gridCol w:w="1764"/>
        <w:gridCol w:w="3600"/>
        <w:gridCol w:w="1272"/>
        <w:gridCol w:w="5596"/>
      </w:tblGrid>
      <w:tr w14:paraId="2ACD3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E000C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序号</w:t>
            </w:r>
          </w:p>
        </w:tc>
        <w:tc>
          <w:tcPr>
            <w:tcW w:w="1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A86BE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工具类别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94864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272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9BBB4">
            <w:pPr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工具来源</w:t>
            </w:r>
          </w:p>
        </w:tc>
        <w:tc>
          <w:tcPr>
            <w:tcW w:w="55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7B235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应用情况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说明</w:t>
            </w:r>
          </w:p>
        </w:tc>
      </w:tr>
      <w:tr w14:paraId="00CA0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4B710">
            <w:pPr>
              <w:numPr>
                <w:ilvl w:val="0"/>
                <w:numId w:val="2"/>
              </w:numPr>
              <w:ind w:left="425" w:leftChars="0" w:hanging="425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3CC15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运维过程管理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4487FB">
            <w:pPr>
              <w:pStyle w:val="39"/>
              <w:bidi w:val="0"/>
              <w:rPr>
                <w:rFonts w:hint="eastAsia" w:ascii="宋体" w:hAnsi="宋体" w:eastAsia="宋体" w:cs="宋体"/>
                <w:szCs w:val="21"/>
              </w:rPr>
            </w:pPr>
            <w:r>
              <w:t>智能一体化运维支撑平台SG-I6000</w:t>
            </w:r>
          </w:p>
        </w:tc>
        <w:tc>
          <w:tcPr>
            <w:tcW w:w="1272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AC58C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开源</w:t>
            </w:r>
          </w:p>
        </w:tc>
        <w:tc>
          <w:tcPr>
            <w:tcW w:w="55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73B48">
            <w:pPr>
              <w:spacing w:before="78" w:line="241" w:lineRule="auto"/>
              <w:ind w:right="103" w:rightChars="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  <w:lang w:val="en-US" w:eastAsia="zh-CN"/>
              </w:rPr>
              <w:t>通过使用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智能一体化运维支撑平台 SG-I6000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  <w:lang w:val="en-US" w:eastAsia="zh-CN"/>
              </w:rPr>
              <w:t>的工单模块和任务模块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实现了任务从创建、派发、处理到闭环的全流程数字化管理。通过可视化的流转看板与自动化规则，显著提升了协同效率，并确保每项运维任务可跟踪、可量化、可追溯。</w:t>
            </w:r>
          </w:p>
        </w:tc>
      </w:tr>
      <w:tr w14:paraId="4F9FE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B49B9">
            <w:pPr>
              <w:numPr>
                <w:ilvl w:val="0"/>
                <w:numId w:val="2"/>
              </w:numPr>
              <w:ind w:left="425" w:leftChars="0" w:hanging="425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0E612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运维监控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33A85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信息系统性能监控工具</w:t>
            </w:r>
          </w:p>
        </w:tc>
        <w:tc>
          <w:tcPr>
            <w:tcW w:w="1272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94039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开源</w:t>
            </w:r>
          </w:p>
        </w:tc>
        <w:tc>
          <w:tcPr>
            <w:tcW w:w="55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CD844">
            <w:pPr>
              <w:spacing w:before="78" w:line="241" w:lineRule="auto"/>
              <w:ind w:right="103" w:rightChars="0"/>
              <w:jc w:val="both"/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通过系统监控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  <w:lang w:val="en-US" w:eastAsia="zh-CN"/>
              </w:rPr>
              <w:t>工具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可以及时了解系统的运行情况，在故障发生前进行预防，在故障发生后及时告警，同时也为系统的巡检提供了大量的数据依据，为系统的改进、完善打下了坚实的基础，同时缩短了系统故障发生的时长，使故障能够得到及时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  <w:lang w:val="en-US" w:eastAsia="zh-CN"/>
              </w:rPr>
              <w:t>处置</w:t>
            </w:r>
          </w:p>
        </w:tc>
      </w:tr>
      <w:tr w14:paraId="12371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0759C">
            <w:pPr>
              <w:numPr>
                <w:ilvl w:val="0"/>
                <w:numId w:val="2"/>
              </w:numPr>
              <w:ind w:left="425" w:leftChars="0" w:hanging="425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41E91"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运维监控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157A4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物管平台-物联标志系统</w:t>
            </w:r>
          </w:p>
        </w:tc>
        <w:tc>
          <w:tcPr>
            <w:tcW w:w="1272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00EE8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自研</w:t>
            </w:r>
          </w:p>
        </w:tc>
        <w:tc>
          <w:tcPr>
            <w:tcW w:w="55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8CE8E">
            <w:pPr>
              <w:spacing w:before="78" w:line="241" w:lineRule="auto"/>
              <w:ind w:right="103" w:rightChars="0"/>
              <w:jc w:val="both"/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  <w:lang w:val="en-US" w:eastAsia="zh-CN"/>
              </w:rPr>
              <w:t>通过使用物管平台-物联标志系统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依托云平台与数据中台，强化物联平台服务能力；以服务、运维及数据可视化技术驱动业务，支撑各业务系统与物联平台对接，提升终端运维管理效率。</w:t>
            </w:r>
          </w:p>
        </w:tc>
      </w:tr>
      <w:tr w14:paraId="2FDBB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229E11">
            <w:pPr>
              <w:numPr>
                <w:ilvl w:val="0"/>
                <w:numId w:val="2"/>
              </w:numPr>
              <w:ind w:left="425" w:leftChars="0" w:hanging="425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0E12D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运维监控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07959"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隔离装置监控处置工具</w:t>
            </w:r>
          </w:p>
        </w:tc>
        <w:tc>
          <w:tcPr>
            <w:tcW w:w="1272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7D27C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自研</w:t>
            </w:r>
          </w:p>
        </w:tc>
        <w:tc>
          <w:tcPr>
            <w:tcW w:w="55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C05C3">
            <w:pPr>
              <w:spacing w:before="78" w:line="241" w:lineRule="auto"/>
              <w:ind w:right="103" w:rightChars="0"/>
              <w:jc w:val="both"/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解决隔离装置代理进程“SQLproxy”假死问题。该问题会导致微信公众号、外网门户等重要系统无法正常使用，且传统依赖人工重启的方式效率低下。本工具通过自动化监测与处置，5分钟内完成故障修复，大幅提升内外网业务系统运行可靠性，改善客户体验与工作效率。</w:t>
            </w:r>
          </w:p>
        </w:tc>
      </w:tr>
    </w:tbl>
    <w:p w14:paraId="30E8D561">
      <w:pPr>
        <w:pStyle w:val="29"/>
        <w:bidi w:val="0"/>
        <w:ind w:left="0" w:leftChars="0" w:firstLine="0" w:firstLineChars="0"/>
        <w:rPr>
          <w:rFonts w:hint="default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3DA1EA46"/>
    <w:multiLevelType w:val="singleLevel"/>
    <w:tmpl w:val="3DA1EA4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B7B0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link w:val="44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link w:val="43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3">
    <w:name w:val="柴_正文_无缩进 Char"/>
    <w:link w:val="39"/>
    <w:qFormat/>
    <w:uiPriority w:val="0"/>
    <w:rPr>
      <w:rFonts w:ascii="Arial" w:hAnsi="Arial"/>
      <w:sz w:val="24"/>
      <w:lang w:eastAsia="zh-CN"/>
    </w:rPr>
  </w:style>
  <w:style w:type="character" w:customStyle="1" w:styleId="44">
    <w:name w:val="柴_标题2 Char"/>
    <w:link w:val="30"/>
    <w:qFormat/>
    <w:uiPriority w:val="0"/>
    <w:rPr>
      <w:rFonts w:ascii="Arial" w:hAnsi="Arial" w:eastAsia="宋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604</Words>
  <Characters>701</Characters>
  <Lines>0</Lines>
  <Paragraphs>0</Paragraphs>
  <TotalTime>1</TotalTime>
  <ScaleCrop>false</ScaleCrop>
  <LinksUpToDate>false</LinksUpToDate>
  <CharactersWithSpaces>702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2026-02-26T14:38:28Z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07FC051D12264F59A680B8B22651162F_13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