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5D8ED36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天津市华夏电缆有限公司</w:t>
      </w:r>
    </w:p>
    <w:p w14:paraId="72941802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运维工具自评估报告</w:t>
      </w:r>
    </w:p>
    <w:p w14:paraId="282D012E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（HXDL-ITSS-0808）</w:t>
      </w:r>
    </w:p>
    <w:p w14:paraId="176BCD1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59D8B2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1F7579E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赵川华</w:t>
            </w:r>
          </w:p>
        </w:tc>
        <w:tc>
          <w:tcPr>
            <w:tcW w:w="4261" w:type="dxa"/>
          </w:tcPr>
          <w:p w14:paraId="33962B6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2026.1.20</w:t>
            </w:r>
          </w:p>
        </w:tc>
      </w:tr>
      <w:tr w14:paraId="761760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6038323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张智宏</w:t>
            </w:r>
          </w:p>
        </w:tc>
        <w:tc>
          <w:tcPr>
            <w:tcW w:w="4261" w:type="dxa"/>
            <w:shd w:val="clear" w:color="auto" w:fill="auto"/>
          </w:tcPr>
          <w:p w14:paraId="20D6F54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2026.1.20</w:t>
            </w:r>
          </w:p>
        </w:tc>
      </w:tr>
      <w:tr w14:paraId="2B2AED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735EFA5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陈垒</w:t>
            </w:r>
          </w:p>
        </w:tc>
        <w:tc>
          <w:tcPr>
            <w:tcW w:w="4261" w:type="dxa"/>
          </w:tcPr>
          <w:p w14:paraId="7C6A7D2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2026.1.20</w:t>
            </w:r>
          </w:p>
        </w:tc>
      </w:tr>
    </w:tbl>
    <w:p w14:paraId="642D39D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6CB1A7C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hAnsi="宋体" w:eastAsia="宋体" w:cs="宋体"/>
          <w:sz w:val="30"/>
          <w:szCs w:val="30"/>
        </w:rPr>
      </w:pPr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</w:p>
    <w:tbl>
      <w:tblPr>
        <w:tblStyle w:val="42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482"/>
        <w:gridCol w:w="1172"/>
      </w:tblGrid>
      <w:tr w14:paraId="0351B357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13E2D26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0BB13C7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758D34D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16EBB3E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499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E4C9FB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172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07732B6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6D60CF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7B6B9E7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53C2195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35BA3B7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28FDEA2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4A3EF9B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229B604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5540796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482" w:type="dxa"/>
            <w:shd w:val="clear" w:color="auto" w:fill="D9D9D9"/>
          </w:tcPr>
          <w:p w14:paraId="5179910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172" w:type="dxa"/>
            <w:vMerge w:val="continue"/>
            <w:tcBorders>
              <w:top w:val="nil"/>
              <w:right w:val="single" w:color="000000" w:sz="10" w:space="0"/>
            </w:tcBorders>
          </w:tcPr>
          <w:p w14:paraId="55773DC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414D9CB7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7E55C0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7ED5153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</w:pPr>
            <w:r>
              <w:rPr>
                <w:spacing w:val="-4"/>
              </w:rPr>
              <w:t>赵川华</w:t>
            </w:r>
          </w:p>
        </w:tc>
        <w:tc>
          <w:tcPr>
            <w:tcW w:w="1274" w:type="dxa"/>
          </w:tcPr>
          <w:p w14:paraId="1E8EBC4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spacing w:val="-1"/>
                <w:lang w:eastAsia="zh-CN"/>
              </w:rPr>
              <w:t>2026.01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20</w:t>
            </w:r>
          </w:p>
        </w:tc>
        <w:tc>
          <w:tcPr>
            <w:tcW w:w="957" w:type="dxa"/>
          </w:tcPr>
          <w:p w14:paraId="5D43A27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张智宏</w:t>
            </w:r>
          </w:p>
        </w:tc>
        <w:tc>
          <w:tcPr>
            <w:tcW w:w="1377" w:type="dxa"/>
          </w:tcPr>
          <w:p w14:paraId="2FD5CC1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spacing w:val="-1"/>
                <w:lang w:eastAsia="zh-CN"/>
              </w:rPr>
              <w:t>2026.01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20</w:t>
            </w:r>
          </w:p>
        </w:tc>
        <w:tc>
          <w:tcPr>
            <w:tcW w:w="1017" w:type="dxa"/>
          </w:tcPr>
          <w:p w14:paraId="282B7B2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陈垒</w:t>
            </w:r>
          </w:p>
        </w:tc>
        <w:tc>
          <w:tcPr>
            <w:tcW w:w="1482" w:type="dxa"/>
          </w:tcPr>
          <w:p w14:paraId="20523AC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spacing w:val="-1"/>
                <w:lang w:eastAsia="zh-CN"/>
              </w:rPr>
              <w:t>2026.01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20</w:t>
            </w:r>
          </w:p>
        </w:tc>
        <w:tc>
          <w:tcPr>
            <w:tcW w:w="1172" w:type="dxa"/>
            <w:tcBorders>
              <w:right w:val="single" w:color="000000" w:sz="10" w:space="0"/>
            </w:tcBorders>
          </w:tcPr>
          <w:p w14:paraId="593950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 w14:paraId="47EF222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07D7BC4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 w14:paraId="1F3757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 w14:paraId="533E60C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 w14:paraId="6A88828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 w14:paraId="064C4EB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 w14:paraId="7140601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482" w:type="dxa"/>
          </w:tcPr>
          <w:p w14:paraId="598E064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172" w:type="dxa"/>
            <w:tcBorders>
              <w:right w:val="single" w:color="000000" w:sz="10" w:space="0"/>
            </w:tcBorders>
          </w:tcPr>
          <w:p w14:paraId="119D849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 w14:paraId="04E9004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29F64F5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1C9647E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66D3DE5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20D7719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35B1E9E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56C9D73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482" w:type="dxa"/>
            <w:tcBorders>
              <w:bottom w:val="single" w:color="000000" w:sz="10" w:space="0"/>
            </w:tcBorders>
          </w:tcPr>
          <w:p w14:paraId="068B86C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172" w:type="dxa"/>
            <w:tcBorders>
              <w:bottom w:val="single" w:color="000000" w:sz="10" w:space="0"/>
              <w:right w:val="single" w:color="000000" w:sz="10" w:space="0"/>
            </w:tcBorders>
          </w:tcPr>
          <w:p w14:paraId="5739C8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 w14:paraId="2259FFB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70B66E7C">
      <w:pPr>
        <w:bidi w:val="0"/>
        <w:rPr>
          <w:rFonts w:hint="default"/>
          <w:lang w:val="en-US" w:eastAsia="zh-CN"/>
        </w:rPr>
      </w:pPr>
    </w:p>
    <w:tbl>
      <w:tblPr>
        <w:tblStyle w:val="42"/>
        <w:tblpPr w:leftFromText="180" w:rightFromText="180" w:vertAnchor="text" w:horzAnchor="page" w:tblpX="1426" w:tblpY="455"/>
        <w:tblOverlap w:val="never"/>
        <w:tblW w:w="14524" w:type="dxa"/>
        <w:tblInd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5"/>
        <w:gridCol w:w="1307"/>
        <w:gridCol w:w="1887"/>
        <w:gridCol w:w="331"/>
        <w:gridCol w:w="3480"/>
        <w:gridCol w:w="1705"/>
        <w:gridCol w:w="3196"/>
        <w:gridCol w:w="1343"/>
      </w:tblGrid>
      <w:tr w14:paraId="7F9E721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51" w:hRule="atLeast"/>
        </w:trPr>
        <w:tc>
          <w:tcPr>
            <w:tcW w:w="1275" w:type="dxa"/>
            <w:shd w:val="clear" w:color="auto" w:fill="E5E5E5"/>
          </w:tcPr>
          <w:p w14:paraId="522E0EE0">
            <w:pPr>
              <w:spacing w:before="215" w:line="289" w:lineRule="auto"/>
              <w:ind w:left="538" w:right="110" w:hanging="422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6"/>
                <w:sz w:val="21"/>
                <w:szCs w:val="21"/>
              </w:rPr>
              <w:t>运维工具分</w:t>
            </w:r>
            <w:r>
              <w:rPr>
                <w:rFonts w:hint="eastAsia" w:ascii="宋体" w:hAnsi="宋体" w:eastAsia="宋体" w:cs="宋体"/>
                <w:b/>
                <w:bCs/>
                <w:spacing w:val="-2"/>
                <w:sz w:val="21"/>
                <w:szCs w:val="21"/>
              </w:rPr>
              <w:t>类</w:t>
            </w:r>
          </w:p>
        </w:tc>
        <w:tc>
          <w:tcPr>
            <w:tcW w:w="1307" w:type="dxa"/>
            <w:shd w:val="clear" w:color="auto" w:fill="E5E5E5"/>
          </w:tcPr>
          <w:p w14:paraId="151F9632">
            <w:pPr>
              <w:pStyle w:val="27"/>
              <w:spacing w:line="303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6E0A0B04">
            <w:pPr>
              <w:spacing w:before="65" w:line="229" w:lineRule="auto"/>
              <w:ind w:left="23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5"/>
                <w:sz w:val="21"/>
                <w:szCs w:val="21"/>
              </w:rPr>
              <w:t>工具名称</w:t>
            </w:r>
          </w:p>
        </w:tc>
        <w:tc>
          <w:tcPr>
            <w:tcW w:w="1887" w:type="dxa"/>
            <w:shd w:val="clear" w:color="auto" w:fill="E5E5E5"/>
          </w:tcPr>
          <w:p w14:paraId="495EA3EB">
            <w:pPr>
              <w:spacing w:before="214" w:line="229" w:lineRule="auto"/>
              <w:ind w:left="528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6"/>
                <w:sz w:val="21"/>
                <w:szCs w:val="21"/>
              </w:rPr>
              <w:t>主要功能</w:t>
            </w:r>
          </w:p>
          <w:p w14:paraId="0930D25D">
            <w:pPr>
              <w:spacing w:before="63" w:line="228" w:lineRule="auto"/>
              <w:ind w:left="12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4"/>
                <w:sz w:val="21"/>
                <w:szCs w:val="21"/>
              </w:rPr>
              <w:t>（关键功能说明）</w:t>
            </w:r>
          </w:p>
        </w:tc>
        <w:tc>
          <w:tcPr>
            <w:tcW w:w="3811" w:type="dxa"/>
            <w:gridSpan w:val="2"/>
            <w:shd w:val="clear" w:color="auto" w:fill="E5E5E5"/>
          </w:tcPr>
          <w:p w14:paraId="4A1D0C91">
            <w:pPr>
              <w:spacing w:before="214" w:line="228" w:lineRule="auto"/>
              <w:ind w:left="113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6"/>
                <w:sz w:val="21"/>
                <w:szCs w:val="21"/>
              </w:rPr>
              <w:t>使用情况说明</w:t>
            </w:r>
          </w:p>
          <w:p w14:paraId="3F8BBEFE">
            <w:pPr>
              <w:spacing w:before="64" w:line="228" w:lineRule="auto"/>
              <w:ind w:left="514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6"/>
                <w:sz w:val="21"/>
                <w:szCs w:val="21"/>
              </w:rPr>
              <w:t>（工具使用的客户及项目）</w:t>
            </w:r>
          </w:p>
        </w:tc>
        <w:tc>
          <w:tcPr>
            <w:tcW w:w="1705" w:type="dxa"/>
            <w:shd w:val="clear" w:color="auto" w:fill="E5E5E5"/>
          </w:tcPr>
          <w:p w14:paraId="14F6BF03">
            <w:pPr>
              <w:spacing w:before="58" w:line="228" w:lineRule="auto"/>
              <w:ind w:left="57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5"/>
                <w:sz w:val="21"/>
                <w:szCs w:val="21"/>
              </w:rPr>
              <w:t>工具来源</w:t>
            </w:r>
          </w:p>
          <w:p w14:paraId="6C6886A6">
            <w:pPr>
              <w:spacing w:before="66" w:line="263" w:lineRule="auto"/>
              <w:ind w:left="113" w:right="18" w:firstLine="50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1"/>
                <w:sz w:val="21"/>
                <w:szCs w:val="21"/>
              </w:rPr>
              <w:t>（开源工具、</w:t>
            </w:r>
            <w:r>
              <w:rPr>
                <w:rFonts w:hint="eastAsia" w:ascii="宋体" w:hAnsi="宋体" w:eastAsia="宋体" w:cs="宋体"/>
                <w:spacing w:val="-44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 w:cs="宋体"/>
                <w:b/>
                <w:bCs/>
                <w:spacing w:val="-1"/>
                <w:sz w:val="21"/>
                <w:szCs w:val="21"/>
              </w:rPr>
              <w:t>自主</w:t>
            </w:r>
            <w:r>
              <w:rPr>
                <w:rFonts w:hint="eastAsia" w:ascii="宋体" w:hAnsi="宋体" w:eastAsia="宋体" w:cs="宋体"/>
                <w:b/>
                <w:bCs/>
                <w:spacing w:val="3"/>
                <w:sz w:val="21"/>
                <w:szCs w:val="21"/>
              </w:rPr>
              <w:t>研发、外购的说明）</w:t>
            </w:r>
          </w:p>
        </w:tc>
        <w:tc>
          <w:tcPr>
            <w:tcW w:w="3196" w:type="dxa"/>
            <w:shd w:val="clear" w:color="auto" w:fill="E5E5E5"/>
          </w:tcPr>
          <w:p w14:paraId="37FC4BCB">
            <w:pPr>
              <w:pStyle w:val="27"/>
              <w:spacing w:line="303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735D8820">
            <w:pPr>
              <w:spacing w:before="65" w:line="226" w:lineRule="auto"/>
              <w:ind w:left="76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7"/>
                <w:sz w:val="21"/>
                <w:szCs w:val="21"/>
              </w:rPr>
              <w:t>使用效果评估意见</w:t>
            </w:r>
          </w:p>
        </w:tc>
        <w:tc>
          <w:tcPr>
            <w:tcW w:w="1343" w:type="dxa"/>
            <w:shd w:val="clear" w:color="auto" w:fill="E5E5E5"/>
          </w:tcPr>
          <w:p w14:paraId="7BC05026">
            <w:pPr>
              <w:spacing w:before="215" w:line="290" w:lineRule="auto"/>
              <w:ind w:left="476" w:right="302" w:hanging="169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4"/>
                <w:sz w:val="21"/>
                <w:szCs w:val="21"/>
              </w:rPr>
              <w:t>评价人/</w:t>
            </w:r>
            <w:r>
              <w:rPr>
                <w:rFonts w:hint="eastAsia" w:ascii="宋体" w:hAnsi="宋体" w:eastAsia="宋体" w:cs="宋体"/>
                <w:b/>
                <w:bCs/>
                <w:spacing w:val="-1"/>
                <w:sz w:val="21"/>
                <w:szCs w:val="21"/>
              </w:rPr>
              <w:t>时间</w:t>
            </w:r>
          </w:p>
        </w:tc>
      </w:tr>
      <w:tr w14:paraId="4ED4C21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72" w:hRule="atLeast"/>
        </w:trPr>
        <w:tc>
          <w:tcPr>
            <w:tcW w:w="1275" w:type="dxa"/>
          </w:tcPr>
          <w:p w14:paraId="4C504D63">
            <w:pPr>
              <w:pStyle w:val="27"/>
              <w:spacing w:line="261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1BBB6CE5">
            <w:pPr>
              <w:pStyle w:val="27"/>
              <w:spacing w:line="261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77A0497A">
            <w:pPr>
              <w:pStyle w:val="27"/>
              <w:spacing w:line="261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37275A76">
            <w:pPr>
              <w:pStyle w:val="27"/>
              <w:spacing w:line="262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29EB376C">
            <w:pPr>
              <w:spacing w:before="78" w:line="243" w:lineRule="auto"/>
              <w:ind w:left="404" w:right="154" w:hanging="241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5"/>
                <w:sz w:val="21"/>
                <w:szCs w:val="21"/>
              </w:rPr>
              <w:t>过程管理</w:t>
            </w:r>
            <w:r>
              <w:rPr>
                <w:rFonts w:hint="eastAsia" w:ascii="宋体" w:hAnsi="宋体" w:eastAsia="宋体" w:cs="宋体"/>
                <w:b/>
                <w:bCs/>
                <w:spacing w:val="-9"/>
                <w:sz w:val="21"/>
                <w:szCs w:val="21"/>
              </w:rPr>
              <w:t>工具</w:t>
            </w:r>
          </w:p>
        </w:tc>
        <w:tc>
          <w:tcPr>
            <w:tcW w:w="1307" w:type="dxa"/>
          </w:tcPr>
          <w:p w14:paraId="4F434E97">
            <w:pPr>
              <w:pStyle w:val="27"/>
              <w:spacing w:line="296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355C163B">
            <w:pPr>
              <w:pStyle w:val="27"/>
              <w:spacing w:line="297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0BB71634">
            <w:pPr>
              <w:pStyle w:val="27"/>
              <w:spacing w:line="297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2E776787">
            <w:pPr>
              <w:spacing w:line="219" w:lineRule="auto"/>
              <w:ind w:left="184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智能一体化运维支撑平台 SG-I6000</w:t>
            </w:r>
          </w:p>
        </w:tc>
        <w:tc>
          <w:tcPr>
            <w:tcW w:w="1887" w:type="dxa"/>
          </w:tcPr>
          <w:p w14:paraId="50707791">
            <w:pPr>
              <w:spacing w:before="39" w:line="236" w:lineRule="auto"/>
              <w:ind w:left="111" w:right="103" w:firstLine="2"/>
              <w:jc w:val="both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集产品管理、项目管理、质量管理、文档管理、组织管理和事务管理于一体，是一款功能完备的项目管理软件</w:t>
            </w:r>
          </w:p>
        </w:tc>
        <w:tc>
          <w:tcPr>
            <w:tcW w:w="3811" w:type="dxa"/>
            <w:gridSpan w:val="2"/>
          </w:tcPr>
          <w:p w14:paraId="0F3D82BD">
            <w:pPr>
              <w:spacing w:before="78" w:line="234" w:lineRule="auto"/>
              <w:ind w:left="580" w:right="107" w:hanging="455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position w:val="-4"/>
                <w:sz w:val="21"/>
                <w:szCs w:val="21"/>
              </w:rPr>
              <w:drawing>
                <wp:inline distT="0" distB="0" distL="0" distR="0">
                  <wp:extent cx="122555" cy="168275"/>
                  <wp:effectExtent l="0" t="0" r="14605" b="14605"/>
                  <wp:docPr id="2" name="IM 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 8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986" cy="1688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 w:ascii="宋体" w:hAnsi="宋体" w:eastAsia="宋体" w:cs="宋体"/>
                <w:spacing w:val="18"/>
                <w:sz w:val="21"/>
                <w:szCs w:val="21"/>
              </w:rPr>
              <w:t>曲靖供电局110kV变电站电力监控系统网络安全态势感知建设</w:t>
            </w:r>
            <w:r>
              <w:rPr>
                <w:rFonts w:hint="eastAsia" w:ascii="宋体" w:hAnsi="宋体" w:eastAsia="宋体" w:cs="宋体"/>
                <w:spacing w:val="18"/>
                <w:sz w:val="21"/>
                <w:szCs w:val="21"/>
                <w:lang w:val="en-US" w:eastAsia="zh-CN"/>
              </w:rPr>
              <w:t>项目</w:t>
            </w:r>
          </w:p>
          <w:p w14:paraId="01E59929">
            <w:pPr>
              <w:spacing w:before="14" w:line="236" w:lineRule="auto"/>
              <w:ind w:left="580" w:right="107" w:hanging="455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position w:val="-4"/>
                <w:sz w:val="21"/>
                <w:szCs w:val="21"/>
              </w:rPr>
              <w:drawing>
                <wp:inline distT="0" distB="0" distL="0" distR="0">
                  <wp:extent cx="122555" cy="168275"/>
                  <wp:effectExtent l="0" t="0" r="14605" b="14605"/>
                  <wp:docPr id="5" name="IM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 10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986" cy="1688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 w:ascii="宋体" w:hAnsi="宋体" w:eastAsia="宋体" w:cs="宋体"/>
                <w:spacing w:val="18"/>
                <w:sz w:val="21"/>
                <w:szCs w:val="21"/>
              </w:rPr>
              <w:t>四川射洪35kV香山等15座变电站技术服务</w:t>
            </w:r>
            <w:r>
              <w:rPr>
                <w:rFonts w:hint="eastAsia" w:ascii="宋体" w:hAnsi="宋体" w:eastAsia="宋体" w:cs="宋体"/>
                <w:spacing w:val="18"/>
                <w:sz w:val="21"/>
                <w:szCs w:val="21"/>
                <w:lang w:val="en-US" w:eastAsia="zh-CN"/>
              </w:rPr>
              <w:t>项目</w:t>
            </w:r>
          </w:p>
          <w:p w14:paraId="154F3568">
            <w:pPr>
              <w:spacing w:before="10" w:line="235" w:lineRule="auto"/>
              <w:ind w:left="538" w:right="107" w:hanging="413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position w:val="-4"/>
                <w:sz w:val="21"/>
                <w:szCs w:val="21"/>
              </w:rPr>
              <w:drawing>
                <wp:inline distT="0" distB="0" distL="0" distR="0">
                  <wp:extent cx="122555" cy="168275"/>
                  <wp:effectExtent l="0" t="0" r="14605" b="14605"/>
                  <wp:docPr id="6" name="IM 1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 12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986" cy="1688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 w:ascii="宋体" w:hAnsi="宋体" w:eastAsia="宋体" w:cs="宋体"/>
                <w:spacing w:val="18"/>
                <w:sz w:val="21"/>
                <w:szCs w:val="21"/>
              </w:rPr>
              <w:t>海南华能东方戈枕电厂项目</w:t>
            </w:r>
          </w:p>
        </w:tc>
        <w:tc>
          <w:tcPr>
            <w:tcW w:w="1705" w:type="dxa"/>
          </w:tcPr>
          <w:p w14:paraId="1CB2C030">
            <w:pPr>
              <w:pStyle w:val="27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73FBF1DB">
            <w:pPr>
              <w:pStyle w:val="27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1A19CC57">
            <w:pPr>
              <w:pStyle w:val="27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411C2DDF">
            <w:pPr>
              <w:pStyle w:val="27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467E4C65">
            <w:pPr>
              <w:pStyle w:val="27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501E7D2C">
            <w:pPr>
              <w:spacing w:before="78" w:line="220" w:lineRule="auto"/>
              <w:ind w:left="56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开源工具</w:t>
            </w:r>
          </w:p>
        </w:tc>
        <w:tc>
          <w:tcPr>
            <w:tcW w:w="3196" w:type="dxa"/>
          </w:tcPr>
          <w:p w14:paraId="6628FEE3">
            <w:pPr>
              <w:spacing w:before="40" w:line="237" w:lineRule="auto"/>
              <w:ind w:right="103"/>
              <w:jc w:val="both"/>
              <w:rPr>
                <w:rFonts w:hint="eastAsia" w:ascii="宋体" w:hAnsi="宋体" w:eastAsia="宋体" w:cs="宋体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  <w:lang w:val="en-US" w:eastAsia="zh-CN"/>
              </w:rPr>
              <w:t>通过使用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智能一体化运维支撑平台 SG-I6</w:t>
            </w:r>
            <w:bookmarkStart w:id="0" w:name="_GoBack"/>
            <w:bookmarkEnd w:id="0"/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000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  <w:lang w:val="en-US" w:eastAsia="zh-CN"/>
              </w:rPr>
              <w:t>的工单模块和任务模块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实现了任务从创建、派发、处理到闭环的全流程数字化管理。通过可视化的流转看板与自动化规则，显著提升了协同效率，并确保每项运维任务可跟踪、可量化、可追溯。</w:t>
            </w:r>
          </w:p>
        </w:tc>
        <w:tc>
          <w:tcPr>
            <w:tcW w:w="1343" w:type="dxa"/>
          </w:tcPr>
          <w:p w14:paraId="323564D0">
            <w:pPr>
              <w:pStyle w:val="27"/>
              <w:spacing w:line="261" w:lineRule="auto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lang w:val="en-US" w:eastAsia="en-US" w:bidi="ar-SA"/>
              </w:rPr>
            </w:pPr>
          </w:p>
          <w:p w14:paraId="75ECB455">
            <w:pPr>
              <w:pStyle w:val="27"/>
              <w:spacing w:line="261" w:lineRule="auto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lang w:val="en-US" w:eastAsia="en-US" w:bidi="ar-SA"/>
              </w:rPr>
            </w:pPr>
          </w:p>
          <w:p w14:paraId="5BD5C4EC">
            <w:pPr>
              <w:pStyle w:val="27"/>
              <w:spacing w:line="262" w:lineRule="auto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lang w:val="en-US" w:eastAsia="en-US" w:bidi="ar-SA"/>
              </w:rPr>
            </w:pPr>
          </w:p>
          <w:p w14:paraId="6FC117B5">
            <w:pPr>
              <w:pStyle w:val="27"/>
              <w:spacing w:line="262" w:lineRule="auto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lang w:val="en-US" w:eastAsia="en-US" w:bidi="ar-SA"/>
              </w:rPr>
            </w:pPr>
          </w:p>
          <w:p w14:paraId="2BCFAE11">
            <w:pPr>
              <w:spacing w:before="26" w:line="239" w:lineRule="auto"/>
              <w:ind w:left="120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lang w:val="en-US" w:eastAsia="en-US" w:bidi="ar-SA"/>
              </w:rPr>
              <w:t>赵川华</w:t>
            </w:r>
            <w:r>
              <w:rPr>
                <w:rFonts w:hint="eastAsia" w:ascii="宋体" w:hAnsi="宋体" w:cs="宋体"/>
                <w:snapToGrid w:val="0"/>
                <w:color w:val="000000"/>
                <w:spacing w:val="-2"/>
                <w:kern w:val="0"/>
                <w:sz w:val="21"/>
                <w:szCs w:val="21"/>
                <w:lang w:val="en-US" w:eastAsia="zh-CN" w:bidi="ar-SA"/>
              </w:rPr>
              <w:t>2026.01</w:t>
            </w:r>
            <w:r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lang w:val="en-US" w:eastAsia="en-US" w:bidi="ar-SA"/>
              </w:rPr>
              <w:t>.</w:t>
            </w:r>
            <w:r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21"/>
                <w:szCs w:val="21"/>
                <w:lang w:val="en-US" w:eastAsia="zh-CN" w:bidi="ar-SA"/>
              </w:rPr>
              <w:t>20</w:t>
            </w:r>
          </w:p>
        </w:tc>
      </w:tr>
      <w:tr w14:paraId="21BD4B0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79" w:hRule="atLeast"/>
        </w:trPr>
        <w:tc>
          <w:tcPr>
            <w:tcW w:w="1275" w:type="dxa"/>
          </w:tcPr>
          <w:p w14:paraId="27CF8C27">
            <w:pPr>
              <w:pStyle w:val="27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39BB5A91">
            <w:pPr>
              <w:pStyle w:val="27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5C5610FF">
            <w:pPr>
              <w:pStyle w:val="27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54579796">
            <w:pPr>
              <w:pStyle w:val="27"/>
              <w:spacing w:line="241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45ED0D22">
            <w:pPr>
              <w:pStyle w:val="27"/>
              <w:spacing w:line="241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0FFC1FAE">
            <w:pPr>
              <w:spacing w:before="78" w:line="220" w:lineRule="auto"/>
              <w:ind w:left="16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5"/>
                <w:sz w:val="21"/>
                <w:szCs w:val="21"/>
              </w:rPr>
              <w:t>监控工具</w:t>
            </w:r>
          </w:p>
        </w:tc>
        <w:tc>
          <w:tcPr>
            <w:tcW w:w="1307" w:type="dxa"/>
          </w:tcPr>
          <w:p w14:paraId="66C9A9BF">
            <w:pPr>
              <w:pStyle w:val="27"/>
              <w:spacing w:line="262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46B304C2">
            <w:pPr>
              <w:pStyle w:val="27"/>
              <w:spacing w:line="262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39297A82">
            <w:pPr>
              <w:pStyle w:val="27"/>
              <w:spacing w:line="262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392AE1D2">
            <w:pPr>
              <w:pStyle w:val="27"/>
              <w:spacing w:line="262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648E32C0">
            <w:pPr>
              <w:spacing w:before="78" w:line="242" w:lineRule="auto"/>
              <w:ind w:left="179" w:right="119" w:hanging="73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信息系统性能监控工具</w:t>
            </w:r>
          </w:p>
        </w:tc>
        <w:tc>
          <w:tcPr>
            <w:tcW w:w="1887" w:type="dxa"/>
          </w:tcPr>
          <w:p w14:paraId="2A248534">
            <w:pPr>
              <w:spacing w:before="39" w:line="236" w:lineRule="auto"/>
              <w:ind w:right="103"/>
              <w:jc w:val="both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对应用系统的运行状态、运行性能情况进行7x24小时实时监控，及时发现故障，并根据策略进行报警</w:t>
            </w:r>
          </w:p>
        </w:tc>
        <w:tc>
          <w:tcPr>
            <w:tcW w:w="3811" w:type="dxa"/>
            <w:gridSpan w:val="2"/>
          </w:tcPr>
          <w:p w14:paraId="4C8D21CB">
            <w:pPr>
              <w:pStyle w:val="27"/>
              <w:spacing w:line="418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67D8EA12">
            <w:pPr>
              <w:spacing w:before="78" w:line="234" w:lineRule="auto"/>
              <w:ind w:left="580" w:right="107" w:hanging="455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position w:val="-4"/>
                <w:sz w:val="21"/>
                <w:szCs w:val="21"/>
              </w:rPr>
              <w:drawing>
                <wp:inline distT="0" distB="0" distL="0" distR="0">
                  <wp:extent cx="122555" cy="168275"/>
                  <wp:effectExtent l="0" t="0" r="14605" b="14605"/>
                  <wp:docPr id="1" name="IM 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 8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986" cy="1688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 w:ascii="宋体" w:hAnsi="宋体" w:eastAsia="宋体" w:cs="宋体"/>
                <w:spacing w:val="18"/>
                <w:sz w:val="21"/>
                <w:szCs w:val="21"/>
              </w:rPr>
              <w:t>曲靖供电局110kV变电站电力监控系统网络安全态势感知建设</w:t>
            </w:r>
            <w:r>
              <w:rPr>
                <w:rFonts w:hint="eastAsia" w:ascii="宋体" w:hAnsi="宋体" w:eastAsia="宋体" w:cs="宋体"/>
                <w:spacing w:val="18"/>
                <w:sz w:val="21"/>
                <w:szCs w:val="21"/>
                <w:lang w:val="en-US" w:eastAsia="zh-CN"/>
              </w:rPr>
              <w:t>项目</w:t>
            </w:r>
          </w:p>
          <w:p w14:paraId="0564D3A8">
            <w:pPr>
              <w:spacing w:before="14" w:line="236" w:lineRule="auto"/>
              <w:ind w:left="580" w:right="107" w:hanging="455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position w:val="-4"/>
                <w:sz w:val="21"/>
                <w:szCs w:val="21"/>
              </w:rPr>
              <w:drawing>
                <wp:inline distT="0" distB="0" distL="0" distR="0">
                  <wp:extent cx="122555" cy="168275"/>
                  <wp:effectExtent l="0" t="0" r="14605" b="14605"/>
                  <wp:docPr id="3" name="IM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 10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986" cy="1688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 w:ascii="宋体" w:hAnsi="宋体" w:eastAsia="宋体" w:cs="宋体"/>
                <w:spacing w:val="18"/>
                <w:sz w:val="21"/>
                <w:szCs w:val="21"/>
              </w:rPr>
              <w:t>四川射洪35kV香山等15座变电站技术服务</w:t>
            </w:r>
            <w:r>
              <w:rPr>
                <w:rFonts w:hint="eastAsia" w:ascii="宋体" w:hAnsi="宋体" w:eastAsia="宋体" w:cs="宋体"/>
                <w:spacing w:val="18"/>
                <w:sz w:val="21"/>
                <w:szCs w:val="21"/>
                <w:lang w:val="en-US" w:eastAsia="zh-CN"/>
              </w:rPr>
              <w:t>项目</w:t>
            </w:r>
          </w:p>
          <w:p w14:paraId="4DB9C043">
            <w:pPr>
              <w:spacing w:before="12" w:line="234" w:lineRule="auto"/>
              <w:ind w:left="118" w:right="107" w:firstLine="6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position w:val="-4"/>
                <w:sz w:val="21"/>
                <w:szCs w:val="21"/>
              </w:rPr>
              <w:drawing>
                <wp:inline distT="0" distB="0" distL="0" distR="0">
                  <wp:extent cx="122555" cy="168275"/>
                  <wp:effectExtent l="0" t="0" r="14605" b="14605"/>
                  <wp:docPr id="4" name="IM 1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 12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986" cy="1688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 w:ascii="宋体" w:hAnsi="宋体" w:eastAsia="宋体" w:cs="宋体"/>
                <w:spacing w:val="18"/>
                <w:sz w:val="21"/>
                <w:szCs w:val="21"/>
              </w:rPr>
              <w:t>海南华能东方戈枕电厂项目</w:t>
            </w:r>
          </w:p>
        </w:tc>
        <w:tc>
          <w:tcPr>
            <w:tcW w:w="1705" w:type="dxa"/>
          </w:tcPr>
          <w:p w14:paraId="0C0C3941">
            <w:pPr>
              <w:pStyle w:val="27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42EE9056">
            <w:pPr>
              <w:pStyle w:val="27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550AC30B">
            <w:pPr>
              <w:pStyle w:val="27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094704A9">
            <w:pPr>
              <w:pStyle w:val="27"/>
              <w:spacing w:line="241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5CB13425">
            <w:pPr>
              <w:pStyle w:val="27"/>
              <w:spacing w:line="241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2FA24196">
            <w:pPr>
              <w:spacing w:before="78" w:line="221" w:lineRule="auto"/>
              <w:ind w:left="521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</w:rPr>
              <w:t>开源工具</w:t>
            </w:r>
          </w:p>
        </w:tc>
        <w:tc>
          <w:tcPr>
            <w:tcW w:w="3196" w:type="dxa"/>
          </w:tcPr>
          <w:p w14:paraId="0968706D">
            <w:pPr>
              <w:spacing w:before="40" w:line="237" w:lineRule="auto"/>
              <w:ind w:left="115" w:right="103"/>
              <w:jc w:val="both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通过系统监控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  <w:lang w:val="en-US" w:eastAsia="zh-CN"/>
              </w:rPr>
              <w:t>工具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可以及时了解系统的运行情况，在故障发生前进行预防，在故障发生后及时告警，同时也为系统的巡检提供了大量的数据依据，为系统的改进、完善打下了坚实的基础，同时</w:t>
            </w:r>
            <w:r>
              <w:rPr>
                <w:rFonts w:hint="eastAsia" w:ascii="宋体" w:hAnsi="宋体" w:eastAsia="宋体" w:cs="宋体"/>
                <w:spacing w:val="30"/>
                <w:sz w:val="21"/>
                <w:szCs w:val="21"/>
              </w:rPr>
              <w:t>缩短了系统故障发生的时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长，使故障能够得到及时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  <w:lang w:val="en-US" w:eastAsia="zh-CN"/>
              </w:rPr>
              <w:t>处置</w:t>
            </w:r>
          </w:p>
        </w:tc>
        <w:tc>
          <w:tcPr>
            <w:tcW w:w="1343" w:type="dxa"/>
          </w:tcPr>
          <w:p w14:paraId="601EE9C4">
            <w:pPr>
              <w:pStyle w:val="27"/>
              <w:spacing w:line="261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56FB5BEE">
            <w:pPr>
              <w:pStyle w:val="27"/>
              <w:spacing w:line="262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00D3C5B9">
            <w:pPr>
              <w:pStyle w:val="27"/>
              <w:spacing w:line="262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1772BADB">
            <w:pPr>
              <w:pStyle w:val="27"/>
              <w:spacing w:line="262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6D9F7096">
            <w:pPr>
              <w:spacing w:before="26" w:line="239" w:lineRule="auto"/>
              <w:ind w:left="120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赵川华</w:t>
            </w:r>
            <w:r>
              <w:rPr>
                <w:rFonts w:hint="eastAsia" w:ascii="宋体" w:hAnsi="宋体" w:cs="宋体"/>
                <w:spacing w:val="-2"/>
                <w:sz w:val="21"/>
                <w:szCs w:val="21"/>
                <w:lang w:eastAsia="zh-CN"/>
              </w:rPr>
              <w:t>2026.01</w:t>
            </w: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.</w:t>
            </w: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lang w:val="en-US" w:eastAsia="zh-CN"/>
              </w:rPr>
              <w:t>20</w:t>
            </w:r>
          </w:p>
        </w:tc>
      </w:tr>
      <w:tr w14:paraId="34956C1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79" w:hRule="atLeast"/>
        </w:trPr>
        <w:tc>
          <w:tcPr>
            <w:tcW w:w="1275" w:type="dxa"/>
            <w:shd w:val="clear" w:color="auto" w:fill="auto"/>
          </w:tcPr>
          <w:p w14:paraId="1F396EA9">
            <w:pPr>
              <w:pStyle w:val="27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47CB0EB0">
            <w:pPr>
              <w:pStyle w:val="27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6D28335D">
            <w:pPr>
              <w:pStyle w:val="27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5FD133A5">
            <w:pPr>
              <w:pStyle w:val="27"/>
              <w:spacing w:line="241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1524802B">
            <w:pPr>
              <w:pStyle w:val="27"/>
              <w:spacing w:line="241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27746011">
            <w:pPr>
              <w:spacing w:before="78" w:line="220" w:lineRule="auto"/>
              <w:ind w:left="163" w:leftChars="0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5"/>
                <w:sz w:val="21"/>
                <w:szCs w:val="21"/>
              </w:rPr>
              <w:t>监控工具</w:t>
            </w:r>
          </w:p>
        </w:tc>
        <w:tc>
          <w:tcPr>
            <w:tcW w:w="1307" w:type="dxa"/>
            <w:shd w:val="clear" w:color="auto" w:fill="auto"/>
          </w:tcPr>
          <w:p w14:paraId="0A1CE7B8">
            <w:pPr>
              <w:spacing w:before="78" w:line="242" w:lineRule="auto"/>
              <w:ind w:left="179" w:right="119" w:hanging="73"/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物管平台-物联标志系统</w:t>
            </w:r>
          </w:p>
        </w:tc>
        <w:tc>
          <w:tcPr>
            <w:tcW w:w="2218" w:type="dxa"/>
            <w:gridSpan w:val="2"/>
            <w:shd w:val="clear" w:color="auto" w:fill="auto"/>
          </w:tcPr>
          <w:p w14:paraId="7FE78DAD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t>核心模块包括标识管理、标识数据统计、数据同步、系统管理（用户/组织/菜单/角色管理）及移动应用，实现物联网设备全生命周期管理与数据服务</w:t>
            </w:r>
          </w:p>
        </w:tc>
        <w:tc>
          <w:tcPr>
            <w:tcW w:w="3480" w:type="dxa"/>
            <w:shd w:val="clear" w:color="auto" w:fill="auto"/>
          </w:tcPr>
          <w:p w14:paraId="6019D10C">
            <w:pPr>
              <w:pStyle w:val="27"/>
              <w:spacing w:line="418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42013B45">
            <w:pPr>
              <w:spacing w:before="78" w:line="234" w:lineRule="auto"/>
              <w:ind w:left="580" w:right="107" w:hanging="455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position w:val="-4"/>
                <w:sz w:val="21"/>
                <w:szCs w:val="21"/>
              </w:rPr>
              <w:drawing>
                <wp:inline distT="0" distB="0" distL="0" distR="0">
                  <wp:extent cx="122555" cy="168275"/>
                  <wp:effectExtent l="0" t="0" r="14605" b="14605"/>
                  <wp:docPr id="11" name="IM 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 8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986" cy="1688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 w:ascii="宋体" w:hAnsi="宋体" w:eastAsia="宋体" w:cs="宋体"/>
                <w:spacing w:val="18"/>
                <w:sz w:val="21"/>
                <w:szCs w:val="21"/>
              </w:rPr>
              <w:t>曲靖供电局110kV变电站电力监控系统网络安全态势感知建设</w:t>
            </w:r>
            <w:r>
              <w:rPr>
                <w:rFonts w:hint="eastAsia" w:ascii="宋体" w:hAnsi="宋体" w:eastAsia="宋体" w:cs="宋体"/>
                <w:spacing w:val="18"/>
                <w:sz w:val="21"/>
                <w:szCs w:val="21"/>
                <w:lang w:val="en-US" w:eastAsia="zh-CN"/>
              </w:rPr>
              <w:t>项目</w:t>
            </w:r>
          </w:p>
          <w:p w14:paraId="5C5E7A42">
            <w:pPr>
              <w:spacing w:before="14" w:line="236" w:lineRule="auto"/>
              <w:ind w:left="580" w:right="107" w:hanging="455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position w:val="-4"/>
                <w:sz w:val="21"/>
                <w:szCs w:val="21"/>
              </w:rPr>
              <w:drawing>
                <wp:inline distT="0" distB="0" distL="0" distR="0">
                  <wp:extent cx="122555" cy="168275"/>
                  <wp:effectExtent l="0" t="0" r="14605" b="14605"/>
                  <wp:docPr id="12" name="IM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IM 10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986" cy="1688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 w:ascii="宋体" w:hAnsi="宋体" w:eastAsia="宋体" w:cs="宋体"/>
                <w:spacing w:val="18"/>
                <w:sz w:val="21"/>
                <w:szCs w:val="21"/>
              </w:rPr>
              <w:t>四川射洪35kV香山等15座变电站技术服务</w:t>
            </w:r>
            <w:r>
              <w:rPr>
                <w:rFonts w:hint="eastAsia" w:ascii="宋体" w:hAnsi="宋体" w:eastAsia="宋体" w:cs="宋体"/>
                <w:spacing w:val="18"/>
                <w:sz w:val="21"/>
                <w:szCs w:val="21"/>
                <w:lang w:val="en-US" w:eastAsia="zh-CN"/>
              </w:rPr>
              <w:t>项目</w:t>
            </w:r>
          </w:p>
          <w:p w14:paraId="207E5605">
            <w:pPr>
              <w:spacing w:before="12" w:line="234" w:lineRule="auto"/>
              <w:ind w:left="118" w:leftChars="0" w:right="107" w:rightChars="0" w:firstLine="6" w:firstLine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position w:val="-4"/>
                <w:sz w:val="21"/>
                <w:szCs w:val="21"/>
              </w:rPr>
              <w:drawing>
                <wp:inline distT="0" distB="0" distL="0" distR="0">
                  <wp:extent cx="122555" cy="168275"/>
                  <wp:effectExtent l="0" t="0" r="14605" b="14605"/>
                  <wp:docPr id="13" name="IM 1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IM 12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986" cy="1688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 w:ascii="宋体" w:hAnsi="宋体" w:eastAsia="宋体" w:cs="宋体"/>
                <w:spacing w:val="18"/>
                <w:sz w:val="21"/>
                <w:szCs w:val="21"/>
              </w:rPr>
              <w:t>海南华能东方戈枕电厂项目</w:t>
            </w:r>
          </w:p>
        </w:tc>
        <w:tc>
          <w:tcPr>
            <w:tcW w:w="1705" w:type="dxa"/>
            <w:shd w:val="clear" w:color="auto" w:fill="auto"/>
          </w:tcPr>
          <w:p w14:paraId="72F8FEEB">
            <w:pPr>
              <w:pStyle w:val="27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7BF0C995">
            <w:pPr>
              <w:pStyle w:val="27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5FB63BF4">
            <w:pPr>
              <w:pStyle w:val="27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469F5DA6">
            <w:pPr>
              <w:pStyle w:val="27"/>
              <w:spacing w:line="241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57AF8BA5">
            <w:pPr>
              <w:pStyle w:val="27"/>
              <w:spacing w:line="241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24108CA7">
            <w:pPr>
              <w:spacing w:before="78" w:line="221" w:lineRule="auto"/>
              <w:ind w:left="521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  <w:lang w:val="en-US" w:eastAsia="zh-CN"/>
              </w:rPr>
              <w:t>自研</w:t>
            </w:r>
          </w:p>
        </w:tc>
        <w:tc>
          <w:tcPr>
            <w:tcW w:w="3196" w:type="dxa"/>
            <w:shd w:val="clear" w:color="auto" w:fill="auto"/>
          </w:tcPr>
          <w:p w14:paraId="012DB2AA">
            <w:pPr>
              <w:pStyle w:val="29"/>
              <w:bidi w:val="0"/>
              <w:ind w:left="0" w:leftChars="0" w:firstLine="0" w:firstLine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通过使用物管平台-物联标志系统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依托云平台与数据中台，强化物联平台服务能力；以服务、运维及数据可视化技术驱动业务，支撑各业务系统与物联平台对接，提升终端运维管理效率。</w:t>
            </w:r>
          </w:p>
        </w:tc>
        <w:tc>
          <w:tcPr>
            <w:tcW w:w="1343" w:type="dxa"/>
            <w:shd w:val="clear" w:color="auto" w:fill="auto"/>
          </w:tcPr>
          <w:p w14:paraId="5A50D1DE">
            <w:pPr>
              <w:pStyle w:val="27"/>
              <w:spacing w:line="261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5B145745">
            <w:pPr>
              <w:pStyle w:val="27"/>
              <w:spacing w:line="262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7AD8F1F1">
            <w:pPr>
              <w:pStyle w:val="27"/>
              <w:spacing w:line="262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72F3255D">
            <w:pPr>
              <w:pStyle w:val="27"/>
              <w:spacing w:line="262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26534C10">
            <w:pPr>
              <w:spacing w:before="26" w:line="239" w:lineRule="auto"/>
              <w:ind w:left="120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赵川华</w:t>
            </w:r>
            <w:r>
              <w:rPr>
                <w:rFonts w:hint="eastAsia" w:ascii="宋体" w:hAnsi="宋体" w:cs="宋体"/>
                <w:spacing w:val="-2"/>
                <w:sz w:val="21"/>
                <w:szCs w:val="21"/>
                <w:lang w:eastAsia="zh-CN"/>
              </w:rPr>
              <w:t>2026.01</w:t>
            </w: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.</w:t>
            </w: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lang w:val="en-US" w:eastAsia="zh-CN"/>
              </w:rPr>
              <w:t>20</w:t>
            </w:r>
          </w:p>
        </w:tc>
      </w:tr>
      <w:tr w14:paraId="5C2DF4E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79" w:hRule="atLeast"/>
        </w:trPr>
        <w:tc>
          <w:tcPr>
            <w:tcW w:w="1275" w:type="dxa"/>
            <w:shd w:val="clear" w:color="auto" w:fill="auto"/>
          </w:tcPr>
          <w:p w14:paraId="09DED6F4">
            <w:pPr>
              <w:pStyle w:val="27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39E1D3CA">
            <w:pPr>
              <w:pStyle w:val="27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60DCDF3E">
            <w:pPr>
              <w:pStyle w:val="27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5D6850C0">
            <w:pPr>
              <w:pStyle w:val="27"/>
              <w:spacing w:line="241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718F329A">
            <w:pPr>
              <w:pStyle w:val="27"/>
              <w:spacing w:line="241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6D5C8059">
            <w:pPr>
              <w:spacing w:before="78" w:line="220" w:lineRule="auto"/>
              <w:ind w:left="163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5"/>
                <w:sz w:val="21"/>
                <w:szCs w:val="21"/>
              </w:rPr>
              <w:t>监控工具</w:t>
            </w:r>
          </w:p>
        </w:tc>
        <w:tc>
          <w:tcPr>
            <w:tcW w:w="1307" w:type="dxa"/>
            <w:shd w:val="clear" w:color="auto" w:fill="auto"/>
          </w:tcPr>
          <w:p w14:paraId="1260FE12">
            <w:pPr>
              <w:spacing w:before="78" w:line="242" w:lineRule="auto"/>
              <w:ind w:left="179" w:right="119" w:hanging="73"/>
              <w:rPr>
                <w:rFonts w:hint="eastAsia" w:ascii="宋体" w:hAnsi="宋体" w:eastAsia="宋体" w:cs="宋体"/>
                <w:sz w:val="21"/>
                <w:szCs w:val="21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隔离装置监控处置工具</w:t>
            </w:r>
          </w:p>
        </w:tc>
        <w:tc>
          <w:tcPr>
            <w:tcW w:w="2218" w:type="dxa"/>
            <w:gridSpan w:val="2"/>
            <w:shd w:val="clear" w:color="auto" w:fill="auto"/>
          </w:tcPr>
          <w:p w14:paraId="48292BA6"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实现隔离装置代理数据库可用性探测</w:t>
            </w:r>
          </w:p>
          <w:p w14:paraId="4D72B65E"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对探测失败的隔离装置代理进程自动重启</w:t>
            </w:r>
          </w:p>
          <w:p w14:paraId="78CAD8F7"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记录并在监控页面展示探测失败日志</w:t>
            </w:r>
          </w:p>
          <w:p w14:paraId="1094BFA9">
            <w:pPr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支持短信及邮件告警功能，及时推送故障信息</w:t>
            </w:r>
          </w:p>
          <w:p w14:paraId="5E5E24B3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具备日志审计能力，确保所有操作可追溯</w:t>
            </w:r>
          </w:p>
        </w:tc>
        <w:tc>
          <w:tcPr>
            <w:tcW w:w="3480" w:type="dxa"/>
            <w:shd w:val="clear" w:color="auto" w:fill="auto"/>
          </w:tcPr>
          <w:p w14:paraId="03A9E343">
            <w:pPr>
              <w:pStyle w:val="27"/>
              <w:spacing w:line="418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5615D933">
            <w:pPr>
              <w:spacing w:before="78" w:line="234" w:lineRule="auto"/>
              <w:ind w:left="580" w:right="107" w:hanging="455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position w:val="-4"/>
                <w:sz w:val="21"/>
                <w:szCs w:val="21"/>
              </w:rPr>
              <w:drawing>
                <wp:inline distT="0" distB="0" distL="0" distR="0">
                  <wp:extent cx="122555" cy="168275"/>
                  <wp:effectExtent l="0" t="0" r="14605" b="14605"/>
                  <wp:docPr id="17" name="IM 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IM 8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986" cy="1688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 w:ascii="宋体" w:hAnsi="宋体" w:eastAsia="宋体" w:cs="宋体"/>
                <w:spacing w:val="18"/>
                <w:sz w:val="21"/>
                <w:szCs w:val="21"/>
              </w:rPr>
              <w:t>曲靖供电局110kV变电站电力监控系统网络安全态势感知建设</w:t>
            </w:r>
            <w:r>
              <w:rPr>
                <w:rFonts w:hint="eastAsia" w:ascii="宋体" w:hAnsi="宋体" w:eastAsia="宋体" w:cs="宋体"/>
                <w:spacing w:val="18"/>
                <w:sz w:val="21"/>
                <w:szCs w:val="21"/>
                <w:lang w:val="en-US" w:eastAsia="zh-CN"/>
              </w:rPr>
              <w:t>项目</w:t>
            </w:r>
          </w:p>
          <w:p w14:paraId="5A9728B9">
            <w:pPr>
              <w:spacing w:before="14" w:line="236" w:lineRule="auto"/>
              <w:ind w:left="580" w:right="107" w:hanging="455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position w:val="-4"/>
                <w:sz w:val="21"/>
                <w:szCs w:val="21"/>
              </w:rPr>
              <w:drawing>
                <wp:inline distT="0" distB="0" distL="0" distR="0">
                  <wp:extent cx="122555" cy="168275"/>
                  <wp:effectExtent l="0" t="0" r="14605" b="14605"/>
                  <wp:docPr id="18" name="IM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IM 10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986" cy="1688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 w:ascii="宋体" w:hAnsi="宋体" w:eastAsia="宋体" w:cs="宋体"/>
                <w:spacing w:val="18"/>
                <w:sz w:val="21"/>
                <w:szCs w:val="21"/>
              </w:rPr>
              <w:t>四川射洪35kV香山等15座变电站技术服务</w:t>
            </w:r>
            <w:r>
              <w:rPr>
                <w:rFonts w:hint="eastAsia" w:ascii="宋体" w:hAnsi="宋体" w:eastAsia="宋体" w:cs="宋体"/>
                <w:spacing w:val="18"/>
                <w:sz w:val="21"/>
                <w:szCs w:val="21"/>
                <w:lang w:val="en-US" w:eastAsia="zh-CN"/>
              </w:rPr>
              <w:t>项目</w:t>
            </w:r>
          </w:p>
          <w:p w14:paraId="0415BA84">
            <w:pPr>
              <w:spacing w:before="12" w:line="234" w:lineRule="auto"/>
              <w:ind w:left="118" w:leftChars="0" w:right="107" w:rightChars="0" w:firstLine="6" w:firstLine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position w:val="-4"/>
                <w:sz w:val="21"/>
                <w:szCs w:val="21"/>
              </w:rPr>
              <w:drawing>
                <wp:inline distT="0" distB="0" distL="0" distR="0">
                  <wp:extent cx="122555" cy="168275"/>
                  <wp:effectExtent l="0" t="0" r="14605" b="14605"/>
                  <wp:docPr id="19" name="IM 1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IM 12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986" cy="1688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 w:ascii="宋体" w:hAnsi="宋体" w:eastAsia="宋体" w:cs="宋体"/>
                <w:spacing w:val="18"/>
                <w:sz w:val="21"/>
                <w:szCs w:val="21"/>
              </w:rPr>
              <w:t>海南华能东方戈枕电厂项目</w:t>
            </w:r>
          </w:p>
        </w:tc>
        <w:tc>
          <w:tcPr>
            <w:tcW w:w="1705" w:type="dxa"/>
            <w:shd w:val="clear" w:color="auto" w:fill="auto"/>
          </w:tcPr>
          <w:p w14:paraId="7146B55F">
            <w:pPr>
              <w:pStyle w:val="27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18B7F02F">
            <w:pPr>
              <w:pStyle w:val="27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2B397644">
            <w:pPr>
              <w:pStyle w:val="27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24A4827B">
            <w:pPr>
              <w:pStyle w:val="27"/>
              <w:spacing w:line="241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6AD844A7">
            <w:pPr>
              <w:pStyle w:val="27"/>
              <w:spacing w:line="241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497D1A2E">
            <w:pPr>
              <w:spacing w:before="78" w:line="221" w:lineRule="auto"/>
              <w:ind w:left="521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3"/>
                <w:sz w:val="21"/>
                <w:szCs w:val="21"/>
                <w:lang w:val="en-US" w:eastAsia="zh-CN"/>
              </w:rPr>
              <w:t>自研</w:t>
            </w:r>
          </w:p>
        </w:tc>
        <w:tc>
          <w:tcPr>
            <w:tcW w:w="3196" w:type="dxa"/>
            <w:shd w:val="clear" w:color="auto" w:fill="auto"/>
          </w:tcPr>
          <w:p w14:paraId="72917FC9">
            <w:pPr>
              <w:pStyle w:val="29"/>
              <w:bidi w:val="0"/>
              <w:ind w:left="0" w:leftChars="0" w:firstLine="0" w:firstLine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解决隔离装置代理进程“SQLproxy”假死问题。该问题会导致微信公众号、外网门户等重要系统无法正常使用，且传统依赖人工重启的方式效率低下。本工具通过自动化监测与处置，5分钟内完成故障修复，大幅提升内外网业务系统运行可靠性，改善客户体验与工作效率。</w:t>
            </w:r>
          </w:p>
        </w:tc>
        <w:tc>
          <w:tcPr>
            <w:tcW w:w="1343" w:type="dxa"/>
            <w:shd w:val="clear" w:color="auto" w:fill="auto"/>
          </w:tcPr>
          <w:p w14:paraId="67A61717">
            <w:pPr>
              <w:pStyle w:val="27"/>
              <w:spacing w:line="261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7B812B11">
            <w:pPr>
              <w:pStyle w:val="27"/>
              <w:spacing w:line="262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11200B35">
            <w:pPr>
              <w:pStyle w:val="27"/>
              <w:spacing w:line="262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7802744C">
            <w:pPr>
              <w:pStyle w:val="27"/>
              <w:spacing w:line="262" w:lineRule="auto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  <w:p w14:paraId="6FB881A4">
            <w:pPr>
              <w:spacing w:before="26" w:line="239" w:lineRule="auto"/>
              <w:ind w:left="120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pacing w:val="-4"/>
                <w:sz w:val="21"/>
                <w:szCs w:val="21"/>
              </w:rPr>
              <w:t>赵川华</w:t>
            </w:r>
            <w:r>
              <w:rPr>
                <w:rFonts w:hint="eastAsia" w:ascii="宋体" w:hAnsi="宋体" w:cs="宋体"/>
                <w:spacing w:val="-2"/>
                <w:sz w:val="21"/>
                <w:szCs w:val="21"/>
                <w:lang w:eastAsia="zh-CN"/>
              </w:rPr>
              <w:t>2026.01</w:t>
            </w: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</w:rPr>
              <w:t>.</w:t>
            </w: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lang w:val="en-US" w:eastAsia="zh-CN"/>
              </w:rPr>
              <w:t>20</w:t>
            </w:r>
          </w:p>
        </w:tc>
      </w:tr>
    </w:tbl>
    <w:p w14:paraId="633F8BE1">
      <w:pPr>
        <w:bidi w:val="0"/>
        <w:rPr>
          <w:rFonts w:hint="default"/>
          <w:lang w:val="en-US" w:eastAsia="zh-CN"/>
        </w:rPr>
      </w:pPr>
    </w:p>
    <w:sectPr>
      <w:pgSz w:w="16838" w:h="11906" w:orient="landscape"/>
      <w:pgMar w:top="1800" w:right="1440" w:bottom="1800" w:left="144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10411F6"/>
    <w:rsid w:val="1F3A4035"/>
    <w:rsid w:val="2E8B0F17"/>
    <w:rsid w:val="2F452CAE"/>
    <w:rsid w:val="731127E5"/>
    <w:rsid w:val="74DF0134"/>
    <w:rsid w:val="7E024E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link w:val="44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link w:val="43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3">
    <w:name w:val="柴_正文_无缩进 Char"/>
    <w:link w:val="39"/>
    <w:qFormat/>
    <w:uiPriority w:val="0"/>
    <w:rPr>
      <w:rFonts w:ascii="Arial" w:hAnsi="Arial"/>
      <w:sz w:val="24"/>
      <w:lang w:eastAsia="zh-CN"/>
    </w:rPr>
  </w:style>
  <w:style w:type="character" w:customStyle="1" w:styleId="44">
    <w:name w:val="柴_标题2 Char"/>
    <w:link w:val="30"/>
    <w:qFormat/>
    <w:uiPriority w:val="0"/>
    <w:rPr>
      <w:rFonts w:ascii="Arial" w:hAnsi="Arial" w:eastAsia="宋体"/>
      <w:sz w:val="2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1162</Words>
  <Characters>1330</Characters>
  <Lines>0</Lines>
  <Paragraphs>0</Paragraphs>
  <TotalTime>0</TotalTime>
  <ScaleCrop>false</ScaleCrop>
  <LinksUpToDate>false</LinksUpToDate>
  <CharactersWithSpaces>1333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2026-02-26T14:39:20Z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07FC051D12264F59A680B8B22651162F_13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