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449FA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bookmarkStart w:id="0" w:name="_Toc2828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65BAB903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28921"/>
      <w:r>
        <w:rPr>
          <w:rFonts w:hint="eastAsia"/>
          <w:lang w:val="en-US" w:eastAsia="zh-CN"/>
        </w:rPr>
        <w:t>服务知识应用情况说明</w:t>
      </w:r>
      <w:bookmarkEnd w:id="1"/>
    </w:p>
    <w:p w14:paraId="0CFFB79A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15876"/>
      <w:r>
        <w:rPr>
          <w:rFonts w:hint="eastAsia"/>
          <w:lang w:val="en-US" w:eastAsia="zh-CN"/>
        </w:rPr>
        <w:t>（HXDL-ITSS-0812）</w:t>
      </w:r>
      <w:bookmarkEnd w:id="2"/>
    </w:p>
    <w:p w14:paraId="50734AE9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97AE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235AB47B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5CA76015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  <w:tr w14:paraId="2ABDD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431BAAC3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6EE9D535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  <w:tr w14:paraId="301DD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440C2E7C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1D36E17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2026.01.30</w:t>
            </w:r>
          </w:p>
        </w:tc>
      </w:tr>
    </w:tbl>
    <w:p w14:paraId="77C884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BFBFF04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26418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46"/>
        <w:gridCol w:w="1208"/>
      </w:tblGrid>
      <w:tr w14:paraId="48C37D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2129C983">
            <w:pPr>
              <w:spacing w:line="350" w:lineRule="auto"/>
              <w:rPr>
                <w:rFonts w:ascii="Arial"/>
                <w:sz w:val="21"/>
              </w:rPr>
            </w:pPr>
          </w:p>
          <w:p w14:paraId="22F9FBC7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298A2CB7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B4DC93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63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989167D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08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AAEF4A1">
            <w:pPr>
              <w:spacing w:line="350" w:lineRule="auto"/>
              <w:rPr>
                <w:rFonts w:ascii="Arial"/>
                <w:sz w:val="21"/>
              </w:rPr>
            </w:pPr>
          </w:p>
          <w:p w14:paraId="6876964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160E12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82C07A5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050F108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51C79587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591F1C4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57A98640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0E59C243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46" w:type="dxa"/>
            <w:shd w:val="clear" w:color="auto" w:fill="D9D9D9"/>
          </w:tcPr>
          <w:p w14:paraId="0C833B75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08" w:type="dxa"/>
            <w:vMerge w:val="continue"/>
            <w:tcBorders>
              <w:top w:val="nil"/>
              <w:right w:val="single" w:color="000000" w:sz="10" w:space="0"/>
            </w:tcBorders>
          </w:tcPr>
          <w:p w14:paraId="6131AE04">
            <w:pPr>
              <w:rPr>
                <w:rFonts w:ascii="Arial"/>
                <w:sz w:val="21"/>
              </w:rPr>
            </w:pPr>
          </w:p>
        </w:tc>
      </w:tr>
      <w:tr w14:paraId="03E54A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01E9E35C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53B571BD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 w14:paraId="3E421125">
            <w:pPr>
              <w:pStyle w:val="27"/>
              <w:spacing w:before="230" w:line="237" w:lineRule="auto"/>
              <w:ind w:left="104"/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.30</w:t>
            </w:r>
          </w:p>
        </w:tc>
        <w:tc>
          <w:tcPr>
            <w:tcW w:w="957" w:type="dxa"/>
          </w:tcPr>
          <w:p w14:paraId="4BA721DC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71A911FD">
            <w:pPr>
              <w:pStyle w:val="27"/>
              <w:spacing w:before="230" w:line="237" w:lineRule="auto"/>
              <w:ind w:left="161"/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.30</w:t>
            </w:r>
          </w:p>
        </w:tc>
        <w:tc>
          <w:tcPr>
            <w:tcW w:w="1017" w:type="dxa"/>
          </w:tcPr>
          <w:p w14:paraId="7B9DA70F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446" w:type="dxa"/>
          </w:tcPr>
          <w:p w14:paraId="71B05FA4">
            <w:pPr>
              <w:pStyle w:val="27"/>
              <w:spacing w:before="230" w:line="237" w:lineRule="auto"/>
              <w:ind w:left="220"/>
            </w:pPr>
            <w:r>
              <w:rPr>
                <w:rFonts w:hint="eastAsia"/>
                <w:spacing w:val="-1"/>
                <w:lang w:eastAsia="zh-CN"/>
              </w:rPr>
              <w:t>2026.01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.30</w:t>
            </w:r>
          </w:p>
        </w:tc>
        <w:tc>
          <w:tcPr>
            <w:tcW w:w="1208" w:type="dxa"/>
            <w:tcBorders>
              <w:right w:val="single" w:color="000000" w:sz="10" w:space="0"/>
            </w:tcBorders>
          </w:tcPr>
          <w:p w14:paraId="5233E068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2DA6F7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69E403D0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47C6A498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79E0B390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50BAEF31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115E5158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467ABF70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46" w:type="dxa"/>
          </w:tcPr>
          <w:p w14:paraId="6BA4297B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208" w:type="dxa"/>
            <w:tcBorders>
              <w:right w:val="single" w:color="000000" w:sz="10" w:space="0"/>
            </w:tcBorders>
          </w:tcPr>
          <w:p w14:paraId="79546FF1">
            <w:pPr>
              <w:pStyle w:val="27"/>
              <w:spacing w:before="152" w:line="219" w:lineRule="auto"/>
              <w:ind w:left="436"/>
            </w:pPr>
          </w:p>
        </w:tc>
      </w:tr>
      <w:tr w14:paraId="23C837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20E10A5D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09E92C11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232D02BB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757426E5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1BDBB25C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58D6AA81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46" w:type="dxa"/>
            <w:tcBorders>
              <w:bottom w:val="single" w:color="000000" w:sz="10" w:space="0"/>
            </w:tcBorders>
          </w:tcPr>
          <w:p w14:paraId="399781AC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208" w:type="dxa"/>
            <w:tcBorders>
              <w:bottom w:val="single" w:color="000000" w:sz="10" w:space="0"/>
              <w:right w:val="single" w:color="000000" w:sz="10" w:space="0"/>
            </w:tcBorders>
          </w:tcPr>
          <w:p w14:paraId="5E078C14">
            <w:pPr>
              <w:pStyle w:val="27"/>
              <w:spacing w:before="157" w:line="219" w:lineRule="auto"/>
              <w:ind w:left="436"/>
            </w:pPr>
          </w:p>
        </w:tc>
      </w:tr>
    </w:tbl>
    <w:p w14:paraId="7681FB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8261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14B2B5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F17BC1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_Toc28281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_Toc28281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245DB3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_Toc28921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服务知识应用情况说明</w:t>
          </w:r>
          <w:r>
            <w:tab/>
          </w:r>
          <w:r>
            <w:fldChar w:fldCharType="begin"/>
          </w:r>
          <w:r>
            <w:instrText xml:space="preserve"> PAGEREF _Toc28921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758123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_Toc15876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（HXDL-ITSS-0812）</w:t>
          </w:r>
          <w:r>
            <w:tab/>
          </w:r>
          <w:r>
            <w:fldChar w:fldCharType="begin"/>
          </w:r>
          <w:r>
            <w:instrText xml:space="preserve"> PAGEREF _Toc15876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58DF7A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_Toc26418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_Toc26418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FA7397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服务知识概况</w:t>
          </w:r>
          <w:r>
            <w:tab/>
          </w:r>
          <w:r>
            <w:fldChar w:fldCharType="begin"/>
          </w:r>
          <w:r>
            <w:instrText xml:space="preserve"> PAGEREF _Toc20713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82E38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服务知识功能介绍</w:t>
          </w:r>
          <w:r>
            <w:tab/>
          </w:r>
          <w:r>
            <w:fldChar w:fldCharType="begin"/>
          </w:r>
          <w:r>
            <w:instrText xml:space="preserve"> PAGEREF _Toc24945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6CAF21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服务知识使用情况</w:t>
          </w:r>
          <w:r>
            <w:tab/>
          </w:r>
          <w:r>
            <w:fldChar w:fldCharType="begin"/>
          </w:r>
          <w:r>
            <w:instrText xml:space="preserve"> PAGEREF _Toc3710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3DD621C">
          <w:r>
            <w:fldChar w:fldCharType="end"/>
          </w:r>
        </w:p>
      </w:sdtContent>
    </w:sdt>
    <w:p w14:paraId="343C81FE"/>
    <w:p w14:paraId="69A0E4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AC7B3AC">
      <w:pPr>
        <w:pStyle w:val="28"/>
        <w:bidi w:val="0"/>
        <w:rPr>
          <w:rFonts w:hint="default"/>
          <w:lang w:val="en-US" w:eastAsia="zh-CN"/>
        </w:rPr>
      </w:pPr>
      <w:bookmarkStart w:id="4" w:name="_Toc20713"/>
      <w:r>
        <w:rPr>
          <w:rFonts w:hint="eastAsia"/>
          <w:lang w:val="en-US" w:eastAsia="zh-CN"/>
        </w:rPr>
        <w:t>服务知识概况</w:t>
      </w:r>
      <w:bookmarkEnd w:id="4"/>
    </w:p>
    <w:p w14:paraId="78F5BB3F">
      <w:pPr>
        <w:pStyle w:val="29"/>
        <w:bidi w:val="0"/>
      </w:pPr>
      <w:r>
        <w:t>智能一体化运维支撑平台</w:t>
      </w:r>
      <w:r>
        <w:rPr>
          <w:rFonts w:hint="eastAsia"/>
          <w:lang w:val="en-US" w:eastAsia="zh-CN"/>
        </w:rPr>
        <w:t>的服务</w:t>
      </w:r>
      <w:r>
        <w:t>知识</w:t>
      </w:r>
      <w:r>
        <w:rPr>
          <w:rFonts w:hint="eastAsia"/>
          <w:lang w:val="en-US" w:eastAsia="zh-CN"/>
        </w:rPr>
        <w:t>模块</w:t>
      </w:r>
      <w:r>
        <w:t>可以规范化公司 ITSS 运维，避免无形的知识资产（包括显性和隐性知识）流失。高效使用知识库管理系统，已经帮助公司进一步实现了以下目的，并取得了很好的隐性效益。</w:t>
      </w:r>
    </w:p>
    <w:p w14:paraId="2501DF52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对公司中大量的有价值的方案、策划、成果、经验等知识进行分类存储和管理；</w:t>
      </w:r>
    </w:p>
    <w:p w14:paraId="0719B1D3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促进知识的学习、共享、培训、再利用和创新；</w:t>
      </w:r>
    </w:p>
    <w:p w14:paraId="0BDAA360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有效的降低公司运营成本，提高公司的核心竞争力。</w:t>
      </w:r>
    </w:p>
    <w:p w14:paraId="6DA798C9">
      <w:pPr>
        <w:pStyle w:val="28"/>
        <w:bidi w:val="0"/>
        <w:rPr>
          <w:rFonts w:hint="default"/>
          <w:lang w:val="en-US" w:eastAsia="zh-CN"/>
        </w:rPr>
      </w:pPr>
      <w:bookmarkStart w:id="5" w:name="_Toc24945"/>
      <w:r>
        <w:rPr>
          <w:rFonts w:hint="eastAsia"/>
          <w:lang w:val="en-US" w:eastAsia="zh-CN"/>
        </w:rPr>
        <w:t>服务知识功能介绍</w:t>
      </w:r>
      <w:bookmarkEnd w:id="5"/>
    </w:p>
    <w:p w14:paraId="0ECF5E1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支持服务知识新增，服务台、运维工程师可根据运维过程中总结服务知识，录入系统，支持后期运维服务工作</w:t>
      </w:r>
    </w:p>
    <w:p w14:paraId="2E9BEB44">
      <w:pPr>
        <w:bidi w:val="0"/>
        <w:rPr>
          <w:rFonts w:hint="eastAsia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-209550</wp:posOffset>
            </wp:positionH>
            <wp:positionV relativeFrom="paragraph">
              <wp:posOffset>47625</wp:posOffset>
            </wp:positionV>
            <wp:extent cx="5481955" cy="1773555"/>
            <wp:effectExtent l="0" t="0" r="4445" b="9525"/>
            <wp:wrapTopAndBottom/>
            <wp:docPr id="5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62CB3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</w:rPr>
      </w:pPr>
      <w:r>
        <w:rPr>
          <w:rFonts w:hint="eastAsia"/>
        </w:rPr>
        <w:t>知识发布页</w:t>
      </w:r>
    </w:p>
    <w:p w14:paraId="2699185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jc w:val="center"/>
        <w:textAlignment w:val="baseline"/>
        <w:rPr>
          <w:rFonts w:hint="eastAsia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-86995</wp:posOffset>
            </wp:positionH>
            <wp:positionV relativeFrom="paragraph">
              <wp:posOffset>182245</wp:posOffset>
            </wp:positionV>
            <wp:extent cx="5488305" cy="2427605"/>
            <wp:effectExtent l="0" t="0" r="13335" b="10795"/>
            <wp:wrapTopAndBottom/>
            <wp:docPr id="5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知识审核页</w:t>
      </w:r>
    </w:p>
    <w:p w14:paraId="21BB429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</w:rPr>
      </w:pPr>
    </w:p>
    <w:p w14:paraId="7119E4C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2453640"/>
            <wp:effectExtent l="0" t="0" r="14605" b="0"/>
            <wp:docPr id="5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2DB4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服务知识详情页</w:t>
      </w:r>
    </w:p>
    <w:p w14:paraId="1BC2CE98">
      <w:pPr>
        <w:pStyle w:val="28"/>
        <w:bidi w:val="0"/>
        <w:rPr>
          <w:rFonts w:hint="default"/>
          <w:lang w:val="en-US" w:eastAsia="zh-CN"/>
        </w:rPr>
      </w:pPr>
      <w:bookmarkStart w:id="6" w:name="_Toc3710"/>
      <w:r>
        <w:rPr>
          <w:rFonts w:hint="eastAsia"/>
          <w:lang w:val="en-US" w:eastAsia="zh-CN"/>
        </w:rPr>
        <w:t>服务知识使用情况</w:t>
      </w:r>
      <w:bookmarkEnd w:id="6"/>
    </w:p>
    <w:p w14:paraId="0E0EE93B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对截止2026年1月份的服务知识使用情况进行汇总统计得出2025年第三和第四季度分别录入服务知识40条和</w:t>
      </w:r>
      <w:bookmarkStart w:id="7" w:name="_GoBack"/>
      <w:bookmarkEnd w:id="7"/>
      <w:r>
        <w:rPr>
          <w:rFonts w:hint="eastAsia"/>
          <w:lang w:val="en-US" w:eastAsia="zh-CN"/>
        </w:rPr>
        <w:t>38条。均明显超出KPI指标要求的每季度录入条数≥20的要求。对运维服务工作提供了支撑。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A6F78B5"/>
    <w:multiLevelType w:val="singleLevel"/>
    <w:tmpl w:val="CA6F78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035AFB"/>
    <w:rsid w:val="18FD521E"/>
    <w:rsid w:val="65870C23"/>
    <w:rsid w:val="6DE2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526</Words>
  <Characters>628</Characters>
  <Lines>0</Lines>
  <Paragraphs>0</Paragraphs>
  <TotalTime>0</TotalTime>
  <ScaleCrop>false</ScaleCrop>
  <LinksUpToDate>false</LinksUpToDate>
  <CharactersWithSpaces>654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2026-02-26T14:49:48Z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A7B0DB8F1B344033B028922772E6E9C0_13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