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F226">
      <w:pPr>
        <w:pStyle w:val="24"/>
        <w:bidi w:val="0"/>
        <w:ind w:left="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0A85D68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56F8CC5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（HXDL-ITSS-0201）</w:t>
      </w:r>
    </w:p>
    <w:p w14:paraId="38ABB86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F0F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3FB2132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330BC7B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4786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0CB805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D4BF75E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B3C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B4EE92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8EF05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48590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A00D5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D597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C9FA224">
            <w:pPr>
              <w:spacing w:line="350" w:lineRule="auto"/>
              <w:rPr>
                <w:rFonts w:ascii="Arial"/>
                <w:sz w:val="21"/>
              </w:rPr>
            </w:pPr>
          </w:p>
          <w:p w14:paraId="483287ED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A7D1D2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4E7C79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B2D7FF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1AF11E">
            <w:pPr>
              <w:spacing w:line="350" w:lineRule="auto"/>
              <w:rPr>
                <w:rFonts w:ascii="Arial"/>
                <w:sz w:val="21"/>
              </w:rPr>
            </w:pPr>
          </w:p>
          <w:p w14:paraId="4A457B1C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0FBD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1104B28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F85568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70ACE0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02AE829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204090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041A2B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EDB87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31139FA">
            <w:pPr>
              <w:rPr>
                <w:rFonts w:ascii="Arial"/>
                <w:sz w:val="21"/>
              </w:rPr>
            </w:pPr>
          </w:p>
        </w:tc>
      </w:tr>
      <w:tr w14:paraId="05B4AB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86D09DA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A75683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4C3FF843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29E4892E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8F855F4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2D0C429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91895C9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B5735D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0D5986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45B926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32404F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54B439F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75B83863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6F8AF9D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0700A74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56723F3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011DDC1">
            <w:pPr>
              <w:pStyle w:val="27"/>
              <w:spacing w:before="152" w:line="219" w:lineRule="auto"/>
              <w:ind w:left="436"/>
            </w:pPr>
          </w:p>
        </w:tc>
      </w:tr>
      <w:tr w14:paraId="6F4383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324D626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B980F39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1A8F41F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678F571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CEF3D7B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587D6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BEEF77E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A8C6254">
            <w:pPr>
              <w:pStyle w:val="27"/>
              <w:spacing w:before="157" w:line="219" w:lineRule="auto"/>
              <w:ind w:left="436"/>
            </w:pPr>
          </w:p>
        </w:tc>
      </w:tr>
    </w:tbl>
    <w:p w14:paraId="1DC121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6A0523">
      <w:pPr>
        <w:pStyle w:val="28"/>
        <w:bidi w:val="0"/>
      </w:pPr>
      <w:r>
        <w:t>目的</w:t>
      </w:r>
    </w:p>
    <w:p w14:paraId="4D711271">
      <w:pPr>
        <w:pStyle w:val="29"/>
        <w:bidi w:val="0"/>
      </w:pPr>
      <w:r>
        <w:rPr>
          <w:rFonts w:hint="eastAsia"/>
        </w:rPr>
        <w:t>为了更有效的支撑ITSS体系在公司落地，并适应公司从电缆电线运维向电力行业拓展的战略方向，公司对组织架构进行了设计和调整，本文档旨在明确组织架构及对应的职责。</w:t>
      </w:r>
      <w:bookmarkStart w:id="17" w:name="_GoBack"/>
      <w:bookmarkEnd w:id="17"/>
    </w:p>
    <w:p w14:paraId="0C81A998">
      <w:pPr>
        <w:pStyle w:val="28"/>
        <w:bidi w:val="0"/>
      </w:pPr>
      <w:bookmarkStart w:id="0" w:name="bookmark3"/>
      <w:bookmarkEnd w:id="0"/>
      <w:bookmarkStart w:id="1" w:name="bookmark2"/>
      <w:bookmarkEnd w:id="1"/>
      <w:r>
        <w:t>适用范围</w:t>
      </w:r>
    </w:p>
    <w:p w14:paraId="6F89006A">
      <w:pPr>
        <w:pStyle w:val="29"/>
        <w:bidi w:val="0"/>
      </w:pPr>
      <w:r>
        <w:rPr>
          <w:rFonts w:hint="eastAsia"/>
        </w:rPr>
        <w:t>公司关于运维相关的各部门及岗位，重点覆盖电缆电线运维服务及向电力行业延伸的信息通信、电力监控等新兴业务领域。</w:t>
      </w:r>
    </w:p>
    <w:p w14:paraId="21B9E239">
      <w:pPr>
        <w:pStyle w:val="28"/>
        <w:bidi w:val="0"/>
      </w:pPr>
      <w:r>
        <w:t>组织架构图</w:t>
      </w:r>
    </w:p>
    <w:p w14:paraId="535DD0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0.25pt;width:406.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8D1F72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7C38DE38">
      <w:pPr>
        <w:pStyle w:val="28"/>
        <w:bidi w:val="0"/>
      </w:pPr>
      <w:bookmarkStart w:id="2" w:name="_Toc12750"/>
      <w:r>
        <w:t>部门及职责</w:t>
      </w:r>
      <w:bookmarkEnd w:id="2"/>
    </w:p>
    <w:p w14:paraId="665B7855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53132FC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推动公司从传统电缆电线运维向电力行业综合服务提供商转型。</w:t>
      </w:r>
    </w:p>
    <w:p w14:paraId="001710A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481DBA8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6A400EC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确保组织架构适配电力行业拓展的业务需求</w:t>
      </w:r>
    </w:p>
    <w:p w14:paraId="796BC0B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44A705A9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7363F53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203275B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45D93DB4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07E75BF1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1672721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1717B7E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</w:t>
      </w:r>
      <w:r>
        <w:rPr>
          <w:rFonts w:hint="eastAsia"/>
          <w:lang w:eastAsia="zh-CN"/>
        </w:rPr>
        <w:t>，</w:t>
      </w:r>
      <w:r>
        <w:t>重点保障电力行业拓展项目的交付质量。</w:t>
      </w:r>
    </w:p>
    <w:p w14:paraId="36E7E6C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77F93CF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5F81252E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0F990BD5">
      <w:pPr>
        <w:pStyle w:val="39"/>
        <w:numPr>
          <w:ilvl w:val="0"/>
          <w:numId w:val="3"/>
        </w:numPr>
        <w:bidi w:val="0"/>
        <w:rPr>
          <w:rFonts w:hint="default"/>
        </w:rPr>
      </w:pPr>
      <w:r>
        <w:rPr>
          <w:rFonts w:hint="default"/>
        </w:rPr>
        <w:t>负责编制项目及相关部门的费用预算，报总经理审批后监督执行。</w:t>
      </w:r>
    </w:p>
    <w:p w14:paraId="17DDEE61">
      <w:pPr>
        <w:pStyle w:val="39"/>
        <w:numPr>
          <w:ilvl w:val="0"/>
          <w:numId w:val="3"/>
        </w:numPr>
        <w:bidi w:val="0"/>
        <w:rPr>
          <w:rFonts w:hint="default"/>
        </w:rPr>
      </w:pPr>
      <w:r>
        <w:rPr>
          <w:rFonts w:hint="default"/>
        </w:rPr>
        <w:t>统筹规划应急管理事务，指导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与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完成应急策划与演练工作</w:t>
      </w:r>
      <w:r>
        <w:rPr>
          <w:rFonts w:hint="eastAsia"/>
          <w:lang w:eastAsia="zh-CN"/>
        </w:rPr>
        <w:t>，</w:t>
      </w:r>
      <w:r>
        <w:rPr>
          <w:rFonts w:hint="default"/>
        </w:rPr>
        <w:t>确保电力行业客户对高可靠性的要求得到满足。</w:t>
      </w:r>
    </w:p>
    <w:p w14:paraId="010A314B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69577FF3">
      <w:pPr>
        <w:pStyle w:val="31"/>
        <w:bidi w:val="0"/>
      </w:pPr>
      <w:bookmarkStart w:id="7" w:name="_Toc30866"/>
      <w:r>
        <w:t>人力资源部</w:t>
      </w:r>
      <w:bookmarkEnd w:id="7"/>
    </w:p>
    <w:p w14:paraId="6EA4AD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5E097368">
      <w:pPr>
        <w:pStyle w:val="39"/>
        <w:numPr>
          <w:ilvl w:val="0"/>
          <w:numId w:val="4"/>
        </w:numPr>
        <w:bidi w:val="0"/>
      </w:pPr>
      <w:r>
        <w:t>负责各类岗位的招聘工作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优先满足电力行业拓展所需的技术与管理人才；</w:t>
      </w:r>
    </w:p>
    <w:p w14:paraId="11743B32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542B54D0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7DD7F375">
      <w:pPr>
        <w:pStyle w:val="39"/>
        <w:numPr>
          <w:ilvl w:val="0"/>
          <w:numId w:val="4"/>
        </w:numPr>
        <w:bidi w:val="0"/>
      </w:pPr>
      <w:r>
        <w:t>负责公司全员培训工作的计划与组织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适当组织电力行业相关培训</w:t>
      </w:r>
      <w:r>
        <w:t>；</w:t>
      </w:r>
    </w:p>
    <w:p w14:paraId="14176224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3ED6DC29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06A585E2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458172D9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7574199E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2E7C6DD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0602C0A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451417DB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19DC407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0DB6515D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06615AA8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522E2076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3EAC7C1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3F0B3BD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57406BF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6BE8CC24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日常所需物资的采购工作。</w:t>
      </w:r>
    </w:p>
    <w:p w14:paraId="2EC1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CA41F65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618280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059DF66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9A1F44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1FFF0F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76946E5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658482F0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0C1652A5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6D61FC60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029DF02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当前重点拓展方向为电力电缆及通道运维、信息通信系统运维、电力监控系统运维等电力行业相关业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岗位职责如下：</w:t>
      </w:r>
    </w:p>
    <w:p w14:paraId="0968F62E">
      <w:pPr>
        <w:pStyle w:val="39"/>
        <w:numPr>
          <w:ilvl w:val="0"/>
          <w:numId w:val="6"/>
        </w:numPr>
        <w:bidi w:val="0"/>
      </w:pPr>
      <w:r>
        <w:t>负责工程项目设计方案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针对电力行业特点进行方案优化</w:t>
      </w:r>
      <w:r>
        <w:t>；</w:t>
      </w:r>
    </w:p>
    <w:p w14:paraId="53BA449F">
      <w:pPr>
        <w:pStyle w:val="39"/>
        <w:numPr>
          <w:ilvl w:val="0"/>
          <w:numId w:val="6"/>
        </w:numPr>
        <w:bidi w:val="0"/>
      </w:pPr>
      <w:r>
        <w:t>负责制定工程建设和安全管理制度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执行电力及电缆行业安全生产作业规程</w:t>
      </w:r>
      <w:r>
        <w:t>；</w:t>
      </w:r>
    </w:p>
    <w:p w14:paraId="364A0064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3C71C0B5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4A95DE1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489E9B30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0D9435BB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9DB082B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1BB44D89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1D852346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6E875A71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负责制定和优化服务交付标准与流程，确保项目输出物、运维服务的交付质量、时效和规范性符合客户要求与公司标准。</w:t>
      </w:r>
    </w:p>
    <w:p w14:paraId="44007AD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负责组织并完成项目及服务的交付验收工作，包括交付物清点、功能验证、性能测试及客户确认，确保项目按期合格交付。</w:t>
      </w:r>
    </w:p>
    <w:p w14:paraId="657969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负责运维服务报告的定期编制与交付，向客户及公司管理层汇报服务状态、性能指标、事件处理情况及改进建议，提升服务透明度。</w:t>
      </w:r>
    </w:p>
    <w:p w14:paraId="536222BC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负责客户交付后的回访与满意度调查，收集客户反馈，持续优化服务内容和交付方式，维护并提升客户关系。</w:t>
      </w:r>
    </w:p>
    <w:p w14:paraId="48E311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负责交付过程中相关知识的沉淀与转移，包括编写交付指南、培训客户关键人员，确保客户能有效使用和维护系统。</w:t>
      </w:r>
    </w:p>
    <w:p w14:paraId="1E68611F">
      <w:pPr>
        <w:pStyle w:val="39"/>
        <w:numPr>
          <w:ilvl w:val="0"/>
          <w:numId w:val="6"/>
        </w:numPr>
        <w:bidi w:val="0"/>
      </w:pPr>
      <w:r>
        <w:rPr>
          <w:rFonts w:hint="eastAsia"/>
        </w:rPr>
        <w:t>负责交付物和成果的版本管理与归档，确保所有交付文档、代码、配置记录等完整、准确且易于追溯。</w:t>
      </w:r>
    </w:p>
    <w:p w14:paraId="76DB443B">
      <w:pPr>
        <w:pStyle w:val="31"/>
        <w:bidi w:val="0"/>
      </w:pPr>
      <w:bookmarkStart w:id="12" w:name="_Toc13734"/>
      <w:r>
        <w:t>服务台</w:t>
      </w:r>
      <w:bookmarkEnd w:id="12"/>
    </w:p>
    <w:p w14:paraId="74E7EB1E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4DC82250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43DDCA6F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016D8AE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6575844E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收集顾客满意度信息，为服务改进提供依据。</w:t>
      </w:r>
    </w:p>
    <w:p w14:paraId="4A3AD46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3A66B3D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03A60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2BA43172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369F4E1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7F5AD28D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32FEE098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10F3412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7DB767A6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084AE6DF">
      <w:pPr>
        <w:pStyle w:val="31"/>
        <w:bidi w:val="0"/>
      </w:pPr>
      <w:r>
        <w:t>备件库</w:t>
      </w:r>
      <w:bookmarkEnd w:id="13"/>
    </w:p>
    <w:p w14:paraId="0BB760D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6F60460A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提出的备件更换申请，进行备件准备与出库。</w:t>
      </w:r>
    </w:p>
    <w:p w14:paraId="3066E10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0A148059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EBBA250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5B68EA43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24E779C8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A55E6F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</w:t>
      </w:r>
      <w:r>
        <w:rPr>
          <w:rFonts w:hint="eastAsia"/>
          <w:lang w:val="en-US" w:eastAsia="zh-CN"/>
        </w:rPr>
        <w:t>采购</w:t>
      </w:r>
      <w:r>
        <w:rPr>
          <w:rFonts w:hint="default"/>
        </w:rPr>
        <w:t>部门；</w:t>
      </w:r>
    </w:p>
    <w:p w14:paraId="501F2093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</w:t>
      </w:r>
      <w:r>
        <w:rPr>
          <w:rFonts w:hint="eastAsia"/>
          <w:lang w:val="en-US" w:eastAsia="zh-CN"/>
        </w:rPr>
        <w:t>备件使用</w:t>
      </w:r>
      <w:r>
        <w:rPr>
          <w:rFonts w:hint="default"/>
        </w:rPr>
        <w:t>过程中的退、换货工作和维修；</w:t>
      </w:r>
    </w:p>
    <w:p w14:paraId="48E6E62C">
      <w:pPr>
        <w:pStyle w:val="31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 w14:paraId="69185FE0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3596876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102ABFF3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6B51433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31A0903C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48FFC600">
      <w:pPr>
        <w:pStyle w:val="30"/>
        <w:bidi w:val="0"/>
      </w:pPr>
      <w:bookmarkStart w:id="15" w:name="_Toc9490"/>
      <w:r>
        <w:t>质量部</w:t>
      </w:r>
      <w:bookmarkEnd w:id="15"/>
    </w:p>
    <w:p w14:paraId="612ED177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75F4B6EA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516FEE1F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4C5496E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6DCD73A1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17E60BD2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78E43E9F">
      <w:pPr>
        <w:pStyle w:val="30"/>
        <w:bidi w:val="0"/>
      </w:pPr>
      <w:r>
        <w:t>研发部</w:t>
      </w:r>
      <w:bookmarkEnd w:id="16"/>
    </w:p>
    <w:p w14:paraId="3603E9F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22D4F3E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4763537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</w:t>
      </w:r>
      <w:r>
        <w:rPr>
          <w:rFonts w:hint="eastAsia"/>
          <w:lang w:eastAsia="zh-CN"/>
        </w:rPr>
        <w:t>，</w:t>
      </w:r>
      <w:r>
        <w:rPr>
          <w:rFonts w:hint="eastAsia"/>
        </w:rPr>
        <w:t>重点关注电力物联网、网络安全态势感知等行业前沿技术。</w:t>
      </w:r>
    </w:p>
    <w:p w14:paraId="0AF6934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5C67A96A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</w:t>
      </w:r>
      <w:r>
        <w:rPr>
          <w:rFonts w:hint="eastAsia"/>
          <w:lang w:eastAsia="zh-CN"/>
        </w:rPr>
        <w:t>，</w:t>
      </w:r>
      <w:r>
        <w:rPr>
          <w:rFonts w:hint="eastAsia"/>
        </w:rPr>
        <w:t>当前重点推进物联标识系统、隔离装置监控处置工具等电力行业专用工具的研发。</w:t>
      </w:r>
    </w:p>
    <w:p w14:paraId="6C11E79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5BAB3DD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2104B4E5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630AAE7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60CCF35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6E3E2CC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51709960">
      <w:pPr>
        <w:pStyle w:val="30"/>
        <w:bidi w:val="0"/>
      </w:pPr>
      <w:r>
        <w:rPr>
          <w:rFonts w:hint="eastAsia"/>
          <w:lang w:eastAsia="zh-CN"/>
        </w:rPr>
        <w:t>应急管理部</w:t>
      </w:r>
    </w:p>
    <w:p w14:paraId="767552C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应急管理部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运维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</w:t>
      </w:r>
      <w:r>
        <w:rPr>
          <w:rFonts w:hint="eastAsia" w:ascii="宋体" w:hAnsi="宋体" w:cs="宋体"/>
          <w:sz w:val="24"/>
          <w:szCs w:val="24"/>
          <w:lang w:eastAsia="zh-CN"/>
        </w:rPr>
        <w:t>运维部</w:t>
      </w:r>
      <w:r>
        <w:rPr>
          <w:rFonts w:ascii="宋体" w:hAnsi="宋体" w:eastAsia="宋体" w:cs="宋体"/>
          <w:sz w:val="24"/>
          <w:szCs w:val="24"/>
        </w:rPr>
        <w:t>提供技术支撑，具体如下：</w:t>
      </w:r>
    </w:p>
    <w:p w14:paraId="79F52E7B">
      <w:pPr>
        <w:pStyle w:val="39"/>
        <w:numPr>
          <w:ilvl w:val="0"/>
          <w:numId w:val="12"/>
        </w:numPr>
        <w:bidi w:val="0"/>
      </w:pPr>
      <w:r>
        <w:t>根据不同类型的突发事件，制定详细的应急预案，确保事件发生时能够快速反应。</w:t>
      </w:r>
    </w:p>
    <w:p w14:paraId="4DB522CB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t>定期组织应急演练，提高各部门协作能力和应急反应能力。</w:t>
      </w:r>
    </w:p>
    <w:p w14:paraId="079DB14C">
      <w:pPr>
        <w:pStyle w:val="39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应急响应事件结束后,组织对应急响应的评估,总结经验,完善应急预案,提供应急管理能力。</w:t>
      </w:r>
    </w:p>
    <w:p w14:paraId="1390BFDA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建立信息收集机制，及时获取突发事件的信息，进行分析和研判，为决策提供依据。</w:t>
      </w:r>
    </w:p>
    <w:p w14:paraId="5D887A80">
      <w:pPr>
        <w:pStyle w:val="39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及时向客户发布信息，消除客户恐慌情绪，增强客户安全意识。</w:t>
      </w:r>
    </w:p>
    <w:p w14:paraId="753D87D2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502645A5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3EEE3DBB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31615B54">
      <w:pPr>
        <w:pStyle w:val="39"/>
        <w:numPr>
          <w:ilvl w:val="0"/>
          <w:numId w:val="12"/>
        </w:numPr>
        <w:bidi w:val="0"/>
        <w:rPr>
          <w:rFonts w:hint="default" w:ascii="宋体" w:hAnsi="宋体" w:eastAsia="宋体" w:cs="宋体"/>
          <w:szCs w:val="24"/>
          <w:lang w:val="en-US" w:eastAsia="zh-CN"/>
        </w:rPr>
      </w:pPr>
      <w: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C0753F"/>
    <w:rsid w:val="03082F4B"/>
    <w:rsid w:val="0CFB5844"/>
    <w:rsid w:val="1048098F"/>
    <w:rsid w:val="155E4599"/>
    <w:rsid w:val="1ED33FB6"/>
    <w:rsid w:val="27BC4207"/>
    <w:rsid w:val="2A9628D9"/>
    <w:rsid w:val="2B9537FA"/>
    <w:rsid w:val="2D360531"/>
    <w:rsid w:val="2E840B40"/>
    <w:rsid w:val="383513E6"/>
    <w:rsid w:val="3FB41208"/>
    <w:rsid w:val="407A02DD"/>
    <w:rsid w:val="45260A34"/>
    <w:rsid w:val="458F0387"/>
    <w:rsid w:val="4B4C600B"/>
    <w:rsid w:val="553C1243"/>
    <w:rsid w:val="56F46EC2"/>
    <w:rsid w:val="5BC07095"/>
    <w:rsid w:val="5C7C4C73"/>
    <w:rsid w:val="5CAC7619"/>
    <w:rsid w:val="64957296"/>
    <w:rsid w:val="66DE6B36"/>
    <w:rsid w:val="6D8B0DDB"/>
    <w:rsid w:val="6F2F65B3"/>
    <w:rsid w:val="74CF43AE"/>
    <w:rsid w:val="7B737828"/>
    <w:rsid w:val="7BE61B69"/>
    <w:rsid w:val="7DAE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4819</Words>
  <Characters>4891</Characters>
  <Lines>0</Lines>
  <Paragraphs>0</Paragraphs>
  <TotalTime>4</TotalTime>
  <ScaleCrop>false</ScaleCrop>
  <LinksUpToDate>false</LinksUpToDate>
  <CharactersWithSpaces>4891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2026-03-12T09:45:01Z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4DE42E7461FF4112BFD8C7A0F6330DCD_13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