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62C10">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3588"/>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97E935C">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3526"/>
      <w:r>
        <w:rPr>
          <w:rFonts w:hint="eastAsia"/>
          <w:lang w:val="en-US" w:eastAsia="zh-CN"/>
        </w:rPr>
        <w:t>最终软件库管理制度</w:t>
      </w:r>
      <w:bookmarkEnd w:id="1"/>
    </w:p>
    <w:p w14:paraId="66556A6F">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3492"/>
      <w:r>
        <w:rPr>
          <w:rFonts w:hint="eastAsia"/>
          <w:lang w:val="en-US" w:eastAsia="zh-CN"/>
        </w:rPr>
        <w:t>（HXDL-ITSS-0805）</w:t>
      </w:r>
      <w:bookmarkEnd w:id="2"/>
    </w:p>
    <w:p w14:paraId="6A4F864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3ED9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AD3680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09067F9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1F82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67050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26DD9BD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D919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4A54168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3E7AA43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22733D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FB7248B">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8285"/>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547BB2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F2C05C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22CE6E60">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06A9AED9">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1197A508">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40D170A3">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A5BAD01">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9EB04B9">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2EE9E2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2618108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533BAE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5936BB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EFE0CC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5973E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03CCCDD">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4903F7C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E48AD8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09C0A6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D157B22">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2C70344B">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03EF8218">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2A9E6BF8">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34A39A2">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607446FB">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6B96A8F5">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2CD2BA57">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6BEACB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6ADB3079">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9F71018">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24944A3F">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4116629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6A8554F2">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218BF3BE">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2568074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5D0BCC8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606A92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1326CDE6">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0F60ACE3">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358E62D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4944217C">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449F9A4D">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65F4B3A">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03BD0DD3">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2B0F135">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278CF3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4629"/>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EF47EF8">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27C949A9">
          <w:pPr>
            <w:pStyle w:val="16"/>
            <w:tabs>
              <w:tab w:val="right" w:leader="dot" w:pos="8306"/>
            </w:tabs>
          </w:pPr>
          <w:bookmarkStart w:id="43" w:name="_GoBack"/>
          <w:bookmarkEnd w:id="43"/>
          <w:r>
            <w:fldChar w:fldCharType="begin"/>
          </w:r>
          <w:r>
            <w:instrText xml:space="preserve">TOC \o "1-3" \h \u </w:instrText>
          </w:r>
          <w:r>
            <w:fldChar w:fldCharType="separate"/>
          </w:r>
          <w:r>
            <w:fldChar w:fldCharType="begin"/>
          </w:r>
          <w:r>
            <w:instrText xml:space="preserve"> HYPERLINK \l _Toc23588 </w:instrText>
          </w:r>
          <w:r>
            <w:fldChar w:fldCharType="separate"/>
          </w:r>
          <w:r>
            <w:rPr>
              <w:rFonts w:hint="eastAsia"/>
              <w:lang w:val="en-US" w:eastAsia="zh-CN"/>
            </w:rPr>
            <w:t>天津市华夏电缆有限公司</w:t>
          </w:r>
          <w:r>
            <w:tab/>
          </w:r>
          <w:r>
            <w:fldChar w:fldCharType="begin"/>
          </w:r>
          <w:r>
            <w:instrText xml:space="preserve"> PAGEREF _Toc23588 \h </w:instrText>
          </w:r>
          <w:r>
            <w:fldChar w:fldCharType="separate"/>
          </w:r>
          <w:r>
            <w:t>1</w:t>
          </w:r>
          <w:r>
            <w:fldChar w:fldCharType="end"/>
          </w:r>
          <w:r>
            <w:fldChar w:fldCharType="end"/>
          </w:r>
        </w:p>
        <w:p w14:paraId="2C4F8AAB">
          <w:pPr>
            <w:pStyle w:val="16"/>
            <w:tabs>
              <w:tab w:val="right" w:leader="dot" w:pos="8306"/>
            </w:tabs>
          </w:pPr>
          <w:r>
            <w:fldChar w:fldCharType="begin"/>
          </w:r>
          <w:r>
            <w:instrText xml:space="preserve"> HYPERLINK \l _Toc3526 </w:instrText>
          </w:r>
          <w:r>
            <w:fldChar w:fldCharType="separate"/>
          </w:r>
          <w:r>
            <w:rPr>
              <w:rFonts w:hint="eastAsia"/>
              <w:lang w:val="en-US" w:eastAsia="zh-CN"/>
            </w:rPr>
            <w:t>最终软件库管理制度</w:t>
          </w:r>
          <w:r>
            <w:tab/>
          </w:r>
          <w:r>
            <w:fldChar w:fldCharType="begin"/>
          </w:r>
          <w:r>
            <w:instrText xml:space="preserve"> PAGEREF _Toc3526 \h </w:instrText>
          </w:r>
          <w:r>
            <w:fldChar w:fldCharType="separate"/>
          </w:r>
          <w:r>
            <w:t>1</w:t>
          </w:r>
          <w:r>
            <w:fldChar w:fldCharType="end"/>
          </w:r>
          <w:r>
            <w:fldChar w:fldCharType="end"/>
          </w:r>
        </w:p>
        <w:p w14:paraId="7830C1C7">
          <w:pPr>
            <w:pStyle w:val="16"/>
            <w:tabs>
              <w:tab w:val="right" w:leader="dot" w:pos="8306"/>
            </w:tabs>
          </w:pPr>
          <w:r>
            <w:fldChar w:fldCharType="begin"/>
          </w:r>
          <w:r>
            <w:instrText xml:space="preserve"> HYPERLINK \l _Toc13492 </w:instrText>
          </w:r>
          <w:r>
            <w:fldChar w:fldCharType="separate"/>
          </w:r>
          <w:r>
            <w:rPr>
              <w:rFonts w:hint="eastAsia"/>
              <w:lang w:val="en-US" w:eastAsia="zh-CN"/>
            </w:rPr>
            <w:t>（HXDL-ITSS-0805）</w:t>
          </w:r>
          <w:r>
            <w:tab/>
          </w:r>
          <w:r>
            <w:fldChar w:fldCharType="begin"/>
          </w:r>
          <w:r>
            <w:instrText xml:space="preserve"> PAGEREF _Toc13492 \h </w:instrText>
          </w:r>
          <w:r>
            <w:fldChar w:fldCharType="separate"/>
          </w:r>
          <w:r>
            <w:t>1</w:t>
          </w:r>
          <w:r>
            <w:fldChar w:fldCharType="end"/>
          </w:r>
          <w:r>
            <w:fldChar w:fldCharType="end"/>
          </w:r>
        </w:p>
        <w:p w14:paraId="682C45C6">
          <w:pPr>
            <w:pStyle w:val="16"/>
            <w:tabs>
              <w:tab w:val="right" w:leader="dot" w:pos="8306"/>
            </w:tabs>
          </w:pPr>
          <w:r>
            <w:fldChar w:fldCharType="begin"/>
          </w:r>
          <w:r>
            <w:instrText xml:space="preserve"> HYPERLINK \l _Toc8285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_Toc8285 \h </w:instrText>
          </w:r>
          <w:r>
            <w:fldChar w:fldCharType="separate"/>
          </w:r>
          <w:r>
            <w:t>2</w:t>
          </w:r>
          <w:r>
            <w:fldChar w:fldCharType="end"/>
          </w:r>
          <w:r>
            <w:fldChar w:fldCharType="end"/>
          </w:r>
        </w:p>
        <w:p w14:paraId="37E8E130">
          <w:pPr>
            <w:pStyle w:val="16"/>
            <w:tabs>
              <w:tab w:val="right" w:leader="dot" w:pos="8306"/>
            </w:tabs>
          </w:pPr>
          <w:r>
            <w:fldChar w:fldCharType="begin"/>
          </w:r>
          <w:r>
            <w:instrText xml:space="preserve"> HYPERLINK \l _Toc16440 </w:instrText>
          </w:r>
          <w:r>
            <w:fldChar w:fldCharType="separate"/>
          </w:r>
          <w:r>
            <w:rPr>
              <w:rFonts w:hint="default"/>
            </w:rPr>
            <w:t xml:space="preserve">1. </w:t>
          </w:r>
          <w:r>
            <w:t>目的</w:t>
          </w:r>
          <w:r>
            <w:tab/>
          </w:r>
          <w:r>
            <w:fldChar w:fldCharType="begin"/>
          </w:r>
          <w:r>
            <w:instrText xml:space="preserve"> PAGEREF _Toc16440 \h </w:instrText>
          </w:r>
          <w:r>
            <w:fldChar w:fldCharType="separate"/>
          </w:r>
          <w:r>
            <w:t>5</w:t>
          </w:r>
          <w:r>
            <w:fldChar w:fldCharType="end"/>
          </w:r>
          <w:r>
            <w:fldChar w:fldCharType="end"/>
          </w:r>
        </w:p>
        <w:p w14:paraId="73CFAAD0">
          <w:pPr>
            <w:pStyle w:val="16"/>
            <w:tabs>
              <w:tab w:val="right" w:leader="dot" w:pos="8306"/>
            </w:tabs>
          </w:pPr>
          <w:r>
            <w:fldChar w:fldCharType="begin"/>
          </w:r>
          <w:r>
            <w:instrText xml:space="preserve"> HYPERLINK \l _Toc27541 </w:instrText>
          </w:r>
          <w:r>
            <w:fldChar w:fldCharType="separate"/>
          </w:r>
          <w:r>
            <w:rPr>
              <w:rFonts w:hint="default"/>
            </w:rPr>
            <w:t xml:space="preserve">2. </w:t>
          </w:r>
          <w:r>
            <w:t>适用范围</w:t>
          </w:r>
          <w:r>
            <w:tab/>
          </w:r>
          <w:r>
            <w:fldChar w:fldCharType="begin"/>
          </w:r>
          <w:r>
            <w:instrText xml:space="preserve"> PAGEREF _Toc27541 \h </w:instrText>
          </w:r>
          <w:r>
            <w:fldChar w:fldCharType="separate"/>
          </w:r>
          <w:r>
            <w:t>5</w:t>
          </w:r>
          <w:r>
            <w:fldChar w:fldCharType="end"/>
          </w:r>
          <w:r>
            <w:fldChar w:fldCharType="end"/>
          </w:r>
        </w:p>
        <w:p w14:paraId="46F6E9A8">
          <w:pPr>
            <w:pStyle w:val="16"/>
            <w:tabs>
              <w:tab w:val="right" w:leader="dot" w:pos="8306"/>
            </w:tabs>
          </w:pPr>
          <w:r>
            <w:fldChar w:fldCharType="begin"/>
          </w:r>
          <w:r>
            <w:instrText xml:space="preserve"> HYPERLINK \l _Toc28259 </w:instrText>
          </w:r>
          <w:r>
            <w:fldChar w:fldCharType="separate"/>
          </w:r>
          <w:r>
            <w:rPr>
              <w:rFonts w:hint="default"/>
            </w:rPr>
            <w:t xml:space="preserve">3. </w:t>
          </w:r>
          <w:r>
            <w:t>术语与定义</w:t>
          </w:r>
          <w:r>
            <w:tab/>
          </w:r>
          <w:r>
            <w:fldChar w:fldCharType="begin"/>
          </w:r>
          <w:r>
            <w:instrText xml:space="preserve"> PAGEREF _Toc28259 \h </w:instrText>
          </w:r>
          <w:r>
            <w:fldChar w:fldCharType="separate"/>
          </w:r>
          <w:r>
            <w:t>5</w:t>
          </w:r>
          <w:r>
            <w:fldChar w:fldCharType="end"/>
          </w:r>
          <w:r>
            <w:fldChar w:fldCharType="end"/>
          </w:r>
        </w:p>
        <w:p w14:paraId="51B3E94B">
          <w:pPr>
            <w:pStyle w:val="16"/>
            <w:tabs>
              <w:tab w:val="right" w:leader="dot" w:pos="8306"/>
            </w:tabs>
          </w:pPr>
          <w:r>
            <w:fldChar w:fldCharType="begin"/>
          </w:r>
          <w:r>
            <w:instrText xml:space="preserve"> HYPERLINK \l _Toc9781 </w:instrText>
          </w:r>
          <w:r>
            <w:fldChar w:fldCharType="separate"/>
          </w:r>
          <w:r>
            <w:rPr>
              <w:rFonts w:hint="default"/>
            </w:rPr>
            <w:t xml:space="preserve">4. </w:t>
          </w:r>
          <w:r>
            <w:t>角色与职责</w:t>
          </w:r>
          <w:r>
            <w:tab/>
          </w:r>
          <w:r>
            <w:fldChar w:fldCharType="begin"/>
          </w:r>
          <w:r>
            <w:instrText xml:space="preserve"> PAGEREF _Toc9781 \h </w:instrText>
          </w:r>
          <w:r>
            <w:fldChar w:fldCharType="separate"/>
          </w:r>
          <w:r>
            <w:t>5</w:t>
          </w:r>
          <w:r>
            <w:fldChar w:fldCharType="end"/>
          </w:r>
          <w:r>
            <w:fldChar w:fldCharType="end"/>
          </w:r>
        </w:p>
        <w:p w14:paraId="28D3CD3F">
          <w:pPr>
            <w:pStyle w:val="16"/>
            <w:tabs>
              <w:tab w:val="right" w:leader="dot" w:pos="8306"/>
            </w:tabs>
          </w:pPr>
          <w:r>
            <w:fldChar w:fldCharType="begin"/>
          </w:r>
          <w:r>
            <w:instrText xml:space="preserve"> HYPERLINK \l _Toc4415 </w:instrText>
          </w:r>
          <w:r>
            <w:fldChar w:fldCharType="separate"/>
          </w:r>
          <w:r>
            <w:rPr>
              <w:rFonts w:hint="default"/>
            </w:rPr>
            <w:t xml:space="preserve">5. </w:t>
          </w:r>
          <w:r>
            <w:t>最终软件库的建设与维护</w:t>
          </w:r>
          <w:r>
            <w:tab/>
          </w:r>
          <w:r>
            <w:fldChar w:fldCharType="begin"/>
          </w:r>
          <w:r>
            <w:instrText xml:space="preserve"> PAGEREF _Toc4415 \h </w:instrText>
          </w:r>
          <w:r>
            <w:fldChar w:fldCharType="separate"/>
          </w:r>
          <w:r>
            <w:t>6</w:t>
          </w:r>
          <w:r>
            <w:fldChar w:fldCharType="end"/>
          </w:r>
          <w:r>
            <w:fldChar w:fldCharType="end"/>
          </w:r>
        </w:p>
        <w:p w14:paraId="3E98F816">
          <w:pPr>
            <w:pStyle w:val="17"/>
            <w:tabs>
              <w:tab w:val="right" w:leader="dot" w:pos="8306"/>
            </w:tabs>
          </w:pPr>
          <w:r>
            <w:fldChar w:fldCharType="begin"/>
          </w:r>
          <w:r>
            <w:instrText xml:space="preserve"> HYPERLINK \l _Toc24339 </w:instrText>
          </w:r>
          <w:r>
            <w:fldChar w:fldCharType="separate"/>
          </w:r>
          <w:r>
            <w:rPr>
              <w:rFonts w:hint="default"/>
              <w:lang w:val="en-US" w:eastAsia="zh-CN"/>
            </w:rPr>
            <w:t xml:space="preserve">5.1. </w:t>
          </w:r>
          <w:r>
            <w:rPr>
              <w:rFonts w:hint="eastAsia"/>
              <w:lang w:val="en-US" w:eastAsia="zh-CN"/>
            </w:rPr>
            <w:t>总体建设要求</w:t>
          </w:r>
          <w:r>
            <w:tab/>
          </w:r>
          <w:r>
            <w:fldChar w:fldCharType="begin"/>
          </w:r>
          <w:r>
            <w:instrText xml:space="preserve"> PAGEREF _Toc24339 \h </w:instrText>
          </w:r>
          <w:r>
            <w:fldChar w:fldCharType="separate"/>
          </w:r>
          <w:r>
            <w:t>6</w:t>
          </w:r>
          <w:r>
            <w:fldChar w:fldCharType="end"/>
          </w:r>
          <w:r>
            <w:fldChar w:fldCharType="end"/>
          </w:r>
        </w:p>
        <w:p w14:paraId="5EE9282F">
          <w:pPr>
            <w:pStyle w:val="17"/>
            <w:tabs>
              <w:tab w:val="right" w:leader="dot" w:pos="8306"/>
            </w:tabs>
          </w:pPr>
          <w:r>
            <w:fldChar w:fldCharType="begin"/>
          </w:r>
          <w:r>
            <w:instrText xml:space="preserve"> HYPERLINK \l _Toc13677 </w:instrText>
          </w:r>
          <w:r>
            <w:fldChar w:fldCharType="separate"/>
          </w:r>
          <w:r>
            <w:rPr>
              <w:rFonts w:hint="default"/>
              <w:lang w:val="en-US" w:eastAsia="zh-CN"/>
            </w:rPr>
            <w:t xml:space="preserve">5.2. </w:t>
          </w:r>
          <w:r>
            <w:rPr>
              <w:rFonts w:hint="eastAsia"/>
              <w:lang w:val="en-US" w:eastAsia="zh-CN"/>
            </w:rPr>
            <w:t>管理系统要求</w:t>
          </w:r>
          <w:r>
            <w:tab/>
          </w:r>
          <w:r>
            <w:fldChar w:fldCharType="begin"/>
          </w:r>
          <w:r>
            <w:instrText xml:space="preserve"> PAGEREF _Toc13677 \h </w:instrText>
          </w:r>
          <w:r>
            <w:fldChar w:fldCharType="separate"/>
          </w:r>
          <w:r>
            <w:t>7</w:t>
          </w:r>
          <w:r>
            <w:fldChar w:fldCharType="end"/>
          </w:r>
          <w:r>
            <w:fldChar w:fldCharType="end"/>
          </w:r>
        </w:p>
        <w:p w14:paraId="5411F8EF">
          <w:pPr>
            <w:pStyle w:val="17"/>
            <w:tabs>
              <w:tab w:val="right" w:leader="dot" w:pos="8306"/>
            </w:tabs>
          </w:pPr>
          <w:r>
            <w:fldChar w:fldCharType="begin"/>
          </w:r>
          <w:r>
            <w:instrText xml:space="preserve"> HYPERLINK \l _Toc27855 </w:instrText>
          </w:r>
          <w:r>
            <w:fldChar w:fldCharType="separate"/>
          </w:r>
          <w:r>
            <w:rPr>
              <w:rFonts w:hint="default"/>
            </w:rPr>
            <w:t xml:space="preserve">5.3. </w:t>
          </w:r>
          <w:r>
            <w:t>日常维护规范</w:t>
          </w:r>
          <w:r>
            <w:tab/>
          </w:r>
          <w:r>
            <w:fldChar w:fldCharType="begin"/>
          </w:r>
          <w:r>
            <w:instrText xml:space="preserve"> PAGEREF _Toc27855 \h </w:instrText>
          </w:r>
          <w:r>
            <w:fldChar w:fldCharType="separate"/>
          </w:r>
          <w:r>
            <w:t>7</w:t>
          </w:r>
          <w:r>
            <w:fldChar w:fldCharType="end"/>
          </w:r>
          <w:r>
            <w:fldChar w:fldCharType="end"/>
          </w:r>
        </w:p>
        <w:p w14:paraId="28F11578">
          <w:pPr>
            <w:pStyle w:val="17"/>
            <w:tabs>
              <w:tab w:val="right" w:leader="dot" w:pos="8306"/>
            </w:tabs>
          </w:pPr>
          <w:r>
            <w:fldChar w:fldCharType="begin"/>
          </w:r>
          <w:r>
            <w:instrText xml:space="preserve"> HYPERLINK \l _Toc27019 </w:instrText>
          </w:r>
          <w:r>
            <w:fldChar w:fldCharType="separate"/>
          </w:r>
          <w:r>
            <w:rPr>
              <w:rFonts w:hint="default"/>
              <w:lang w:val="en-US" w:eastAsia="zh-CN"/>
            </w:rPr>
            <w:t xml:space="preserve">5.4. </w:t>
          </w:r>
          <w:r>
            <w:rPr>
              <w:rFonts w:hint="eastAsia"/>
              <w:lang w:val="en-US" w:eastAsia="zh-CN"/>
            </w:rPr>
            <w:t>权限控制要求</w:t>
          </w:r>
          <w:r>
            <w:tab/>
          </w:r>
          <w:r>
            <w:fldChar w:fldCharType="begin"/>
          </w:r>
          <w:r>
            <w:instrText xml:space="preserve"> PAGEREF _Toc27019 \h </w:instrText>
          </w:r>
          <w:r>
            <w:fldChar w:fldCharType="separate"/>
          </w:r>
          <w:r>
            <w:t>7</w:t>
          </w:r>
          <w:r>
            <w:fldChar w:fldCharType="end"/>
          </w:r>
          <w:r>
            <w:fldChar w:fldCharType="end"/>
          </w:r>
        </w:p>
        <w:p w14:paraId="30E31B45">
          <w:pPr>
            <w:pStyle w:val="17"/>
            <w:tabs>
              <w:tab w:val="right" w:leader="dot" w:pos="8306"/>
            </w:tabs>
          </w:pPr>
          <w:r>
            <w:fldChar w:fldCharType="begin"/>
          </w:r>
          <w:r>
            <w:instrText xml:space="preserve"> HYPERLINK \l _Toc21534 </w:instrText>
          </w:r>
          <w:r>
            <w:fldChar w:fldCharType="separate"/>
          </w:r>
          <w:r>
            <w:rPr>
              <w:rFonts w:hint="default"/>
              <w:lang w:val="en-US" w:eastAsia="zh-CN"/>
            </w:rPr>
            <w:t xml:space="preserve">5.5. </w:t>
          </w:r>
          <w:r>
            <w:rPr>
              <w:rFonts w:hint="eastAsia"/>
              <w:lang w:val="en-US" w:eastAsia="zh-CN"/>
            </w:rPr>
            <w:t>备份策略要求</w:t>
          </w:r>
          <w:r>
            <w:tab/>
          </w:r>
          <w:r>
            <w:fldChar w:fldCharType="begin"/>
          </w:r>
          <w:r>
            <w:instrText xml:space="preserve"> PAGEREF _Toc21534 \h </w:instrText>
          </w:r>
          <w:r>
            <w:fldChar w:fldCharType="separate"/>
          </w:r>
          <w:r>
            <w:t>8</w:t>
          </w:r>
          <w:r>
            <w:fldChar w:fldCharType="end"/>
          </w:r>
          <w:r>
            <w:fldChar w:fldCharType="end"/>
          </w:r>
        </w:p>
        <w:p w14:paraId="1FD4B699">
          <w:pPr>
            <w:pStyle w:val="16"/>
            <w:tabs>
              <w:tab w:val="right" w:leader="dot" w:pos="8306"/>
            </w:tabs>
          </w:pPr>
          <w:r>
            <w:fldChar w:fldCharType="begin"/>
          </w:r>
          <w:r>
            <w:instrText xml:space="preserve"> HYPERLINK \l _Toc21956 </w:instrText>
          </w:r>
          <w:r>
            <w:fldChar w:fldCharType="separate"/>
          </w:r>
          <w:r>
            <w:rPr>
              <w:rFonts w:hint="default"/>
            </w:rPr>
            <w:t xml:space="preserve">6. </w:t>
          </w:r>
          <w:r>
            <w:t>软件入库管理</w:t>
          </w:r>
          <w:r>
            <w:tab/>
          </w:r>
          <w:r>
            <w:fldChar w:fldCharType="begin"/>
          </w:r>
          <w:r>
            <w:instrText xml:space="preserve"> PAGEREF _Toc21956 \h </w:instrText>
          </w:r>
          <w:r>
            <w:fldChar w:fldCharType="separate"/>
          </w:r>
          <w:r>
            <w:t>8</w:t>
          </w:r>
          <w:r>
            <w:fldChar w:fldCharType="end"/>
          </w:r>
          <w:r>
            <w:fldChar w:fldCharType="end"/>
          </w:r>
        </w:p>
        <w:p w14:paraId="04EABD05">
          <w:pPr>
            <w:pStyle w:val="17"/>
            <w:tabs>
              <w:tab w:val="right" w:leader="dot" w:pos="8306"/>
            </w:tabs>
          </w:pPr>
          <w:r>
            <w:fldChar w:fldCharType="begin"/>
          </w:r>
          <w:r>
            <w:instrText xml:space="preserve"> HYPERLINK \l _Toc8609 </w:instrText>
          </w:r>
          <w:r>
            <w:fldChar w:fldCharType="separate"/>
          </w:r>
          <w:r>
            <w:rPr>
              <w:rFonts w:hint="default"/>
            </w:rPr>
            <w:t xml:space="preserve">6.1. </w:t>
          </w:r>
          <w:r>
            <w:t>入库条件</w:t>
          </w:r>
          <w:r>
            <w:tab/>
          </w:r>
          <w:r>
            <w:fldChar w:fldCharType="begin"/>
          </w:r>
          <w:r>
            <w:instrText xml:space="preserve"> PAGEREF _Toc8609 \h </w:instrText>
          </w:r>
          <w:r>
            <w:fldChar w:fldCharType="separate"/>
          </w:r>
          <w:r>
            <w:t>8</w:t>
          </w:r>
          <w:r>
            <w:fldChar w:fldCharType="end"/>
          </w:r>
          <w:r>
            <w:fldChar w:fldCharType="end"/>
          </w:r>
        </w:p>
        <w:p w14:paraId="2E4C9A04">
          <w:pPr>
            <w:pStyle w:val="17"/>
            <w:tabs>
              <w:tab w:val="right" w:leader="dot" w:pos="8306"/>
            </w:tabs>
          </w:pPr>
          <w:r>
            <w:fldChar w:fldCharType="begin"/>
          </w:r>
          <w:r>
            <w:instrText xml:space="preserve"> HYPERLINK \l _Toc19663 </w:instrText>
          </w:r>
          <w:r>
            <w:fldChar w:fldCharType="separate"/>
          </w:r>
          <w:r>
            <w:rPr>
              <w:rFonts w:hint="default"/>
            </w:rPr>
            <w:t xml:space="preserve">6.2. </w:t>
          </w:r>
          <w:r>
            <w:t>入库流程</w:t>
          </w:r>
          <w:r>
            <w:tab/>
          </w:r>
          <w:r>
            <w:fldChar w:fldCharType="begin"/>
          </w:r>
          <w:r>
            <w:instrText xml:space="preserve"> PAGEREF _Toc19663 \h </w:instrText>
          </w:r>
          <w:r>
            <w:fldChar w:fldCharType="separate"/>
          </w:r>
          <w:r>
            <w:t>9</w:t>
          </w:r>
          <w:r>
            <w:fldChar w:fldCharType="end"/>
          </w:r>
          <w:r>
            <w:fldChar w:fldCharType="end"/>
          </w:r>
        </w:p>
        <w:p w14:paraId="4B6F2E9B">
          <w:pPr>
            <w:pStyle w:val="17"/>
            <w:tabs>
              <w:tab w:val="right" w:leader="dot" w:pos="8306"/>
            </w:tabs>
          </w:pPr>
          <w:r>
            <w:fldChar w:fldCharType="begin"/>
          </w:r>
          <w:r>
            <w:instrText xml:space="preserve"> HYPERLINK \l _Toc23400 </w:instrText>
          </w:r>
          <w:r>
            <w:fldChar w:fldCharType="separate"/>
          </w:r>
          <w:r>
            <w:rPr>
              <w:rFonts w:hint="default"/>
            </w:rPr>
            <w:t xml:space="preserve">6.3. </w:t>
          </w:r>
          <w:r>
            <w:t>入库检验</w:t>
          </w:r>
          <w:r>
            <w:tab/>
          </w:r>
          <w:r>
            <w:fldChar w:fldCharType="begin"/>
          </w:r>
          <w:r>
            <w:instrText xml:space="preserve"> PAGEREF _Toc23400 \h </w:instrText>
          </w:r>
          <w:r>
            <w:fldChar w:fldCharType="separate"/>
          </w:r>
          <w:r>
            <w:t>9</w:t>
          </w:r>
          <w:r>
            <w:fldChar w:fldCharType="end"/>
          </w:r>
          <w:r>
            <w:fldChar w:fldCharType="end"/>
          </w:r>
        </w:p>
        <w:p w14:paraId="49EA61C0">
          <w:pPr>
            <w:pStyle w:val="16"/>
            <w:tabs>
              <w:tab w:val="right" w:leader="dot" w:pos="8306"/>
            </w:tabs>
          </w:pPr>
          <w:r>
            <w:fldChar w:fldCharType="begin"/>
          </w:r>
          <w:r>
            <w:instrText xml:space="preserve"> HYPERLINK \l _Toc2532 </w:instrText>
          </w:r>
          <w:r>
            <w:fldChar w:fldCharType="separate"/>
          </w:r>
          <w:r>
            <w:rPr>
              <w:rFonts w:hint="default"/>
            </w:rPr>
            <w:t xml:space="preserve">7. </w:t>
          </w:r>
          <w:r>
            <w:t>软件出库管理</w:t>
          </w:r>
          <w:r>
            <w:tab/>
          </w:r>
          <w:r>
            <w:fldChar w:fldCharType="begin"/>
          </w:r>
          <w:r>
            <w:instrText xml:space="preserve"> PAGEREF _Toc2532 \h </w:instrText>
          </w:r>
          <w:r>
            <w:fldChar w:fldCharType="separate"/>
          </w:r>
          <w:r>
            <w:t>10</w:t>
          </w:r>
          <w:r>
            <w:fldChar w:fldCharType="end"/>
          </w:r>
          <w:r>
            <w:fldChar w:fldCharType="end"/>
          </w:r>
        </w:p>
        <w:p w14:paraId="347A63C7">
          <w:pPr>
            <w:pStyle w:val="17"/>
            <w:tabs>
              <w:tab w:val="right" w:leader="dot" w:pos="8306"/>
            </w:tabs>
          </w:pPr>
          <w:r>
            <w:fldChar w:fldCharType="begin"/>
          </w:r>
          <w:r>
            <w:instrText xml:space="preserve"> HYPERLINK \l _Toc3978 </w:instrText>
          </w:r>
          <w:r>
            <w:fldChar w:fldCharType="separate"/>
          </w:r>
          <w:r>
            <w:rPr>
              <w:rFonts w:hint="default"/>
            </w:rPr>
            <w:t xml:space="preserve">7.1. </w:t>
          </w:r>
          <w:r>
            <w:t>出库条件</w:t>
          </w:r>
          <w:r>
            <w:tab/>
          </w:r>
          <w:r>
            <w:fldChar w:fldCharType="begin"/>
          </w:r>
          <w:r>
            <w:instrText xml:space="preserve"> PAGEREF _Toc3978 \h </w:instrText>
          </w:r>
          <w:r>
            <w:fldChar w:fldCharType="separate"/>
          </w:r>
          <w:r>
            <w:t>10</w:t>
          </w:r>
          <w:r>
            <w:fldChar w:fldCharType="end"/>
          </w:r>
          <w:r>
            <w:fldChar w:fldCharType="end"/>
          </w:r>
        </w:p>
        <w:p w14:paraId="5EB1104B">
          <w:pPr>
            <w:pStyle w:val="17"/>
            <w:tabs>
              <w:tab w:val="right" w:leader="dot" w:pos="8306"/>
            </w:tabs>
          </w:pPr>
          <w:r>
            <w:fldChar w:fldCharType="begin"/>
          </w:r>
          <w:r>
            <w:instrText xml:space="preserve"> HYPERLINK \l _Toc11129 </w:instrText>
          </w:r>
          <w:r>
            <w:fldChar w:fldCharType="separate"/>
          </w:r>
          <w:r>
            <w:rPr>
              <w:rFonts w:hint="default"/>
            </w:rPr>
            <w:t xml:space="preserve">7.2. </w:t>
          </w:r>
          <w:r>
            <w:t>出库流程</w:t>
          </w:r>
          <w:r>
            <w:tab/>
          </w:r>
          <w:r>
            <w:fldChar w:fldCharType="begin"/>
          </w:r>
          <w:r>
            <w:instrText xml:space="preserve"> PAGEREF _Toc11129 \h </w:instrText>
          </w:r>
          <w:r>
            <w:fldChar w:fldCharType="separate"/>
          </w:r>
          <w:r>
            <w:t>10</w:t>
          </w:r>
          <w:r>
            <w:fldChar w:fldCharType="end"/>
          </w:r>
          <w:r>
            <w:fldChar w:fldCharType="end"/>
          </w:r>
        </w:p>
        <w:p w14:paraId="4CC9A24E">
          <w:pPr>
            <w:pStyle w:val="16"/>
            <w:tabs>
              <w:tab w:val="right" w:leader="dot" w:pos="8306"/>
            </w:tabs>
          </w:pPr>
          <w:r>
            <w:fldChar w:fldCharType="begin"/>
          </w:r>
          <w:r>
            <w:instrText xml:space="preserve"> HYPERLINK \l _Toc28794 </w:instrText>
          </w:r>
          <w:r>
            <w:fldChar w:fldCharType="separate"/>
          </w:r>
          <w:r>
            <w:rPr>
              <w:rFonts w:hint="default"/>
            </w:rPr>
            <w:t xml:space="preserve">8. </w:t>
          </w:r>
          <w:r>
            <w:t>软件版本管理</w:t>
          </w:r>
          <w:r>
            <w:tab/>
          </w:r>
          <w:r>
            <w:fldChar w:fldCharType="begin"/>
          </w:r>
          <w:r>
            <w:instrText xml:space="preserve"> PAGEREF _Toc28794 \h </w:instrText>
          </w:r>
          <w:r>
            <w:fldChar w:fldCharType="separate"/>
          </w:r>
          <w:r>
            <w:t>11</w:t>
          </w:r>
          <w:r>
            <w:fldChar w:fldCharType="end"/>
          </w:r>
          <w:r>
            <w:fldChar w:fldCharType="end"/>
          </w:r>
        </w:p>
        <w:p w14:paraId="1B39D072">
          <w:pPr>
            <w:pStyle w:val="16"/>
            <w:tabs>
              <w:tab w:val="right" w:leader="dot" w:pos="8306"/>
            </w:tabs>
          </w:pPr>
          <w:r>
            <w:fldChar w:fldCharType="begin"/>
          </w:r>
          <w:r>
            <w:instrText xml:space="preserve"> HYPERLINK \l _Toc14529 </w:instrText>
          </w:r>
          <w:r>
            <w:fldChar w:fldCharType="separate"/>
          </w:r>
          <w:r>
            <w:rPr>
              <w:rFonts w:hint="default"/>
            </w:rPr>
            <w:t xml:space="preserve">9. </w:t>
          </w:r>
          <w:r>
            <w:t>安全与保密管理</w:t>
          </w:r>
          <w:r>
            <w:tab/>
          </w:r>
          <w:r>
            <w:fldChar w:fldCharType="begin"/>
          </w:r>
          <w:r>
            <w:instrText xml:space="preserve"> PAGEREF _Toc14529 \h </w:instrText>
          </w:r>
          <w:r>
            <w:fldChar w:fldCharType="separate"/>
          </w:r>
          <w:r>
            <w:t>11</w:t>
          </w:r>
          <w:r>
            <w:fldChar w:fldCharType="end"/>
          </w:r>
          <w:r>
            <w:fldChar w:fldCharType="end"/>
          </w:r>
        </w:p>
        <w:p w14:paraId="29D56BB2">
          <w:pPr>
            <w:pStyle w:val="16"/>
            <w:tabs>
              <w:tab w:val="right" w:leader="dot" w:pos="8306"/>
            </w:tabs>
          </w:pPr>
          <w:r>
            <w:fldChar w:fldCharType="begin"/>
          </w:r>
          <w:r>
            <w:instrText xml:space="preserve"> HYPERLINK \l _Toc13565 </w:instrText>
          </w:r>
          <w:r>
            <w:fldChar w:fldCharType="separate"/>
          </w:r>
          <w:r>
            <w:rPr>
              <w:rFonts w:hint="default"/>
            </w:rPr>
            <w:t xml:space="preserve">10. </w:t>
          </w:r>
          <w:r>
            <w:t>审计与监督</w:t>
          </w:r>
          <w:r>
            <w:tab/>
          </w:r>
          <w:r>
            <w:fldChar w:fldCharType="begin"/>
          </w:r>
          <w:r>
            <w:instrText xml:space="preserve"> PAGEREF _Toc13565 \h </w:instrText>
          </w:r>
          <w:r>
            <w:fldChar w:fldCharType="separate"/>
          </w:r>
          <w:r>
            <w:t>12</w:t>
          </w:r>
          <w:r>
            <w:fldChar w:fldCharType="end"/>
          </w:r>
          <w:r>
            <w:fldChar w:fldCharType="end"/>
          </w:r>
        </w:p>
        <w:p w14:paraId="40B53719">
          <w:pPr>
            <w:pStyle w:val="16"/>
            <w:tabs>
              <w:tab w:val="right" w:leader="dot" w:pos="8306"/>
            </w:tabs>
          </w:pPr>
          <w:r>
            <w:fldChar w:fldCharType="begin"/>
          </w:r>
          <w:r>
            <w:instrText xml:space="preserve"> HYPERLINK \l _Toc12353 </w:instrText>
          </w:r>
          <w:r>
            <w:fldChar w:fldCharType="separate"/>
          </w:r>
          <w:r>
            <w:rPr>
              <w:rFonts w:hint="default"/>
            </w:rPr>
            <w:t xml:space="preserve">11. </w:t>
          </w:r>
          <w:r>
            <w:t>KPI指标</w:t>
          </w:r>
          <w:r>
            <w:tab/>
          </w:r>
          <w:r>
            <w:fldChar w:fldCharType="begin"/>
          </w:r>
          <w:r>
            <w:instrText xml:space="preserve"> PAGEREF _Toc12353 \h </w:instrText>
          </w:r>
          <w:r>
            <w:fldChar w:fldCharType="separate"/>
          </w:r>
          <w:r>
            <w:t>13</w:t>
          </w:r>
          <w:r>
            <w:fldChar w:fldCharType="end"/>
          </w:r>
          <w:r>
            <w:fldChar w:fldCharType="end"/>
          </w:r>
        </w:p>
        <w:p w14:paraId="74AC6308">
          <w:pPr>
            <w:pStyle w:val="16"/>
            <w:tabs>
              <w:tab w:val="right" w:leader="dot" w:pos="8306"/>
            </w:tabs>
          </w:pPr>
          <w:r>
            <w:fldChar w:fldCharType="begin"/>
          </w:r>
          <w:r>
            <w:instrText xml:space="preserve"> HYPERLINK \l _Toc24824 </w:instrText>
          </w:r>
          <w:r>
            <w:fldChar w:fldCharType="separate"/>
          </w:r>
          <w:r>
            <w:rPr>
              <w:rFonts w:hint="default"/>
            </w:rPr>
            <w:t xml:space="preserve">12. </w:t>
          </w:r>
          <w:r>
            <w:t>相关记录</w:t>
          </w:r>
          <w:r>
            <w:tab/>
          </w:r>
          <w:r>
            <w:fldChar w:fldCharType="begin"/>
          </w:r>
          <w:r>
            <w:instrText xml:space="preserve"> PAGEREF _Toc24824 \h </w:instrText>
          </w:r>
          <w:r>
            <w:fldChar w:fldCharType="separate"/>
          </w:r>
          <w:r>
            <w:t>13</w:t>
          </w:r>
          <w:r>
            <w:fldChar w:fldCharType="end"/>
          </w:r>
          <w:r>
            <w:fldChar w:fldCharType="end"/>
          </w:r>
        </w:p>
        <w:p w14:paraId="7BA794B2">
          <w:r>
            <w:fldChar w:fldCharType="end"/>
          </w:r>
        </w:p>
      </w:sdtContent>
    </w:sdt>
    <w:p w14:paraId="3C8291BB"/>
    <w:p w14:paraId="55B10A61">
      <w:r>
        <w:br w:type="page"/>
      </w:r>
    </w:p>
    <w:p w14:paraId="78DCBD9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6440"/>
      <w:r>
        <w:t>目的</w:t>
      </w:r>
      <w:bookmarkEnd w:id="4"/>
      <w:bookmarkEnd w:id="5"/>
    </w:p>
    <w:p w14:paraId="6790FAA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为满足IT服务管理体系（ITSS）认证要求，规范公司最终软件库（Definitive Software Library,DSL）的建设、维护、使用及管理流程，确保入库软件的合法性、完整性、安全性和可用性，实现软件资产的有效管控，避免软件版本混乱、使用违规及资产流失等问题，提升IT服务质量与合规水平，特制定本制度。</w:t>
      </w:r>
    </w:p>
    <w:p w14:paraId="087D846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本制度旨在通过建立标准化的最终软件库管理机制，为公司IT运维服务、项目实施及业务开展提供可靠的软件资源支撑，同时保障软件使用符合知识产权相关法律法规及客户合同要求。</w:t>
      </w:r>
    </w:p>
    <w:p w14:paraId="53E04B3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27541"/>
      <w:r>
        <w:t>适用范围</w:t>
      </w:r>
      <w:bookmarkEnd w:id="6"/>
      <w:bookmarkEnd w:id="7"/>
    </w:p>
    <w:p w14:paraId="3C5FEC9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最终软件库的规划、建设、运维、使用等全生命周期管理活动，涵盖所有纳入最终软件库管理的软件资产，包括但不限于系统软件、应用软件、支撑软件、工具软件及相关的安装程序、配置文件、许可证书等。</w:t>
      </w:r>
    </w:p>
    <w:p w14:paraId="5981854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公司各部门（含运维服务部门、项目实施部门、研发部门、职能管理部门等）及全体员工在涉及最终软件库相关操作时，均需遵守本制度规定。</w:t>
      </w:r>
    </w:p>
    <w:p w14:paraId="1AA6A1E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28259"/>
      <w:r>
        <w:t>术语与定义</w:t>
      </w:r>
      <w:bookmarkEnd w:id="8"/>
      <w:bookmarkEnd w:id="9"/>
    </w:p>
    <w:p w14:paraId="2DE203E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最终软件库（DSL）：指经公司正式批准，用于集中存储、管理各类标准化、可信任软件版本的专用库，是公司所有授权软件的唯一合法来源，确保下发至生产环境或项目现场的软件均为经过检验和批准的版本。</w:t>
      </w:r>
    </w:p>
    <w:p w14:paraId="3817F0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软件资产：指公司拥有合法使用权或所有权的各类软件及相关资源，包括软件安装包、补丁程序、升级包、配置手册、用户手册、许可协议、序列号等。</w:t>
      </w:r>
    </w:p>
    <w:p w14:paraId="6588F09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基线版本：指经过测试、审核并正式批准纳入最终软件库，可作为部署、升级或回退基准的软件版本，具有稳定性和可追溯性。</w:t>
      </w:r>
    </w:p>
    <w:p w14:paraId="74205AE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软件配置项：指纳入配置管理的软件相关元素，包括软件本身、版本信息、关联文档、许可信息等，是软件资产管控的基本单元。</w:t>
      </w:r>
    </w:p>
    <w:p w14:paraId="3C595BF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变更请求（RFC）：指针对最终软件库中软件的新增、升级、删除、版本更新等操作提出的正式申请，需经规定流程审批后执行。</w:t>
      </w:r>
    </w:p>
    <w:p w14:paraId="7C17060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5"/>
      <w:bookmarkStart w:id="11" w:name="_Toc9781"/>
      <w:r>
        <w:t>角色与职责</w:t>
      </w:r>
      <w:bookmarkEnd w:id="10"/>
      <w:bookmarkEnd w:id="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45"/>
        <w:gridCol w:w="1560"/>
        <w:gridCol w:w="1149"/>
        <w:gridCol w:w="4226"/>
      </w:tblGrid>
      <w:tr w14:paraId="43B2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2ECB89BF">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角色</w:t>
            </w:r>
          </w:p>
        </w:tc>
        <w:tc>
          <w:tcPr>
            <w:tcW w:w="1560" w:type="dxa"/>
            <w:tcMar>
              <w:top w:w="60" w:type="dxa"/>
              <w:left w:w="120" w:type="dxa"/>
              <w:bottom w:w="30" w:type="dxa"/>
              <w:right w:w="120" w:type="dxa"/>
            </w:tcMar>
          </w:tcPr>
          <w:p w14:paraId="6F90C8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sz w:val="21"/>
                <w:szCs w:val="21"/>
                <w:lang w:val="en-US" w:eastAsia="zh-CN"/>
              </w:rPr>
            </w:pPr>
            <w:r>
              <w:rPr>
                <w:sz w:val="21"/>
                <w:szCs w:val="21"/>
              </w:rPr>
              <w:t>职责部门</w:t>
            </w:r>
            <w:r>
              <w:rPr>
                <w:rFonts w:hint="eastAsia"/>
                <w:sz w:val="21"/>
                <w:szCs w:val="21"/>
                <w:lang w:val="en-US" w:eastAsia="zh-CN"/>
              </w:rPr>
              <w:t>/人员</w:t>
            </w:r>
          </w:p>
        </w:tc>
        <w:tc>
          <w:tcPr>
            <w:tcW w:w="1149" w:type="dxa"/>
            <w:tcMar>
              <w:top w:w="60" w:type="dxa"/>
              <w:left w:w="120" w:type="dxa"/>
              <w:bottom w:w="30" w:type="dxa"/>
              <w:right w:w="120" w:type="dxa"/>
            </w:tcMar>
          </w:tcPr>
          <w:p w14:paraId="24E25B4D">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核心职责</w:t>
            </w:r>
          </w:p>
        </w:tc>
        <w:tc>
          <w:tcPr>
            <w:tcW w:w="4226" w:type="dxa"/>
            <w:tcMar>
              <w:top w:w="60" w:type="dxa"/>
              <w:left w:w="120" w:type="dxa"/>
              <w:bottom w:w="30" w:type="dxa"/>
              <w:right w:w="120" w:type="dxa"/>
            </w:tcMar>
          </w:tcPr>
          <w:p w14:paraId="6B494532">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具体工作内容</w:t>
            </w:r>
          </w:p>
        </w:tc>
      </w:tr>
      <w:tr w14:paraId="0F61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3E53E7A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eastAsia="zh-CN"/>
              </w:rPr>
              <w:t>运维部</w:t>
            </w:r>
          </w:p>
        </w:tc>
        <w:tc>
          <w:tcPr>
            <w:tcW w:w="1560" w:type="dxa"/>
            <w:tcMar>
              <w:top w:w="60" w:type="dxa"/>
              <w:left w:w="120" w:type="dxa"/>
              <w:bottom w:w="30" w:type="dxa"/>
              <w:right w:w="120" w:type="dxa"/>
            </w:tcMar>
          </w:tcPr>
          <w:p w14:paraId="4D35438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eastAsia="zh-CN"/>
              </w:rPr>
            </w:pPr>
            <w:r>
              <w:rPr>
                <w:rFonts w:hint="eastAsia"/>
                <w:sz w:val="21"/>
                <w:szCs w:val="21"/>
                <w:lang w:eastAsia="zh-CN"/>
              </w:rPr>
              <w:t>运维部</w:t>
            </w:r>
          </w:p>
        </w:tc>
        <w:tc>
          <w:tcPr>
            <w:tcW w:w="1149" w:type="dxa"/>
            <w:tcMar>
              <w:top w:w="60" w:type="dxa"/>
              <w:left w:w="120" w:type="dxa"/>
              <w:bottom w:w="30" w:type="dxa"/>
              <w:right w:w="120" w:type="dxa"/>
            </w:tcMar>
          </w:tcPr>
          <w:p w14:paraId="48B11DA3">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最终软件库的日常运维与管理</w:t>
            </w:r>
          </w:p>
        </w:tc>
        <w:tc>
          <w:tcPr>
            <w:tcW w:w="4226" w:type="dxa"/>
            <w:tcMar>
              <w:top w:w="60" w:type="dxa"/>
              <w:left w:w="120" w:type="dxa"/>
              <w:bottom w:w="30" w:type="dxa"/>
              <w:right w:w="120" w:type="dxa"/>
            </w:tcMar>
          </w:tcPr>
          <w:p w14:paraId="796A0534">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负责DSL物理环境及管理系统的部署、维护和故障处理；</w:t>
            </w:r>
          </w:p>
          <w:p w14:paraId="0381D32C">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执行软件入库、出库、版本更新等操作；</w:t>
            </w:r>
          </w:p>
          <w:p w14:paraId="79DA4B3D">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建立并维护软件资产台账，确保账实相符；</w:t>
            </w:r>
          </w:p>
          <w:p w14:paraId="169A1034">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定期对DSL进行巡检、备份与清理；</w:t>
            </w:r>
          </w:p>
          <w:p w14:paraId="47B53892">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协助开展软件资产审计工作。</w:t>
            </w:r>
          </w:p>
        </w:tc>
      </w:tr>
      <w:tr w14:paraId="160E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2693BA87">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软件审核人</w:t>
            </w:r>
          </w:p>
        </w:tc>
        <w:tc>
          <w:tcPr>
            <w:tcW w:w="1560" w:type="dxa"/>
            <w:tcMar>
              <w:top w:w="60" w:type="dxa"/>
              <w:left w:w="120" w:type="dxa"/>
              <w:bottom w:w="30" w:type="dxa"/>
              <w:right w:w="120" w:type="dxa"/>
            </w:tcMar>
          </w:tcPr>
          <w:p w14:paraId="656C1A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研发部</w:t>
            </w:r>
          </w:p>
        </w:tc>
        <w:tc>
          <w:tcPr>
            <w:tcW w:w="1149" w:type="dxa"/>
            <w:tcMar>
              <w:top w:w="60" w:type="dxa"/>
              <w:left w:w="120" w:type="dxa"/>
              <w:bottom w:w="30" w:type="dxa"/>
              <w:right w:w="120" w:type="dxa"/>
            </w:tcMar>
          </w:tcPr>
          <w:p w14:paraId="3B73D11C">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软件入库、变更的审核与批准</w:t>
            </w:r>
          </w:p>
        </w:tc>
        <w:tc>
          <w:tcPr>
            <w:tcW w:w="4226" w:type="dxa"/>
            <w:tcMar>
              <w:top w:w="60" w:type="dxa"/>
              <w:left w:w="120" w:type="dxa"/>
              <w:bottom w:w="30" w:type="dxa"/>
              <w:right w:w="120" w:type="dxa"/>
            </w:tcMar>
          </w:tcPr>
          <w:p w14:paraId="6A53901E">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审核软件入库申请的合法性、必要性及技术可行性；</w:t>
            </w:r>
          </w:p>
          <w:p w14:paraId="2EC3A759">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审批软件版本变更、升级、删除等请求；</w:t>
            </w:r>
          </w:p>
          <w:p w14:paraId="5BEDB9E4">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监督DSL管理流程的执行情况，确保合规性；</w:t>
            </w:r>
          </w:p>
          <w:p w14:paraId="26AD06EA">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解决DSL管理中的技术争议问题。</w:t>
            </w:r>
          </w:p>
        </w:tc>
      </w:tr>
      <w:tr w14:paraId="3A96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564104A9">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软件申请人</w:t>
            </w:r>
          </w:p>
        </w:tc>
        <w:tc>
          <w:tcPr>
            <w:tcW w:w="1560" w:type="dxa"/>
            <w:tcMar>
              <w:top w:w="60" w:type="dxa"/>
              <w:left w:w="120" w:type="dxa"/>
              <w:bottom w:w="30" w:type="dxa"/>
              <w:right w:w="120" w:type="dxa"/>
            </w:tcMar>
          </w:tcPr>
          <w:p w14:paraId="1EED84C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运维部</w:t>
            </w:r>
          </w:p>
        </w:tc>
        <w:tc>
          <w:tcPr>
            <w:tcW w:w="1149" w:type="dxa"/>
            <w:tcMar>
              <w:top w:w="60" w:type="dxa"/>
              <w:left w:w="120" w:type="dxa"/>
              <w:bottom w:w="30" w:type="dxa"/>
              <w:right w:w="120" w:type="dxa"/>
            </w:tcMar>
          </w:tcPr>
          <w:p w14:paraId="1370257F">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软件入库、出库的申请发起</w:t>
            </w:r>
          </w:p>
        </w:tc>
        <w:tc>
          <w:tcPr>
            <w:tcW w:w="4226" w:type="dxa"/>
            <w:tcMar>
              <w:top w:w="60" w:type="dxa"/>
              <w:left w:w="120" w:type="dxa"/>
              <w:bottom w:w="30" w:type="dxa"/>
              <w:right w:w="120" w:type="dxa"/>
            </w:tcMar>
          </w:tcPr>
          <w:p w14:paraId="70C6992E">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根据业务需求提交软件入库或出库申请，提供完整的申请材料；</w:t>
            </w:r>
          </w:p>
          <w:p w14:paraId="5EB73DAC">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配合完成入库软件的测试、验证工作；</w:t>
            </w:r>
          </w:p>
          <w:p w14:paraId="73E8221E">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负责领用软件的合规使用与保管，及时反馈使用问题。</w:t>
            </w:r>
          </w:p>
        </w:tc>
      </w:tr>
      <w:tr w14:paraId="4AB5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0C2DAE23">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采购负责人</w:t>
            </w:r>
          </w:p>
        </w:tc>
        <w:tc>
          <w:tcPr>
            <w:tcW w:w="1560" w:type="dxa"/>
            <w:tcMar>
              <w:top w:w="60" w:type="dxa"/>
              <w:left w:w="120" w:type="dxa"/>
              <w:bottom w:w="30" w:type="dxa"/>
              <w:right w:w="120" w:type="dxa"/>
            </w:tcMar>
          </w:tcPr>
          <w:p w14:paraId="6EC33A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val="en-US" w:eastAsia="zh-CN"/>
              </w:rPr>
            </w:pPr>
            <w:r>
              <w:rPr>
                <w:rFonts w:hint="eastAsia"/>
                <w:sz w:val="21"/>
                <w:szCs w:val="21"/>
                <w:lang w:val="en-US" w:eastAsia="zh-CN"/>
              </w:rPr>
              <w:t>采购部</w:t>
            </w:r>
          </w:p>
        </w:tc>
        <w:tc>
          <w:tcPr>
            <w:tcW w:w="1149" w:type="dxa"/>
            <w:tcMar>
              <w:top w:w="60" w:type="dxa"/>
              <w:left w:w="120" w:type="dxa"/>
              <w:bottom w:w="30" w:type="dxa"/>
              <w:right w:w="120" w:type="dxa"/>
            </w:tcMar>
          </w:tcPr>
          <w:p w14:paraId="0B837F8F">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软件采购与合法性保障</w:t>
            </w:r>
          </w:p>
        </w:tc>
        <w:tc>
          <w:tcPr>
            <w:tcW w:w="4226" w:type="dxa"/>
            <w:tcMar>
              <w:top w:w="60" w:type="dxa"/>
              <w:left w:w="120" w:type="dxa"/>
              <w:bottom w:w="30" w:type="dxa"/>
              <w:right w:w="120" w:type="dxa"/>
            </w:tcMar>
          </w:tcPr>
          <w:p w14:paraId="1D8F9967">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根据批准的入库申请办理软件采购手续，确保软件来源合法；</w:t>
            </w:r>
          </w:p>
          <w:p w14:paraId="20B890EE">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收集并提交软件采购合同、许可证书等相关证明材料；</w:t>
            </w:r>
          </w:p>
          <w:p w14:paraId="0E6E7054">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跟踪软件许可的有效期，及时办理续费或升级手续。</w:t>
            </w:r>
          </w:p>
        </w:tc>
      </w:tr>
      <w:tr w14:paraId="5168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608811A7">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审计监督人</w:t>
            </w:r>
          </w:p>
        </w:tc>
        <w:tc>
          <w:tcPr>
            <w:tcW w:w="1560" w:type="dxa"/>
            <w:tcMar>
              <w:top w:w="60" w:type="dxa"/>
              <w:left w:w="120" w:type="dxa"/>
              <w:bottom w:w="30" w:type="dxa"/>
              <w:right w:w="120" w:type="dxa"/>
            </w:tcMar>
          </w:tcPr>
          <w:p w14:paraId="5C2CA0F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质量部</w:t>
            </w:r>
          </w:p>
        </w:tc>
        <w:tc>
          <w:tcPr>
            <w:tcW w:w="1149" w:type="dxa"/>
            <w:tcMar>
              <w:top w:w="60" w:type="dxa"/>
              <w:left w:w="120" w:type="dxa"/>
              <w:bottom w:w="30" w:type="dxa"/>
              <w:right w:w="120" w:type="dxa"/>
            </w:tcMar>
          </w:tcPr>
          <w:p w14:paraId="67571A41">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DSL管理的审计与监督</w:t>
            </w:r>
          </w:p>
        </w:tc>
        <w:tc>
          <w:tcPr>
            <w:tcW w:w="4226" w:type="dxa"/>
            <w:tcMar>
              <w:top w:w="60" w:type="dxa"/>
              <w:left w:w="120" w:type="dxa"/>
              <w:bottom w:w="30" w:type="dxa"/>
              <w:right w:w="120" w:type="dxa"/>
            </w:tcMar>
          </w:tcPr>
          <w:p w14:paraId="3A3FEDB9">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定期对DSL管理流程执行情况进行审计；</w:t>
            </w:r>
          </w:p>
          <w:p w14:paraId="3CBB79C3">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核查软件资产的合法性、账实一致性及使用合规性；</w:t>
            </w:r>
          </w:p>
          <w:p w14:paraId="1A630D59">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监督软件许可费用的使用情况，避免资产浪费；</w:t>
            </w:r>
          </w:p>
          <w:p w14:paraId="541085CA">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提出管理改进建议。</w:t>
            </w:r>
          </w:p>
        </w:tc>
      </w:tr>
    </w:tbl>
    <w:p w14:paraId="71BF33A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6"/>
      <w:bookmarkStart w:id="13" w:name="_Toc4415"/>
      <w:r>
        <w:t>最终软件库的建设与维护</w:t>
      </w:r>
      <w:bookmarkEnd w:id="12"/>
      <w:bookmarkEnd w:id="13"/>
    </w:p>
    <w:p w14:paraId="2110136D">
      <w:pPr>
        <w:pStyle w:val="31"/>
        <w:bidi w:val="0"/>
        <w:rPr>
          <w:rFonts w:hint="default"/>
          <w:lang w:val="en-US" w:eastAsia="zh-CN"/>
        </w:rPr>
      </w:pPr>
      <w:bookmarkStart w:id="14" w:name="_Toc24339"/>
      <w:r>
        <w:rPr>
          <w:rFonts w:hint="eastAsia"/>
          <w:lang w:val="en-US" w:eastAsia="zh-CN"/>
        </w:rPr>
        <w:t>总体建设要求</w:t>
      </w:r>
      <w:bookmarkEnd w:id="14"/>
    </w:p>
    <w:p w14:paraId="7192B6D5">
      <w:pPr>
        <w:pStyle w:val="3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DSL需部署在专用服务器或存储设备上，具备独立的网络环境和访问控制机制，确保物理安全与网络安全。库体需划分不同存储区域，实现分类管理。</w:t>
      </w:r>
    </w:p>
    <w:p w14:paraId="157C049C">
      <w:pPr>
        <w:pStyle w:val="30"/>
        <w:rPr>
          <w:rFonts w:ascii="Segoe UI" w:hAnsi="Segoe UI" w:eastAsia="Segoe UI" w:cs="Segoe UI"/>
          <w:i w:val="0"/>
          <w:iCs w:val="0"/>
          <w:caps w:val="0"/>
          <w:color w:val="0F1115"/>
          <w:spacing w:val="0"/>
          <w:sz w:val="24"/>
          <w:szCs w:val="24"/>
          <w:shd w:val="clear" w:fill="FFFFFF"/>
        </w:rPr>
      </w:pPr>
      <w:r>
        <w:t>最终软件库需部署在专用服务器或存储设备上，具备独立的网络环境和访问控制机制，确保物理安全与网络安全。库体需划分不同存储区域，分别存放系统软件、应用软件、补丁程序、文档资料等，实现分类管理。</w:t>
      </w:r>
    </w:p>
    <w:p w14:paraId="014FDA14">
      <w:pPr>
        <w:pStyle w:val="31"/>
        <w:bidi w:val="0"/>
        <w:rPr>
          <w:rFonts w:hint="default"/>
          <w:lang w:val="en-US" w:eastAsia="zh-CN"/>
        </w:rPr>
      </w:pPr>
      <w:bookmarkStart w:id="15" w:name="_Toc13677"/>
      <w:r>
        <w:rPr>
          <w:rFonts w:hint="eastAsia"/>
          <w:lang w:val="en-US" w:eastAsia="zh-CN"/>
        </w:rPr>
        <w:t>管理系统要求</w:t>
      </w:r>
      <w:bookmarkEnd w:id="15"/>
    </w:p>
    <w:p w14:paraId="0F66D41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应采用专用的软件资产管理系统或配置管理工具对DSL进行管理，支持软件版本控制、权限管理、操作日志记录、查询统计、自动备份等功能，确保软件资产的全生命周期可追溯。</w:t>
      </w:r>
    </w:p>
    <w:p w14:paraId="7D1F99E5">
      <w:pPr>
        <w:pStyle w:val="31"/>
        <w:bidi w:val="0"/>
      </w:pPr>
      <w:bookmarkStart w:id="16" w:name="_Toc27855"/>
      <w:r>
        <w:t>日常维护规范</w:t>
      </w:r>
      <w:bookmarkEnd w:id="16"/>
    </w:p>
    <w:p w14:paraId="4979B2A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每日对库体运行状态进行巡检，包括存储容量、服务器性能、网络连接等，确保库体正常运行；</w:t>
      </w:r>
    </w:p>
    <w:p w14:paraId="57E7719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建立软件资产台账，详细记录软件名称、版本、供应商、采购时间、许可类型、许可数量、有效期、入库时间、使用部门等信息，每月更新一次；</w:t>
      </w:r>
    </w:p>
    <w:p w14:paraId="268260C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采用“本地+异地”双重备份策略，对DSL中的软件资产及管理数据进行定期备份，备份频率不低于每周一次，备份数据需进行有效性验证；</w:t>
      </w:r>
    </w:p>
    <w:p w14:paraId="4F78676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定期对库体中的无效软件（如过期许可、淘汰版本、冗余文件）进行清理，清理前需提交申请并经审核批准，清理记录需留存备查。</w:t>
      </w:r>
    </w:p>
    <w:p w14:paraId="13D8E7E2">
      <w:pPr>
        <w:pStyle w:val="31"/>
        <w:bidi w:val="0"/>
        <w:rPr>
          <w:rFonts w:hint="default"/>
          <w:lang w:val="en-US" w:eastAsia="zh-CN"/>
        </w:rPr>
      </w:pPr>
      <w:bookmarkStart w:id="17" w:name="_Toc27019"/>
      <w:r>
        <w:rPr>
          <w:rFonts w:hint="eastAsia"/>
          <w:lang w:val="en-US" w:eastAsia="zh-CN"/>
        </w:rPr>
        <w:t>权限控制要求</w:t>
      </w:r>
      <w:bookmarkEnd w:id="17"/>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5"/>
        <w:gridCol w:w="1301"/>
        <w:gridCol w:w="3675"/>
        <w:gridCol w:w="2421"/>
      </w:tblGrid>
      <w:tr w14:paraId="1DB78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26"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8A3208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权限等级</w:t>
            </w:r>
          </w:p>
        </w:tc>
        <w:tc>
          <w:tcPr>
            <w:tcW w:w="1301"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27A55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角色</w:t>
            </w:r>
          </w:p>
        </w:tc>
        <w:tc>
          <w:tcPr>
            <w:tcW w:w="3675"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2E35C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可操作功能</w:t>
            </w:r>
          </w:p>
        </w:tc>
        <w:tc>
          <w:tcPr>
            <w:tcW w:w="2421"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2B27A4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说明</w:t>
            </w:r>
          </w:p>
        </w:tc>
      </w:tr>
      <w:tr w14:paraId="59B98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C1ACA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系统级</w:t>
            </w:r>
          </w:p>
        </w:tc>
        <w:tc>
          <w:tcPr>
            <w:tcW w:w="130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E848F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系统管理员</w:t>
            </w:r>
          </w:p>
        </w:tc>
        <w:tc>
          <w:tcPr>
            <w:tcW w:w="367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2DB9D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账号管理、权限分配、系统配置、日志审计</w:t>
            </w:r>
          </w:p>
        </w:tc>
        <w:tc>
          <w:tcPr>
            <w:tcW w:w="2421"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D3A38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仅限运维部指定人员</w:t>
            </w:r>
          </w:p>
        </w:tc>
      </w:tr>
      <w:tr w14:paraId="4EDDA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39EC86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管理级</w:t>
            </w:r>
          </w:p>
        </w:tc>
        <w:tc>
          <w:tcPr>
            <w:tcW w:w="130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20516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软件审核人</w:t>
            </w:r>
          </w:p>
        </w:tc>
        <w:tc>
          <w:tcPr>
            <w:tcW w:w="367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A158B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软件入库审批、版本变更审批、基线确认</w:t>
            </w:r>
          </w:p>
        </w:tc>
        <w:tc>
          <w:tcPr>
            <w:tcW w:w="2421"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498B6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由研发部经理或技术负责人担任</w:t>
            </w:r>
          </w:p>
        </w:tc>
      </w:tr>
      <w:tr w14:paraId="01B6C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8F9C3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操作级</w:t>
            </w:r>
          </w:p>
        </w:tc>
        <w:tc>
          <w:tcPr>
            <w:tcW w:w="130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C066B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运维专员</w:t>
            </w:r>
          </w:p>
        </w:tc>
        <w:tc>
          <w:tcPr>
            <w:tcW w:w="367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6DF57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入库/出库操作、台账更新、备份执行、巡检记录</w:t>
            </w:r>
          </w:p>
        </w:tc>
        <w:tc>
          <w:tcPr>
            <w:tcW w:w="2421"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76AB2E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负责日常操作</w:t>
            </w:r>
          </w:p>
        </w:tc>
      </w:tr>
      <w:tr w14:paraId="1372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4FD48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申请级</w:t>
            </w:r>
          </w:p>
        </w:tc>
        <w:tc>
          <w:tcPr>
            <w:tcW w:w="130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B2427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软件申请人</w:t>
            </w:r>
          </w:p>
        </w:tc>
        <w:tc>
          <w:tcPr>
            <w:tcW w:w="367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4C76A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提交入库/出库申请、查询软件信息</w:t>
            </w:r>
          </w:p>
        </w:tc>
        <w:tc>
          <w:tcPr>
            <w:tcW w:w="2421"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018B6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无权直接修改或删除库内内容</w:t>
            </w:r>
          </w:p>
        </w:tc>
      </w:tr>
      <w:tr w14:paraId="473AE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662393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审计级</w:t>
            </w:r>
          </w:p>
        </w:tc>
        <w:tc>
          <w:tcPr>
            <w:tcW w:w="1301"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2D54C7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审计监督人</w:t>
            </w:r>
          </w:p>
        </w:tc>
        <w:tc>
          <w:tcPr>
            <w:tcW w:w="3675"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46B641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查看所有操作日志、导出审计报告</w:t>
            </w:r>
          </w:p>
        </w:tc>
        <w:tc>
          <w:tcPr>
            <w:tcW w:w="2421"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1AF5BE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只读权限，不能操作系统功能</w:t>
            </w:r>
          </w:p>
        </w:tc>
      </w:tr>
    </w:tbl>
    <w:p w14:paraId="132C1100">
      <w:pPr>
        <w:pStyle w:val="3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权限分配遵循“最小必要”原则，所有操作使用个人账号，每季度复核权限分配情况。</w:t>
      </w:r>
    </w:p>
    <w:p w14:paraId="19127BCF">
      <w:pPr>
        <w:pStyle w:val="31"/>
        <w:bidi w:val="0"/>
        <w:rPr>
          <w:rFonts w:hint="eastAsia"/>
          <w:lang w:val="en-US" w:eastAsia="zh-CN"/>
        </w:rPr>
      </w:pPr>
      <w:bookmarkStart w:id="18" w:name="_Toc21534"/>
      <w:r>
        <w:rPr>
          <w:rFonts w:hint="eastAsia"/>
          <w:lang w:val="en-US" w:eastAsia="zh-CN"/>
        </w:rPr>
        <w:t>备份策略要求</w:t>
      </w:r>
      <w:bookmarkEnd w:id="18"/>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2"/>
        <w:gridCol w:w="6940"/>
      </w:tblGrid>
      <w:tr w14:paraId="4C3D5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82"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3ECEFA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项目</w:t>
            </w:r>
          </w:p>
        </w:tc>
        <w:tc>
          <w:tcPr>
            <w:tcW w:w="6940"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1A609E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要求说明</w:t>
            </w:r>
          </w:p>
        </w:tc>
      </w:tr>
      <w:tr w14:paraId="25C5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33B464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备份类型</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BFCF1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全量备份 + 增量备份</w:t>
            </w:r>
          </w:p>
        </w:tc>
      </w:tr>
      <w:tr w14:paraId="6C909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03056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全量备份频率</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4E2C0A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每周一次（建议周末业务低峰期执行）</w:t>
            </w:r>
          </w:p>
        </w:tc>
      </w:tr>
      <w:tr w14:paraId="2D10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0A376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增量备份频率</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1F28C1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每日一次，记录当日变更内容</w:t>
            </w:r>
          </w:p>
        </w:tc>
      </w:tr>
      <w:tr w14:paraId="5FFE5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04580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备份存储</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0E744E1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本地存储 + 异地存储（两地三中心或云端冷存储）</w:t>
            </w:r>
          </w:p>
        </w:tc>
      </w:tr>
      <w:tr w14:paraId="52BD4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06C14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备份介质</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3F981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企业级硬盘、磁带库或加密云存储</w:t>
            </w:r>
          </w:p>
        </w:tc>
      </w:tr>
      <w:tr w14:paraId="6E07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8A0D7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备份加密</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A27AD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所有备份数据需加密存储，密钥由运维部专人保管</w:t>
            </w:r>
          </w:p>
        </w:tc>
      </w:tr>
      <w:tr w14:paraId="62715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152CF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备份验证</w:t>
            </w:r>
          </w:p>
        </w:tc>
        <w:tc>
          <w:tcPr>
            <w:tcW w:w="694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0CE976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每月进行一次备份恢复演练，验证数据完整性与恢复时效性</w:t>
            </w:r>
          </w:p>
        </w:tc>
      </w:tr>
      <w:tr w14:paraId="721A5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2"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4970E3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备份记录</w:t>
            </w:r>
          </w:p>
        </w:tc>
        <w:tc>
          <w:tcPr>
            <w:tcW w:w="6940"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0DD4D6A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每次备份需记录备份时间、类型、大小、责任人、校验结果等，形成《DSL备份记录表》</w:t>
            </w:r>
          </w:p>
        </w:tc>
      </w:tr>
    </w:tbl>
    <w:p w14:paraId="6515F7E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7"/>
      <w:bookmarkStart w:id="20" w:name="_Toc21956"/>
      <w:r>
        <w:t>软件入库管理</w:t>
      </w:r>
      <w:bookmarkEnd w:id="19"/>
      <w:bookmarkEnd w:id="20"/>
    </w:p>
    <w:p w14:paraId="17484A0A">
      <w:pPr>
        <w:pStyle w:val="31"/>
        <w:bidi w:val="0"/>
      </w:pPr>
      <w:bookmarkStart w:id="21" w:name="heading_8"/>
      <w:bookmarkStart w:id="22" w:name="_Toc8609"/>
      <w:r>
        <w:t>入库条件</w:t>
      </w:r>
      <w:bookmarkEnd w:id="21"/>
      <w:bookmarkEnd w:id="22"/>
    </w:p>
    <w:p w14:paraId="539C835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纳入最终软件库的软件需同时满足以下条件：</w:t>
      </w:r>
    </w:p>
    <w:p w14:paraId="0AC2B34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来源合法：通过正规采购渠道获取，具备完整的采购合同、发票、软件许可证书等证明文件，或为开源软件且符合开源协议要求；</w:t>
      </w:r>
    </w:p>
    <w:p w14:paraId="022C200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需求明确：经业务部门或项目组提出正式申请，确认为公司运维服务或业务开展所必需；</w:t>
      </w:r>
    </w:p>
    <w:p w14:paraId="096F9C8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质量合格：经过功能测试、兼容性测试及安全扫描，确认无病毒、恶意代码及功能缺陷，可稳定运行；</w:t>
      </w:r>
    </w:p>
    <w:p w14:paraId="2BB8AAF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资料完整：包含软件安装包、补丁程序、配置手册、用户手册、许可说明等相关资料，且版本信息清晰。</w:t>
      </w:r>
    </w:p>
    <w:p w14:paraId="05C0BB55">
      <w:pPr>
        <w:pStyle w:val="31"/>
        <w:bidi w:val="0"/>
      </w:pPr>
      <w:bookmarkStart w:id="23" w:name="heading_9"/>
      <w:bookmarkStart w:id="24" w:name="_Toc19663"/>
      <w:r>
        <w:t>入库流程</w:t>
      </w:r>
      <w:bookmarkEnd w:id="23"/>
      <w:bookmarkEnd w:id="24"/>
    </w:p>
    <w:p w14:paraId="2DBF73B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申请提交：软件申请人填写《最终软件库入库申请表》，明确软件名称、版本、用途、数量、技术参数等信息，并附上采购合同、许可证书、测试报告等相关材料，提交至部门负责人审批。</w:t>
      </w:r>
    </w:p>
    <w:p w14:paraId="311153D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部门审核：申请部门负责人审核申请的必要性和合理性，审核通过后提交至软件审核人。</w:t>
      </w:r>
    </w:p>
    <w:p w14:paraId="07AC607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技术审核：软件审核人（信息部经理/技术负责人）对软件的技术可行性、兼容性、安全性进行审核，必要时组织技术团队进行复核，审核通过后签署意见。</w:t>
      </w:r>
    </w:p>
    <w:p w14:paraId="71FB406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入库操作：凭审核通过的申请表及相关材料，在软件资产管理系统中创建软件配置项，将软件及相关资料存入DSL对应区域，并更新软件资产台账，记录入库时间、操作人等信息。</w:t>
      </w:r>
    </w:p>
    <w:p w14:paraId="7E4F439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基线确认：对于需作为部署基准的软件版本，由</w:t>
      </w:r>
      <w:r>
        <w:rPr>
          <w:rFonts w:hint="eastAsia"/>
          <w:lang w:val="en-US" w:eastAsia="zh-CN"/>
        </w:rPr>
        <w:t>研发部</w:t>
      </w:r>
      <w:r>
        <w:t>确认后标记为“基线版本”，在管理系统中进行特殊标识，禁止随意修改。</w:t>
      </w:r>
    </w:p>
    <w:p w14:paraId="742449A7">
      <w:pPr>
        <w:pStyle w:val="31"/>
        <w:bidi w:val="0"/>
      </w:pPr>
      <w:bookmarkStart w:id="25" w:name="heading_10"/>
      <w:bookmarkStart w:id="26" w:name="_Toc23400"/>
      <w:r>
        <w:t>入库检验</w:t>
      </w:r>
      <w:bookmarkEnd w:id="25"/>
      <w:bookmarkEnd w:id="26"/>
    </w:p>
    <w:p w14:paraId="0425E39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软件入库前必须经过严格检验，检验内容及标准如下：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0260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64F8A8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检验项目</w:t>
            </w:r>
          </w:p>
        </w:tc>
        <w:tc>
          <w:tcPr>
            <w:tcW w:w="2070" w:type="dxa"/>
            <w:tcMar>
              <w:top w:w="60" w:type="dxa"/>
              <w:left w:w="120" w:type="dxa"/>
              <w:bottom w:w="30" w:type="dxa"/>
              <w:right w:w="120" w:type="dxa"/>
            </w:tcMar>
          </w:tcPr>
          <w:p w14:paraId="3D5694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检验内容</w:t>
            </w:r>
          </w:p>
        </w:tc>
        <w:tc>
          <w:tcPr>
            <w:tcW w:w="2070" w:type="dxa"/>
            <w:tcMar>
              <w:top w:w="60" w:type="dxa"/>
              <w:left w:w="120" w:type="dxa"/>
              <w:bottom w:w="30" w:type="dxa"/>
              <w:right w:w="120" w:type="dxa"/>
            </w:tcMar>
          </w:tcPr>
          <w:p w14:paraId="0F6CFAF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检验标准</w:t>
            </w:r>
          </w:p>
        </w:tc>
        <w:tc>
          <w:tcPr>
            <w:tcW w:w="2070" w:type="dxa"/>
            <w:tcMar>
              <w:top w:w="60" w:type="dxa"/>
              <w:left w:w="120" w:type="dxa"/>
              <w:bottom w:w="30" w:type="dxa"/>
              <w:right w:w="120" w:type="dxa"/>
            </w:tcMar>
          </w:tcPr>
          <w:p w14:paraId="75B67DF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责任部门</w:t>
            </w:r>
          </w:p>
        </w:tc>
      </w:tr>
      <w:tr w14:paraId="7A1B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FCC6EC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合法性检验</w:t>
            </w:r>
          </w:p>
        </w:tc>
        <w:tc>
          <w:tcPr>
            <w:tcW w:w="2070" w:type="dxa"/>
            <w:tcMar>
              <w:top w:w="60" w:type="dxa"/>
              <w:left w:w="120" w:type="dxa"/>
              <w:bottom w:w="30" w:type="dxa"/>
              <w:right w:w="120" w:type="dxa"/>
            </w:tcMar>
          </w:tcPr>
          <w:p w14:paraId="1A66666C">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采购证明、许可文件、版权信息</w:t>
            </w:r>
          </w:p>
        </w:tc>
        <w:tc>
          <w:tcPr>
            <w:tcW w:w="2070" w:type="dxa"/>
            <w:tcMar>
              <w:top w:w="60" w:type="dxa"/>
              <w:left w:w="120" w:type="dxa"/>
              <w:bottom w:w="30" w:type="dxa"/>
              <w:right w:w="120" w:type="dxa"/>
            </w:tcMar>
          </w:tcPr>
          <w:p w14:paraId="17368F7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文件完整、真实有效，符合知识产权法规</w:t>
            </w:r>
          </w:p>
        </w:tc>
        <w:tc>
          <w:tcPr>
            <w:tcW w:w="2070" w:type="dxa"/>
            <w:tcMar>
              <w:top w:w="60" w:type="dxa"/>
              <w:left w:w="120" w:type="dxa"/>
              <w:bottom w:w="30" w:type="dxa"/>
              <w:right w:w="120" w:type="dxa"/>
            </w:tcMar>
          </w:tcPr>
          <w:p w14:paraId="318D48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采购部</w:t>
            </w:r>
          </w:p>
        </w:tc>
      </w:tr>
      <w:tr w14:paraId="59BB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D54D66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功能检验</w:t>
            </w:r>
          </w:p>
        </w:tc>
        <w:tc>
          <w:tcPr>
            <w:tcW w:w="2070" w:type="dxa"/>
            <w:tcMar>
              <w:top w:w="60" w:type="dxa"/>
              <w:left w:w="120" w:type="dxa"/>
              <w:bottom w:w="30" w:type="dxa"/>
              <w:right w:w="120" w:type="dxa"/>
            </w:tcMar>
          </w:tcPr>
          <w:p w14:paraId="79AB1B5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软件核心功能、兼容性、稳定性</w:t>
            </w:r>
          </w:p>
        </w:tc>
        <w:tc>
          <w:tcPr>
            <w:tcW w:w="2070" w:type="dxa"/>
            <w:tcMar>
              <w:top w:w="60" w:type="dxa"/>
              <w:left w:w="120" w:type="dxa"/>
              <w:bottom w:w="30" w:type="dxa"/>
              <w:right w:w="120" w:type="dxa"/>
            </w:tcMar>
          </w:tcPr>
          <w:p w14:paraId="1014E5D5">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功能满足需求，与现有系统兼容，运行无异常</w:t>
            </w:r>
          </w:p>
        </w:tc>
        <w:tc>
          <w:tcPr>
            <w:tcW w:w="2070" w:type="dxa"/>
            <w:tcMar>
              <w:top w:w="60" w:type="dxa"/>
              <w:left w:w="120" w:type="dxa"/>
              <w:bottom w:w="30" w:type="dxa"/>
              <w:right w:w="120" w:type="dxa"/>
            </w:tcMar>
          </w:tcPr>
          <w:p w14:paraId="2D40F01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研发部</w:t>
            </w:r>
          </w:p>
        </w:tc>
      </w:tr>
      <w:tr w14:paraId="428D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A2E744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安全检验</w:t>
            </w:r>
          </w:p>
        </w:tc>
        <w:tc>
          <w:tcPr>
            <w:tcW w:w="2070" w:type="dxa"/>
            <w:tcMar>
              <w:top w:w="60" w:type="dxa"/>
              <w:left w:w="120" w:type="dxa"/>
              <w:bottom w:w="30" w:type="dxa"/>
              <w:right w:w="120" w:type="dxa"/>
            </w:tcMar>
          </w:tcPr>
          <w:p w14:paraId="42A2C67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病毒查杀、漏洞扫描、恶意代码检测</w:t>
            </w:r>
          </w:p>
        </w:tc>
        <w:tc>
          <w:tcPr>
            <w:tcW w:w="2070" w:type="dxa"/>
            <w:tcMar>
              <w:top w:w="60" w:type="dxa"/>
              <w:left w:w="120" w:type="dxa"/>
              <w:bottom w:w="30" w:type="dxa"/>
              <w:right w:w="120" w:type="dxa"/>
            </w:tcMar>
          </w:tcPr>
          <w:p w14:paraId="00F5F440">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通过主流安全软件检测，无安全风险</w:t>
            </w:r>
          </w:p>
        </w:tc>
        <w:tc>
          <w:tcPr>
            <w:tcW w:w="2070" w:type="dxa"/>
            <w:tcMar>
              <w:top w:w="60" w:type="dxa"/>
              <w:left w:w="120" w:type="dxa"/>
              <w:bottom w:w="30" w:type="dxa"/>
              <w:right w:w="120" w:type="dxa"/>
            </w:tcMar>
          </w:tcPr>
          <w:p w14:paraId="282DDE3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运维部</w:t>
            </w:r>
          </w:p>
        </w:tc>
      </w:tr>
      <w:tr w14:paraId="2E2A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E804F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资料完整性检验</w:t>
            </w:r>
          </w:p>
        </w:tc>
        <w:tc>
          <w:tcPr>
            <w:tcW w:w="2070" w:type="dxa"/>
            <w:tcMar>
              <w:top w:w="60" w:type="dxa"/>
              <w:left w:w="120" w:type="dxa"/>
              <w:bottom w:w="30" w:type="dxa"/>
              <w:right w:w="120" w:type="dxa"/>
            </w:tcMar>
          </w:tcPr>
          <w:p w14:paraId="0201D1CD">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安装包、手册、配置文件等</w:t>
            </w:r>
          </w:p>
        </w:tc>
        <w:tc>
          <w:tcPr>
            <w:tcW w:w="2070" w:type="dxa"/>
            <w:tcMar>
              <w:top w:w="60" w:type="dxa"/>
              <w:left w:w="120" w:type="dxa"/>
              <w:bottom w:w="30" w:type="dxa"/>
              <w:right w:w="120" w:type="dxa"/>
            </w:tcMar>
          </w:tcPr>
          <w:p w14:paraId="0DA7B368">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资料齐全、版本匹配、内容清晰</w:t>
            </w:r>
          </w:p>
        </w:tc>
        <w:tc>
          <w:tcPr>
            <w:tcW w:w="2070" w:type="dxa"/>
            <w:tcMar>
              <w:top w:w="60" w:type="dxa"/>
              <w:left w:w="120" w:type="dxa"/>
              <w:bottom w:w="30" w:type="dxa"/>
              <w:right w:w="120" w:type="dxa"/>
            </w:tcMar>
          </w:tcPr>
          <w:p w14:paraId="40B40A0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运维部</w:t>
            </w:r>
          </w:p>
        </w:tc>
      </w:tr>
    </w:tbl>
    <w:p w14:paraId="2CC19ED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检验不合格的软件，由申请人负责联系供应商处理或补充材料，重新提交入库申请。</w:t>
      </w:r>
    </w:p>
    <w:p w14:paraId="6C71036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1"/>
      <w:bookmarkStart w:id="28" w:name="_Toc2532"/>
      <w:r>
        <w:t>软件出库管理</w:t>
      </w:r>
      <w:bookmarkEnd w:id="27"/>
      <w:bookmarkEnd w:id="28"/>
    </w:p>
    <w:p w14:paraId="646179E7">
      <w:pPr>
        <w:pStyle w:val="31"/>
        <w:bidi w:val="0"/>
      </w:pPr>
      <w:bookmarkStart w:id="29" w:name="heading_12"/>
      <w:bookmarkStart w:id="30" w:name="_Toc3978"/>
      <w:r>
        <w:t>出库条件</w:t>
      </w:r>
      <w:bookmarkEnd w:id="29"/>
      <w:bookmarkEnd w:id="30"/>
    </w:p>
    <w:p w14:paraId="0D067F2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软件出库需满足以下条件之一：</w:t>
      </w:r>
    </w:p>
    <w:p w14:paraId="390B91C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运维服务需求：用于公司IT系统运维、故障处理、版本升级等正式工作；</w:t>
      </w:r>
    </w:p>
    <w:p w14:paraId="3472E6C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项目实施需求：经批准用于客户项目部署、测试或交付；</w:t>
      </w:r>
    </w:p>
    <w:p w14:paraId="1DB681C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内部办公需求：各部门因日常办公需要，且已获得软件使用授权；</w:t>
      </w:r>
    </w:p>
    <w:p w14:paraId="5B258D5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其他特殊需求：经公司管理层批准的临时软件使用需求。</w:t>
      </w:r>
    </w:p>
    <w:p w14:paraId="4952BDC9">
      <w:pPr>
        <w:pStyle w:val="31"/>
        <w:bidi w:val="0"/>
      </w:pPr>
      <w:bookmarkStart w:id="31" w:name="heading_13"/>
      <w:bookmarkStart w:id="32" w:name="_Toc11129"/>
      <w:r>
        <w:t>出库流程</w:t>
      </w:r>
      <w:bookmarkEnd w:id="31"/>
      <w:bookmarkEnd w:id="32"/>
    </w:p>
    <w:p w14:paraId="7F9F5C4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申请提交：领用申请人填写《最终软件库出库申请表》，明确软件名称、版本、领用数量、用途、使用期限、领用部门及责任人等信息，经部门负责人签字确认后提交至</w:t>
      </w:r>
      <w:r>
        <w:rPr>
          <w:rFonts w:hint="eastAsia"/>
          <w:lang w:eastAsia="zh-CN"/>
        </w:rPr>
        <w:t>运维部</w:t>
      </w:r>
      <w:r>
        <w:t>。</w:t>
      </w:r>
    </w:p>
    <w:p w14:paraId="7FB0B8A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权限审核：</w:t>
      </w:r>
      <w:r>
        <w:rPr>
          <w:rFonts w:hint="eastAsia"/>
          <w:lang w:eastAsia="zh-CN"/>
        </w:rPr>
        <w:t>运维部</w:t>
      </w:r>
      <w:r>
        <w:t>核对申请信息，确认领用用途符合规定且软件许可充足后，提交至软件审核人审批；对于超出常规用途的领用申请，需报分管副总批准。</w:t>
      </w:r>
    </w:p>
    <w:p w14:paraId="5D0305A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出库操作：审核通过后，</w:t>
      </w:r>
      <w:r>
        <w:rPr>
          <w:rFonts w:hint="eastAsia"/>
          <w:lang w:eastAsia="zh-CN"/>
        </w:rPr>
        <w:t>运维部</w:t>
      </w:r>
      <w:r>
        <w:t>在软件资产管理系统中记录出库信息，包括出库时间、领用部门、责任人、软件版本等，并为领用人生成唯一的领用凭证；如需物理介质交付，需由领用责任人签字确认。</w:t>
      </w:r>
    </w:p>
    <w:p w14:paraId="5CD957B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使用跟踪：领用部门及责任人需负责软件的合规使用，不得擅自复制、传播或转让；</w:t>
      </w:r>
      <w:r>
        <w:rPr>
          <w:rFonts w:hint="eastAsia"/>
          <w:lang w:eastAsia="zh-CN"/>
        </w:rPr>
        <w:t>运维部</w:t>
      </w:r>
      <w:r>
        <w:t>定期跟踪软件使用情况，对于超出使用期限的，提醒责任人办理归还或续用手续。</w:t>
      </w:r>
    </w:p>
    <w:p w14:paraId="2D007C6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归还与核销：软件使用完毕后，领用责任人需及时将软件介质（如光盘、U盘）归还至</w:t>
      </w:r>
      <w:r>
        <w:rPr>
          <w:rFonts w:hint="eastAsia"/>
          <w:lang w:val="en-US" w:eastAsia="zh-CN"/>
        </w:rPr>
        <w:t>运维部</w:t>
      </w:r>
      <w:r>
        <w:t>，</w:t>
      </w:r>
      <w:r>
        <w:rPr>
          <w:rFonts w:hint="eastAsia"/>
          <w:lang w:eastAsia="zh-CN"/>
        </w:rPr>
        <w:t>运维部</w:t>
      </w:r>
      <w:r>
        <w:t>办理入库核销手续；对于电子形式领用的软件，需确认其在非授权设备上已卸载，并在管理系统中更新使用状态。</w:t>
      </w:r>
    </w:p>
    <w:p w14:paraId="4BDCF82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4"/>
      <w:bookmarkStart w:id="34" w:name="_Toc28794"/>
      <w:r>
        <w:t>软件版本管理</w:t>
      </w:r>
      <w:bookmarkEnd w:id="33"/>
      <w:bookmarkEnd w:id="34"/>
    </w:p>
    <w:p w14:paraId="3159E9A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标识规范：软件版本需采用“主版本号.次版本号.修订号”的标准格式（如V1.2.3），其中主版本号对应重大功能升级，次版本号对应功能优化，修订号对应漏洞修复；版本信息需在软件安装包及管理系统中明确标注。</w:t>
      </w:r>
    </w:p>
    <w:p w14:paraId="07D8F20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版本控制要求：</w:t>
      </w:r>
      <w:r>
        <w:br w:type="textWrapping"/>
      </w:r>
      <w:r>
        <w:t>新版本软件入库前，需与DSL中现有版本进行比对，确认无重复后再执行入库流程，并对旧版本进行保留或归档处理；</w:t>
      </w:r>
    </w:p>
    <w:p w14:paraId="42D632A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基线版本的变更需提交变更请求（RFC），经技术评审、测试验证及审批后，方可更新为新的基线版本，旧基线版本需保留至少1年，以备回退使用；</w:t>
      </w:r>
    </w:p>
    <w:p w14:paraId="5453946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补丁程序、升级包需与对应主版本软件关联管理，明确适用版本范围，避免错用。</w:t>
      </w:r>
    </w:p>
    <w:p w14:paraId="566536C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版本追溯管理：软件资产管理系统需记录每个版本的入库时间、来源、审核人、使用记录等信息，实现版本全生命周期的可追溯；当出现软件故障时，可通过版本信息快速定位问题根源。</w:t>
      </w:r>
    </w:p>
    <w:p w14:paraId="7F83CD7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5"/>
      <w:bookmarkStart w:id="36" w:name="_Toc14529"/>
      <w:r>
        <w:t>安全与保密管理</w:t>
      </w:r>
      <w:bookmarkEnd w:id="35"/>
      <w:bookmarkEnd w:id="36"/>
    </w:p>
    <w:p w14:paraId="4A22C9A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访问控制：软件资产管理系统需建立严格的权限管理机制，为不同角色分配相应的操作权限（如</w:t>
      </w:r>
      <w:r>
        <w:rPr>
          <w:rFonts w:hint="eastAsia"/>
          <w:lang w:eastAsia="zh-CN"/>
        </w:rPr>
        <w:t>运维部</w:t>
      </w:r>
      <w:r>
        <w:t>拥有入库/出库操作权限，普通员工仅拥有查询权限），权限分配需遵循“最小必要”原则；用户密码需定期更换，确保账户安全。</w:t>
      </w:r>
    </w:p>
    <w:p w14:paraId="28245CE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数据安全：DSL服务器需安装防火墙、杀毒软件等安全防护设备，定期进行漏洞扫描和病毒查杀；软件资产数据需加密存储，备份数据需妥善保管，防止数据泄露或损坏。</w:t>
      </w:r>
    </w:p>
    <w:p w14:paraId="7E2865E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保密要求：涉及客户信息、核心业务逻辑的专用软件，需标记为“保密级别”，其入库、出库及使用需严格限制范围，相关操作记录需单独归档；禁止将保密软件泄露给外部人员或机构。</w:t>
      </w:r>
    </w:p>
    <w:p w14:paraId="2F0FD9D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应急处置：当DSL出现安全事件（如病毒入侵、数据泄露）时，</w:t>
      </w:r>
      <w:r>
        <w:rPr>
          <w:rFonts w:hint="eastAsia"/>
          <w:lang w:eastAsia="zh-CN"/>
        </w:rPr>
        <w:t>运维部</w:t>
      </w:r>
      <w:r>
        <w:t>需立即启动应急响应流程，暂停相关操作，采取隔离、清除、恢复等措施，并及时向软件审核人及管理层汇报。</w:t>
      </w:r>
    </w:p>
    <w:p w14:paraId="2E83BC5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6"/>
      <w:bookmarkStart w:id="38" w:name="_Toc13565"/>
      <w:r>
        <w:t>审计与监督</w:t>
      </w:r>
      <w:bookmarkEnd w:id="37"/>
      <w:bookmarkEnd w:id="38"/>
    </w:p>
    <w:p w14:paraId="797FA1C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定期审计：质量管理部联合信息部每半年对最终软件库管理情况进行一次全面审计，审计内容包括软件资产合法性、账实一致性、流程执行合规性、权限管理合理性等，形成《最终软件库审计报告》。</w:t>
      </w:r>
    </w:p>
    <w:p w14:paraId="4C288C8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专项审计：当发生软件资产流失、使用违规或ITSS认证检查等情况时，开展专项审计，重点核查相关软件的采购、入库、使用及报废记录，明确责任主体。</w:t>
      </w:r>
    </w:p>
    <w:p w14:paraId="441711F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问题整改：审计发现的问题需明确整改责任人及整改期限，由软件审核人跟踪整改落实情况；整改完成后，需进行复核确认，确保问题闭环管理。</w:t>
      </w:r>
    </w:p>
    <w:p w14:paraId="5AA21F73">
      <w:bookmarkStart w:id="39" w:name="heading_17"/>
      <w:r>
        <w:br w:type="page"/>
      </w:r>
    </w:p>
    <w:p w14:paraId="77FAAC8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12353"/>
      <w:r>
        <w:t>KPI指标</w:t>
      </w:r>
      <w:bookmarkEnd w:id="39"/>
      <w:bookmarkEnd w:id="4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39"/>
        <w:gridCol w:w="4252"/>
        <w:gridCol w:w="1131"/>
        <w:gridCol w:w="1277"/>
      </w:tblGrid>
      <w:tr w14:paraId="7B94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9" w:type="dxa"/>
            <w:tcMar>
              <w:top w:w="60" w:type="dxa"/>
              <w:left w:w="120" w:type="dxa"/>
              <w:bottom w:w="30" w:type="dxa"/>
              <w:right w:w="120" w:type="dxa"/>
            </w:tcMar>
          </w:tcPr>
          <w:p w14:paraId="131306D0">
            <w:r>
              <w:t>指标名称</w:t>
            </w:r>
          </w:p>
        </w:tc>
        <w:tc>
          <w:tcPr>
            <w:tcW w:w="4252" w:type="dxa"/>
            <w:tcMar>
              <w:top w:w="60" w:type="dxa"/>
              <w:left w:w="120" w:type="dxa"/>
              <w:bottom w:w="30" w:type="dxa"/>
              <w:right w:w="120" w:type="dxa"/>
            </w:tcMar>
          </w:tcPr>
          <w:p w14:paraId="7A611881">
            <w:r>
              <w:t>计算公式</w:t>
            </w:r>
          </w:p>
        </w:tc>
        <w:tc>
          <w:tcPr>
            <w:tcW w:w="1131" w:type="dxa"/>
            <w:tcMar>
              <w:top w:w="60" w:type="dxa"/>
              <w:left w:w="120" w:type="dxa"/>
              <w:bottom w:w="30" w:type="dxa"/>
              <w:right w:w="120" w:type="dxa"/>
            </w:tcMar>
          </w:tcPr>
          <w:p w14:paraId="2D67BADA">
            <w:r>
              <w:t>考核要求</w:t>
            </w:r>
          </w:p>
        </w:tc>
        <w:tc>
          <w:tcPr>
            <w:tcW w:w="1277" w:type="dxa"/>
            <w:tcMar>
              <w:top w:w="60" w:type="dxa"/>
              <w:left w:w="120" w:type="dxa"/>
              <w:bottom w:w="30" w:type="dxa"/>
              <w:right w:w="120" w:type="dxa"/>
            </w:tcMar>
          </w:tcPr>
          <w:p w14:paraId="341FCCE4">
            <w:r>
              <w:t>考核周期</w:t>
            </w:r>
          </w:p>
        </w:tc>
      </w:tr>
      <w:tr w14:paraId="520C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9" w:type="dxa"/>
            <w:tcMar>
              <w:top w:w="60" w:type="dxa"/>
              <w:left w:w="120" w:type="dxa"/>
              <w:bottom w:w="30" w:type="dxa"/>
              <w:right w:w="120" w:type="dxa"/>
            </w:tcMar>
          </w:tcPr>
          <w:p w14:paraId="670AEE0F">
            <w:r>
              <w:t>软件入库合格率</w:t>
            </w:r>
          </w:p>
        </w:tc>
        <w:tc>
          <w:tcPr>
            <w:tcW w:w="4252" w:type="dxa"/>
            <w:tcMar>
              <w:top w:w="60" w:type="dxa"/>
              <w:left w:w="120" w:type="dxa"/>
              <w:bottom w:w="30" w:type="dxa"/>
              <w:right w:w="120" w:type="dxa"/>
            </w:tcMar>
          </w:tcPr>
          <w:p w14:paraId="38B1F3BF">
            <w:r>
              <w:t>（合格入库软件数量/总入库申请数量）× 100%</w:t>
            </w:r>
          </w:p>
        </w:tc>
        <w:tc>
          <w:tcPr>
            <w:tcW w:w="1131" w:type="dxa"/>
            <w:tcMar>
              <w:top w:w="60" w:type="dxa"/>
              <w:left w:w="120" w:type="dxa"/>
              <w:bottom w:w="30" w:type="dxa"/>
              <w:right w:w="120" w:type="dxa"/>
            </w:tcMar>
          </w:tcPr>
          <w:p w14:paraId="70339135">
            <w:r>
              <w:t>≥98%</w:t>
            </w:r>
          </w:p>
        </w:tc>
        <w:tc>
          <w:tcPr>
            <w:tcW w:w="1277" w:type="dxa"/>
            <w:tcMar>
              <w:top w:w="60" w:type="dxa"/>
              <w:left w:w="120" w:type="dxa"/>
              <w:bottom w:w="30" w:type="dxa"/>
              <w:right w:w="120" w:type="dxa"/>
            </w:tcMar>
          </w:tcPr>
          <w:p w14:paraId="3A236BBF">
            <w:r>
              <w:t>季度</w:t>
            </w:r>
          </w:p>
        </w:tc>
      </w:tr>
    </w:tbl>
    <w:p w14:paraId="1AB9A82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18"/>
      <w:bookmarkStart w:id="42" w:name="_Toc24824"/>
      <w:r>
        <w:t>相关记录</w:t>
      </w:r>
      <w:bookmarkEnd w:id="41"/>
      <w:bookmarkEnd w:id="42"/>
    </w:p>
    <w:p w14:paraId="1A981EA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《最终软件库入库申请表》</w:t>
      </w:r>
    </w:p>
    <w:p w14:paraId="2DEE695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《最终软件库出库申请表》</w:t>
      </w:r>
    </w:p>
    <w:p w14:paraId="4522325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《软件入库检验记录表》</w:t>
      </w:r>
    </w:p>
    <w:p w14:paraId="77E6494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《软件资产台账》</w:t>
      </w:r>
    </w:p>
    <w:p w14:paraId="623555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《软件版本变更记录表》</w:t>
      </w:r>
    </w:p>
    <w:p w14:paraId="5CB002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《最终软件库审计报告》</w:t>
      </w:r>
    </w:p>
    <w:p w14:paraId="017AE0E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《软件领用归还核销单》</w:t>
      </w:r>
    </w:p>
    <w:p w14:paraId="5785373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《DSL运行巡检记录表》</w:t>
      </w:r>
    </w:p>
    <w:p w14:paraId="37D4D3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B1FDB"/>
    <w:multiLevelType w:val="singleLevel"/>
    <w:tmpl w:val="863B1FDB"/>
    <w:lvl w:ilvl="0" w:tentative="0">
      <w:start w:val="1"/>
      <w:numFmt w:val="decimal"/>
      <w:suff w:val="space"/>
      <w:lvlText w:val="%1."/>
      <w:lvlJc w:val="left"/>
    </w:lvl>
  </w:abstractNum>
  <w:abstractNum w:abstractNumId="1">
    <w:nsid w:val="8932D194"/>
    <w:multiLevelType w:val="singleLevel"/>
    <w:tmpl w:val="8932D194"/>
    <w:lvl w:ilvl="0" w:tentative="0">
      <w:start w:val="1"/>
      <w:numFmt w:val="decimal"/>
      <w:suff w:val="space"/>
      <w:lvlText w:val="%1."/>
      <w:lvlJc w:val="left"/>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BC3BD460"/>
    <w:multiLevelType w:val="singleLevel"/>
    <w:tmpl w:val="BC3BD460"/>
    <w:lvl w:ilvl="0" w:tentative="0">
      <w:start w:val="1"/>
      <w:numFmt w:val="decimal"/>
      <w:suff w:val="space"/>
      <w:lvlText w:val="%1."/>
      <w:lvlJc w:val="left"/>
    </w:lvl>
  </w:abstractNum>
  <w:abstractNum w:abstractNumId="4">
    <w:nsid w:val="07FA9F52"/>
    <w:multiLevelType w:val="singleLevel"/>
    <w:tmpl w:val="07FA9F52"/>
    <w:lvl w:ilvl="0" w:tentative="0">
      <w:start w:val="1"/>
      <w:numFmt w:val="decimal"/>
      <w:suff w:val="space"/>
      <w:lvlText w:val="%1."/>
      <w:lvlJc w:val="left"/>
    </w:lvl>
  </w:abstractNum>
  <w:abstractNum w:abstractNumId="5">
    <w:nsid w:val="0EB7A5CA"/>
    <w:multiLevelType w:val="singleLevel"/>
    <w:tmpl w:val="0EB7A5CA"/>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82835"/>
    <w:rsid w:val="0DD323C4"/>
    <w:rsid w:val="16702E8A"/>
    <w:rsid w:val="27606603"/>
    <w:rsid w:val="5BB4249E"/>
    <w:rsid w:val="68294213"/>
    <w:rsid w:val="6F025A3D"/>
    <w:rsid w:val="70C25205"/>
    <w:rsid w:val="76057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4"/>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标题2 Char"/>
    <w:link w:val="31"/>
    <w:uiPriority w:val="0"/>
    <w:rPr>
      <w:rFonts w:ascii="Arial" w:hAnsi="Arial" w:eastAsia="宋体"/>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4791</Words>
  <Characters>4993</Characters>
  <Lines>0</Lines>
  <Paragraphs>0</Paragraphs>
  <TotalTime>0</TotalTime>
  <ScaleCrop>false</ScaleCrop>
  <LinksUpToDate>false</LinksUpToDate>
  <CharactersWithSpaces>5542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2026-03-12T13:04:16Z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