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3C7732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0" w:name="_Toc13241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天津市华夏电缆有限公司</w:t>
      </w:r>
      <w:bookmarkEnd w:id="0"/>
    </w:p>
    <w:p w14:paraId="7AAB219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/>
        <w:textAlignment w:val="baseline"/>
        <w:rPr>
          <w:rFonts w:hint="eastAsia"/>
          <w:lang w:val="en-US" w:eastAsia="zh-CN"/>
        </w:rPr>
      </w:pPr>
      <w:bookmarkStart w:id="1" w:name="_Toc2563"/>
      <w:r>
        <w:rPr>
          <w:rFonts w:hint="eastAsia"/>
          <w:lang w:val="en-US" w:eastAsia="zh-CN"/>
        </w:rPr>
        <w:t>天津市电力公司110kV变电站电力监控系统网络安全态势感知项目-应急预案（HXDL-ITSS-1002）</w:t>
      </w:r>
      <w:bookmarkEnd w:id="1"/>
    </w:p>
    <w:p w14:paraId="4836ACBD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49CFB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262C9889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编制人</w:t>
            </w:r>
            <w:r>
              <w:rPr>
                <w:rFonts w:hint="default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赵川华</w:t>
            </w:r>
          </w:p>
        </w:tc>
        <w:tc>
          <w:tcPr>
            <w:tcW w:w="4261" w:type="dxa"/>
          </w:tcPr>
          <w:p w14:paraId="1A139EF0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编制时间:</w:t>
            </w:r>
            <w:r>
              <w:rPr>
                <w:rFonts w:hint="eastAsia"/>
                <w:u w:val="single"/>
                <w:lang w:val="en-US" w:eastAsia="zh-CN"/>
              </w:rPr>
              <w:t>2025.08.07</w:t>
            </w:r>
          </w:p>
        </w:tc>
      </w:tr>
      <w:tr w14:paraId="0F50BF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4B24390E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审核人</w:t>
            </w:r>
            <w:r>
              <w:rPr>
                <w:rFonts w:hint="default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 w14:paraId="1603D85C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编制时间:</w:t>
            </w:r>
            <w:r>
              <w:rPr>
                <w:rFonts w:hint="eastAsia"/>
                <w:u w:val="single"/>
                <w:lang w:val="en-US" w:eastAsia="zh-CN"/>
              </w:rPr>
              <w:t>2025.08.07</w:t>
            </w:r>
          </w:p>
        </w:tc>
      </w:tr>
      <w:tr w14:paraId="645A83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4F5CC7DA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批准人: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 w14:paraId="10F52265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审批时间:</w:t>
            </w:r>
            <w:r>
              <w:rPr>
                <w:rFonts w:hint="eastAsia"/>
                <w:u w:val="single"/>
                <w:lang w:val="en-US" w:eastAsia="zh-CN"/>
              </w:rPr>
              <w:t>2025.08.07</w:t>
            </w:r>
          </w:p>
        </w:tc>
      </w:tr>
    </w:tbl>
    <w:p w14:paraId="43717B3B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B24CCB8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b/>
          <w:bCs/>
        </w:rPr>
      </w:pPr>
      <w:r>
        <w:rPr>
          <w:b/>
          <w:bCs/>
        </w:rPr>
        <w:t>文件编制和变更履历</w:t>
      </w:r>
    </w:p>
    <w:tbl>
      <w:tblPr>
        <w:tblStyle w:val="27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65F5A85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0729A7E4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 w14:paraId="3B94EA6D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FC24080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793264B9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BC408C0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20668077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 w14:paraId="0403A91B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更改记录</w:t>
            </w:r>
          </w:p>
        </w:tc>
      </w:tr>
      <w:tr w14:paraId="3D4E85B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36B4F6E1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  <w:shd w:val="clear" w:color="auto" w:fill="D9D9D9"/>
          </w:tcPr>
          <w:p w14:paraId="7177CF04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作者</w:t>
            </w:r>
          </w:p>
        </w:tc>
        <w:tc>
          <w:tcPr>
            <w:tcW w:w="1274" w:type="dxa"/>
            <w:shd w:val="clear" w:color="auto" w:fill="D9D9D9"/>
          </w:tcPr>
          <w:p w14:paraId="4F77B4C1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日期</w:t>
            </w:r>
          </w:p>
        </w:tc>
        <w:tc>
          <w:tcPr>
            <w:tcW w:w="957" w:type="dxa"/>
            <w:shd w:val="clear" w:color="auto" w:fill="D9D9D9"/>
          </w:tcPr>
          <w:p w14:paraId="0583FAAF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审核</w:t>
            </w:r>
          </w:p>
        </w:tc>
        <w:tc>
          <w:tcPr>
            <w:tcW w:w="1377" w:type="dxa"/>
            <w:shd w:val="clear" w:color="auto" w:fill="D9D9D9"/>
          </w:tcPr>
          <w:p w14:paraId="38B299F9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日期</w:t>
            </w:r>
          </w:p>
        </w:tc>
        <w:tc>
          <w:tcPr>
            <w:tcW w:w="1017" w:type="dxa"/>
            <w:shd w:val="clear" w:color="auto" w:fill="D9D9D9"/>
          </w:tcPr>
          <w:p w14:paraId="6994B217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批准</w:t>
            </w:r>
          </w:p>
        </w:tc>
        <w:tc>
          <w:tcPr>
            <w:tcW w:w="1271" w:type="dxa"/>
            <w:shd w:val="clear" w:color="auto" w:fill="D9D9D9"/>
          </w:tcPr>
          <w:p w14:paraId="00387997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06876640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09A2818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7FA042C1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V1.0</w:t>
            </w:r>
          </w:p>
        </w:tc>
        <w:tc>
          <w:tcPr>
            <w:tcW w:w="881" w:type="dxa"/>
          </w:tcPr>
          <w:p w14:paraId="51B32391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赵川华</w:t>
            </w:r>
          </w:p>
        </w:tc>
        <w:tc>
          <w:tcPr>
            <w:tcW w:w="1274" w:type="dxa"/>
          </w:tcPr>
          <w:p w14:paraId="195CC320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2025.</w:t>
            </w:r>
            <w:r>
              <w:rPr>
                <w:rFonts w:hint="eastAsia"/>
                <w:lang w:val="en-US" w:eastAsia="zh-CN"/>
              </w:rPr>
              <w:t>8</w:t>
            </w:r>
            <w:r>
              <w:t>.7</w:t>
            </w:r>
          </w:p>
        </w:tc>
        <w:tc>
          <w:tcPr>
            <w:tcW w:w="957" w:type="dxa"/>
          </w:tcPr>
          <w:p w14:paraId="770B7FF5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张智宏</w:t>
            </w:r>
          </w:p>
        </w:tc>
        <w:tc>
          <w:tcPr>
            <w:tcW w:w="1377" w:type="dxa"/>
          </w:tcPr>
          <w:p w14:paraId="4CE646A6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2025.</w:t>
            </w:r>
            <w:r>
              <w:rPr>
                <w:rFonts w:hint="eastAsia"/>
                <w:lang w:val="en-US" w:eastAsia="zh-CN"/>
              </w:rPr>
              <w:t>8</w:t>
            </w:r>
            <w:r>
              <w:t>.7</w:t>
            </w:r>
          </w:p>
        </w:tc>
        <w:tc>
          <w:tcPr>
            <w:tcW w:w="1017" w:type="dxa"/>
          </w:tcPr>
          <w:p w14:paraId="5EC094C0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陈垒</w:t>
            </w:r>
          </w:p>
        </w:tc>
        <w:tc>
          <w:tcPr>
            <w:tcW w:w="1271" w:type="dxa"/>
          </w:tcPr>
          <w:p w14:paraId="5346AE3A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2025.</w:t>
            </w:r>
            <w:r>
              <w:rPr>
                <w:rFonts w:hint="eastAsia"/>
                <w:lang w:val="en-US" w:eastAsia="zh-CN"/>
              </w:rPr>
              <w:t>8</w:t>
            </w:r>
            <w:r>
              <w:t>.7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31C19AE4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首次发布</w:t>
            </w:r>
          </w:p>
        </w:tc>
      </w:tr>
      <w:tr w14:paraId="067C970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F4D6602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</w:tcPr>
          <w:p w14:paraId="63DDEEE0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4" w:type="dxa"/>
          </w:tcPr>
          <w:p w14:paraId="38889C49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57" w:type="dxa"/>
          </w:tcPr>
          <w:p w14:paraId="2B21B850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77" w:type="dxa"/>
          </w:tcPr>
          <w:p w14:paraId="04EBA957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017" w:type="dxa"/>
          </w:tcPr>
          <w:p w14:paraId="6148E51A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1" w:type="dxa"/>
          </w:tcPr>
          <w:p w14:paraId="04E778EE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08C11D02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4C4B6D7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2FA43812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0AE13962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0150ABD1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1397C5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5B25EDA5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488AE0FC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12BBEDC2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454E527F">
            <w:pPr>
              <w:pStyle w:val="2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 w14:paraId="6B88E5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6606"/>
        <w:docPartObj>
          <w:docPartGallery w:val="Table of Contents"/>
          <w:docPartUnique/>
        </w:docPartObj>
      </w:sdtPr>
      <w:sdtEndPr>
        <w:rPr>
          <w:rFonts w:hint="default" w:ascii="Arial" w:hAnsi="Arial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</w:sdtEndPr>
      <w:sdtContent>
        <w:p w14:paraId="4515BE0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D428838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TOC \o "1-3" \h \u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_Toc13241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天津市华夏电缆有限公司</w:t>
          </w:r>
          <w:r>
            <w:tab/>
          </w:r>
          <w:r>
            <w:fldChar w:fldCharType="begin"/>
          </w:r>
          <w:r>
            <w:instrText xml:space="preserve"> PAGEREF _Toc13241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79F7495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_Toc2563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天津市电力公司110kV变电站电力监控系统网络安全态势感知项目-应急预案（HXDL-ITSS-1002）</w:t>
          </w:r>
          <w:r>
            <w:tab/>
          </w:r>
          <w:r>
            <w:fldChar w:fldCharType="begin"/>
          </w:r>
          <w:r>
            <w:instrText xml:space="preserve"> PAGEREF _Toc2563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BDD50FA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_Toc8032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_Toc8032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5C6D399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_Toc2316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1.1. 编制目的</w:t>
          </w:r>
          <w:r>
            <w:tab/>
          </w:r>
          <w:r>
            <w:fldChar w:fldCharType="begin"/>
          </w:r>
          <w:r>
            <w:instrText xml:space="preserve"> PAGEREF _Toc2316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1D758EC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_Toc14193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1.2. 编制依据</w:t>
          </w:r>
          <w:r>
            <w:tab/>
          </w:r>
          <w:r>
            <w:fldChar w:fldCharType="begin"/>
          </w:r>
          <w:r>
            <w:instrText xml:space="preserve"> PAGEREF _Toc14193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C911223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_Toc28664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1.3. 适用范围</w:t>
          </w:r>
          <w:r>
            <w:tab/>
          </w:r>
          <w:r>
            <w:fldChar w:fldCharType="begin"/>
          </w:r>
          <w:r>
            <w:instrText xml:space="preserve"> PAGEREF _Toc28664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76634BC3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_Toc10610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2. 应急工作原则</w:t>
          </w:r>
          <w:r>
            <w:tab/>
          </w:r>
          <w:r>
            <w:fldChar w:fldCharType="begin"/>
          </w:r>
          <w:r>
            <w:instrText xml:space="preserve"> PAGEREF _Toc10610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79B6CFDD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_Toc2376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3. 应急组织机构及职责</w:t>
          </w:r>
          <w:r>
            <w:tab/>
          </w:r>
          <w:r>
            <w:fldChar w:fldCharType="begin"/>
          </w:r>
          <w:r>
            <w:instrText xml:space="preserve"> PAGEREF _Toc2376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48CF163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_Toc25769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3.1. 应急</w:t>
          </w:r>
          <w:r>
            <w:rPr>
              <w:rFonts w:hint="eastAsia"/>
              <w:lang w:val="en-US" w:eastAsia="zh-CN"/>
            </w:rPr>
            <w:t>管理部</w:t>
          </w:r>
          <w:r>
            <w:tab/>
          </w:r>
          <w:r>
            <w:fldChar w:fldCharType="begin"/>
          </w:r>
          <w:r>
            <w:instrText xml:space="preserve"> PAGEREF _Toc25769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75AD8645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_Toc17099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 应急响应</w:t>
          </w:r>
          <w:r>
            <w:tab/>
          </w:r>
          <w:r>
            <w:fldChar w:fldCharType="begin"/>
          </w:r>
          <w:r>
            <w:instrText xml:space="preserve"> PAGEREF _Toc17099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941710E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_Toc29894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4.1. 事件分级与响应流程</w:t>
          </w:r>
          <w:r>
            <w:tab/>
          </w:r>
          <w:r>
            <w:fldChar w:fldCharType="begin"/>
          </w:r>
          <w:r>
            <w:instrText xml:space="preserve"> PAGEREF _Toc29894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CE368A9">
          <w:pPr>
            <w:pStyle w:val="13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_Toc25127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4.1.1. 三级响应</w:t>
          </w:r>
          <w:r>
            <w:tab/>
          </w:r>
          <w:r>
            <w:fldChar w:fldCharType="begin"/>
          </w:r>
          <w:r>
            <w:instrText xml:space="preserve"> PAGEREF _Toc25127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E7D2BCB">
          <w:pPr>
            <w:pStyle w:val="13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_Toc5822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4.1.2. 二级响应</w:t>
          </w:r>
          <w:r>
            <w:tab/>
          </w:r>
          <w:r>
            <w:fldChar w:fldCharType="begin"/>
          </w:r>
          <w:r>
            <w:instrText xml:space="preserve"> PAGEREF _Toc5822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9E0324F">
          <w:pPr>
            <w:pStyle w:val="13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_Toc11962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4.1.3. 一级响应</w:t>
          </w:r>
          <w:r>
            <w:tab/>
          </w:r>
          <w:r>
            <w:fldChar w:fldCharType="begin"/>
          </w:r>
          <w:r>
            <w:instrText xml:space="preserve"> PAGEREF _Toc11962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F199850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_Toc433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响应流程图</w:t>
          </w:r>
          <w:r>
            <w:tab/>
          </w:r>
          <w:r>
            <w:fldChar w:fldCharType="begin"/>
          </w:r>
          <w:r>
            <w:instrText xml:space="preserve"> PAGEREF _Toc433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767C4EE8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_Toc17271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5. 后期处置</w:t>
          </w:r>
          <w:r>
            <w:tab/>
          </w:r>
          <w:r>
            <w:fldChar w:fldCharType="begin"/>
          </w:r>
          <w:r>
            <w:instrText xml:space="preserve"> PAGEREF _Toc17271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74E8A97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_Toc27604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6. 预案管理与更新</w:t>
          </w:r>
          <w:r>
            <w:tab/>
          </w:r>
          <w:r>
            <w:fldChar w:fldCharType="begin"/>
          </w:r>
          <w:r>
            <w:instrText xml:space="preserve"> PAGEREF _Toc27604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758E8C81">
          <w:pPr>
            <w:rPr>
              <w:rFonts w:hint="default" w:ascii="Arial" w:hAnsi="Arial" w:eastAsia="宋体" w:cs="Arial"/>
              <w:snapToGrid w:val="0"/>
              <w:color w:val="000000"/>
              <w:kern w:val="0"/>
              <w:sz w:val="21"/>
              <w:szCs w:val="21"/>
              <w:lang w:val="en-US" w:eastAsia="zh-CN" w:bidi="ar-SA"/>
            </w:rPr>
          </w:pPr>
          <w:r>
            <w:rPr>
              <w:rFonts w:hint="default"/>
              <w:lang w:val="en-US" w:eastAsia="zh-CN"/>
            </w:rPr>
            <w:fldChar w:fldCharType="end"/>
          </w:r>
        </w:p>
      </w:sdtContent>
    </w:sdt>
    <w:p w14:paraId="65BE87D3">
      <w:pPr>
        <w:rPr>
          <w:rFonts w:hint="default" w:ascii="Arial" w:hAnsi="Arial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default" w:ascii="Arial" w:hAnsi="Arial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  <w:br w:type="page"/>
      </w:r>
    </w:p>
    <w:p w14:paraId="613A2C7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8032"/>
      <w:r>
        <w:rPr>
          <w:rFonts w:hint="default"/>
          <w:lang w:val="en-US" w:eastAsia="zh-CN"/>
        </w:rPr>
        <w:t>总则</w:t>
      </w:r>
      <w:bookmarkEnd w:id="2"/>
    </w:p>
    <w:p w14:paraId="25432E6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2316"/>
      <w:r>
        <w:rPr>
          <w:rFonts w:hint="default"/>
          <w:lang w:val="en-US" w:eastAsia="zh-CN"/>
        </w:rPr>
        <w:t>编制目的</w:t>
      </w:r>
      <w:bookmarkEnd w:id="3"/>
    </w:p>
    <w:p w14:paraId="58B56E0B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为有效预防和及时、有序、高效地处置“</w:t>
      </w:r>
      <w:r>
        <w:rPr>
          <w:rFonts w:hint="eastAsia"/>
          <w:lang w:val="en-US" w:eastAsia="zh-CN"/>
        </w:rPr>
        <w:t>天津市电力公司</w:t>
      </w:r>
      <w:r>
        <w:rPr>
          <w:rFonts w:hint="default"/>
          <w:lang w:val="en-US" w:eastAsia="zh-CN"/>
        </w:rPr>
        <w:t>110kV变电站电力监控系统网络安全态势感知系统建设”项目（以下简称“本项目”）在合同执行期间可能出现的各类突发事件，明确甲乙双方</w:t>
      </w:r>
      <w:bookmarkStart w:id="17" w:name="_GoBack"/>
      <w:bookmarkEnd w:id="17"/>
      <w:r>
        <w:rPr>
          <w:rFonts w:hint="default"/>
          <w:lang w:val="en-US" w:eastAsia="zh-CN"/>
        </w:rPr>
        <w:t>的应急职责、响应程序与处置措施，最大限度地减少突发事件对项目进度、服务质量及电网网络安全造成的不利影响，保障项目顺利实施，特制定本预案。</w:t>
      </w:r>
    </w:p>
    <w:p w14:paraId="75D0097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14193"/>
      <w:r>
        <w:rPr>
          <w:rFonts w:hint="default"/>
          <w:lang w:val="en-US" w:eastAsia="zh-CN"/>
        </w:rPr>
        <w:t>编制依据</w:t>
      </w:r>
      <w:bookmarkEnd w:id="4"/>
    </w:p>
    <w:p w14:paraId="04CA2EA3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本预案主要依据甲乙双方签订的《技术服务合同》（以下简称“主合同”）及相关法律法规、技术标准编制。</w:t>
      </w:r>
    </w:p>
    <w:p w14:paraId="62399D1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28664"/>
      <w:r>
        <w:rPr>
          <w:rFonts w:hint="default"/>
          <w:lang w:val="en-US" w:eastAsia="zh-CN"/>
        </w:rPr>
        <w:t>适用范围</w:t>
      </w:r>
      <w:bookmarkEnd w:id="5"/>
    </w:p>
    <w:p w14:paraId="33D8E3D4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本预案适用于本项目自合同生效之日起至项目服务工作完成、费用结清期间，因内外部因素引发的，可能影响项目正常履行的各类突发事件的预防与应对工作。</w:t>
      </w:r>
    </w:p>
    <w:p w14:paraId="740BB53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0610"/>
      <w:r>
        <w:rPr>
          <w:rFonts w:hint="default"/>
          <w:lang w:val="en-US" w:eastAsia="zh-CN"/>
        </w:rPr>
        <w:t>应急工作原则</w:t>
      </w:r>
      <w:bookmarkEnd w:id="6"/>
    </w:p>
    <w:p w14:paraId="3AF20D8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预防为主，防处结合： 充分识别合同履行风险，提前采取预防措施。</w:t>
      </w:r>
    </w:p>
    <w:p w14:paraId="37D58E5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统一指挥，分级负责： 在应急状态下，以甲方（委托方）应急领导小组为主导，乙方（服务方）协同响应，各司其职。</w:t>
      </w:r>
    </w:p>
    <w:p w14:paraId="6344157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快速反应，协同应对： 确保信息通畅，响应迅速，形成处置合力。</w:t>
      </w:r>
    </w:p>
    <w:p w14:paraId="11DD1BB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依法合规，权责对等： 应急处置措施应符合主合同约定及国家法律法规。</w:t>
      </w:r>
    </w:p>
    <w:p w14:paraId="4F2F45A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2376"/>
      <w:r>
        <w:rPr>
          <w:rFonts w:hint="default"/>
          <w:lang w:val="en-US" w:eastAsia="zh-CN"/>
        </w:rPr>
        <w:t>应急组织机构及职责</w:t>
      </w:r>
      <w:bookmarkEnd w:id="7"/>
    </w:p>
    <w:p w14:paraId="79441D5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25769"/>
      <w:r>
        <w:rPr>
          <w:rFonts w:hint="default"/>
          <w:lang w:val="en-US" w:eastAsia="zh-CN"/>
        </w:rPr>
        <w:t>应急</w:t>
      </w:r>
      <w:r>
        <w:rPr>
          <w:rFonts w:hint="eastAsia"/>
          <w:lang w:val="en-US" w:eastAsia="zh-CN"/>
        </w:rPr>
        <w:t>管理部</w:t>
      </w:r>
      <w:bookmarkEnd w:id="8"/>
    </w:p>
    <w:p w14:paraId="1295D055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应急管理部是在发生紧急情况时临时组织的应急部门，一般由甲乙双方协商组成，应急管理部构成如下：</w:t>
      </w:r>
    </w:p>
    <w:p w14:paraId="3E86CCB2">
      <w:pPr>
        <w:pStyle w:val="4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组长：由甲方指定的项目总代表担任。</w:t>
      </w:r>
    </w:p>
    <w:p w14:paraId="264735B6">
      <w:pPr>
        <w:pStyle w:val="4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副组长：由乙方指定的现场技术负责人担任。</w:t>
      </w:r>
    </w:p>
    <w:p w14:paraId="67ED13CC">
      <w:pPr>
        <w:pStyle w:val="4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成员：甲乙双方项目主要参与人员。</w:t>
      </w:r>
    </w:p>
    <w:p w14:paraId="6598D6ED">
      <w:pPr>
        <w:pStyle w:val="4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职责：负责突发事件应急响应的统一领导、决策和指挥；批准启动或终止应急响应；协调内外部应急资源。</w:t>
      </w:r>
    </w:p>
    <w:p w14:paraId="60830A12">
      <w:pPr>
        <w:pStyle w:val="4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应急管理部成员：</w:t>
      </w:r>
      <w:r>
        <w:rPr>
          <w:rFonts w:hint="default"/>
          <w:lang w:val="en-US" w:eastAsia="zh-CN"/>
        </w:rPr>
        <w:t>执行应急领导小组的指令；负责突发事件现场的初步评估、紧急处置、情况上报；落实具体的技术补救或修复措施。</w:t>
      </w:r>
    </w:p>
    <w:p w14:paraId="53BAE98B">
      <w:pPr>
        <w:pStyle w:val="4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0BA3094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7099"/>
      <w:r>
        <w:rPr>
          <w:rFonts w:hint="default"/>
          <w:lang w:val="en-US" w:eastAsia="zh-CN"/>
        </w:rPr>
        <w:t>应急响应</w:t>
      </w:r>
      <w:bookmarkEnd w:id="9"/>
    </w:p>
    <w:p w14:paraId="25E7224E">
      <w:pPr>
        <w:pStyle w:val="31"/>
        <w:bidi w:val="0"/>
        <w:rPr>
          <w:rFonts w:hint="default"/>
          <w:lang w:val="en-US" w:eastAsia="zh-CN"/>
        </w:rPr>
      </w:pPr>
      <w:bookmarkStart w:id="10" w:name="_Toc29894"/>
      <w:r>
        <w:rPr>
          <w:rFonts w:hint="default"/>
          <w:lang w:val="en-US" w:eastAsia="zh-CN"/>
        </w:rPr>
        <w:t>事件分级与响应流程</w:t>
      </w:r>
      <w:bookmarkEnd w:id="10"/>
    </w:p>
    <w:p w14:paraId="45BF4843">
      <w:pPr>
        <w:pStyle w:val="2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根据突发事件对项目进度、服务质量及现场安全的威胁程度，分为三级：</w:t>
      </w:r>
    </w:p>
    <w:p w14:paraId="7A05B958">
      <w:pPr>
        <w:pStyle w:val="32"/>
        <w:bidi w:val="0"/>
        <w:rPr>
          <w:rFonts w:hint="default"/>
          <w:lang w:val="en-US" w:eastAsia="zh-CN"/>
        </w:rPr>
      </w:pPr>
      <w:bookmarkStart w:id="11" w:name="_Toc25127"/>
      <w:r>
        <w:rPr>
          <w:rFonts w:hint="default"/>
          <w:lang w:val="en-US" w:eastAsia="zh-CN"/>
        </w:rPr>
        <w:t>三级响应</w:t>
      </w:r>
      <w:bookmarkEnd w:id="11"/>
    </w:p>
    <w:p w14:paraId="732C176A">
      <w:pPr>
        <w:pStyle w:val="2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乙方提供的服务存在局部瑕疵或轻微不符合要求，甲方不满意但未对整体进度造成实质影响。</w:t>
      </w:r>
    </w:p>
    <w:p w14:paraId="540CDDDA">
      <w:pPr>
        <w:pStyle w:val="2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响应流程：立即书面通知乙方。乙方应在3天期限内完成改正或弥补。</w:t>
      </w:r>
    </w:p>
    <w:p w14:paraId="1C726D6E">
      <w:pPr>
        <w:pStyle w:val="32"/>
        <w:bidi w:val="0"/>
        <w:rPr>
          <w:rFonts w:hint="default"/>
          <w:lang w:val="en-US" w:eastAsia="zh-CN"/>
        </w:rPr>
      </w:pPr>
      <w:bookmarkStart w:id="12" w:name="_Toc5822"/>
      <w:r>
        <w:rPr>
          <w:rFonts w:hint="default"/>
          <w:lang w:val="en-US" w:eastAsia="zh-CN"/>
        </w:rPr>
        <w:t>二级响应</w:t>
      </w:r>
      <w:bookmarkEnd w:id="12"/>
    </w:p>
    <w:p w14:paraId="10C3A375">
      <w:pPr>
        <w:pStyle w:val="2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乙方人员、技术或管理出现严重问题，导致项目工作停滞超过3天，或可能对电力监控系统现有网络安全造成直接风险。</w:t>
      </w:r>
    </w:p>
    <w:p w14:paraId="6DD14E4B">
      <w:pPr>
        <w:pStyle w:val="2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响应流程：</w:t>
      </w:r>
      <w:r>
        <w:rPr>
          <w:rFonts w:hint="eastAsia"/>
          <w:lang w:val="en-US" w:eastAsia="zh-CN"/>
        </w:rPr>
        <w:t>应急管理部</w:t>
      </w:r>
      <w:r>
        <w:rPr>
          <w:rFonts w:hint="default"/>
          <w:lang w:val="en-US" w:eastAsia="zh-CN"/>
        </w:rPr>
        <w:t>立即介入，责令乙方限期更换不称职人员或调整技术方案。甲方有权暂停支付费用。双方需共同评估对工期的影响。</w:t>
      </w:r>
    </w:p>
    <w:p w14:paraId="3EDA6C08">
      <w:pPr>
        <w:pStyle w:val="32"/>
        <w:bidi w:val="0"/>
        <w:rPr>
          <w:rFonts w:hint="default"/>
          <w:lang w:val="en-US" w:eastAsia="zh-CN"/>
        </w:rPr>
      </w:pPr>
      <w:bookmarkStart w:id="13" w:name="_Toc11962"/>
      <w:r>
        <w:rPr>
          <w:rFonts w:hint="default"/>
          <w:lang w:val="en-US" w:eastAsia="zh-CN"/>
        </w:rPr>
        <w:t>一级响应</w:t>
      </w:r>
      <w:bookmarkEnd w:id="13"/>
    </w:p>
    <w:p w14:paraId="3B5D71DD">
      <w:pPr>
        <w:pStyle w:val="2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发生因乙方工作导致的网络安全事故、数据泄露、系统瘫痪；或发生不可抗力事件导致项目长期无法进行；或乙方在甲方给予的宽限期内仍无法提供合格服务。</w:t>
      </w:r>
    </w:p>
    <w:p w14:paraId="7934EFEC">
      <w:pPr>
        <w:pStyle w:val="2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响应流程：</w:t>
      </w:r>
      <w:r>
        <w:rPr>
          <w:rFonts w:hint="eastAsia"/>
          <w:lang w:val="en-US" w:eastAsia="zh-CN"/>
        </w:rPr>
        <w:t>应急管理部</w:t>
      </w:r>
      <w:r>
        <w:rPr>
          <w:rFonts w:hint="default"/>
          <w:lang w:val="en-US" w:eastAsia="zh-CN"/>
        </w:rPr>
        <w:t>启动最高级别响应，全面评估损失与风险。甲方有权采取一切必要措施防止损失扩大，包括但不限于部分或全部终止合同。同时，依据合同处理后续事宜。</w:t>
      </w:r>
    </w:p>
    <w:p w14:paraId="44DB292E">
      <w:pPr>
        <w:pStyle w:val="31"/>
        <w:bidi w:val="0"/>
        <w:rPr>
          <w:rFonts w:hint="default"/>
          <w:lang w:val="en-US" w:eastAsia="zh-CN"/>
        </w:rPr>
      </w:pPr>
      <w:bookmarkStart w:id="14" w:name="_Toc433"/>
      <w:r>
        <w:rPr>
          <w:rFonts w:hint="eastAsia"/>
          <w:lang w:val="en-US" w:eastAsia="zh-CN"/>
        </w:rPr>
        <w:t>响应流程图</w:t>
      </w:r>
      <w:bookmarkEnd w:id="14"/>
    </w:p>
    <w:p w14:paraId="76AFAE60">
      <w:pPr>
        <w:pStyle w:val="26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463.2pt;width:193.2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PBrush" ShapeID="_x0000_i1025" DrawAspect="Content" ObjectID="_1468075725" r:id="rId7">
            <o:LockedField>false</o:LockedField>
          </o:OLEObject>
        </w:object>
      </w:r>
    </w:p>
    <w:p w14:paraId="5496796D">
      <w:pPr>
        <w:pStyle w:val="30"/>
        <w:bidi w:val="0"/>
        <w:rPr>
          <w:rFonts w:hint="default"/>
          <w:lang w:val="en-US" w:eastAsia="zh-CN"/>
        </w:rPr>
      </w:pPr>
      <w:bookmarkStart w:id="15" w:name="_Toc17271"/>
      <w:r>
        <w:rPr>
          <w:rFonts w:hint="default"/>
          <w:lang w:val="en-US" w:eastAsia="zh-CN"/>
        </w:rPr>
        <w:t>后期处置</w:t>
      </w:r>
      <w:bookmarkEnd w:id="15"/>
    </w:p>
    <w:p w14:paraId="41BFAC9B">
      <w:pPr>
        <w:pStyle w:val="26"/>
        <w:numPr>
          <w:ilvl w:val="0"/>
          <w:numId w:val="2"/>
        </w:numPr>
        <w:ind w:left="425" w:leftChars="0" w:right="0" w:rightChars="0" w:hanging="425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调查与评估：事件处置完毕后，</w:t>
      </w:r>
      <w:r>
        <w:rPr>
          <w:rFonts w:hint="eastAsia"/>
          <w:lang w:val="en-US" w:eastAsia="zh-CN"/>
        </w:rPr>
        <w:t>应急管理部</w:t>
      </w:r>
      <w:r>
        <w:rPr>
          <w:rFonts w:hint="default"/>
          <w:lang w:val="en-US" w:eastAsia="zh-CN"/>
        </w:rPr>
        <w:t>应组织调查，分析原因，评估损失，划分责任。</w:t>
      </w:r>
    </w:p>
    <w:p w14:paraId="3A1A0128">
      <w:pPr>
        <w:pStyle w:val="26"/>
        <w:numPr>
          <w:ilvl w:val="0"/>
          <w:numId w:val="2"/>
        </w:numPr>
        <w:ind w:left="425" w:leftChars="0" w:right="0" w:rightChars="0" w:hanging="425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恢复与改进：乙方须根据调查结论，制定并落实整改措施，防止同类事件再次发生。项目工作应在确保安全的前提下尽快恢复。</w:t>
      </w:r>
    </w:p>
    <w:p w14:paraId="686AB063">
      <w:pPr>
        <w:pStyle w:val="26"/>
        <w:numPr>
          <w:ilvl w:val="0"/>
          <w:numId w:val="2"/>
        </w:numPr>
        <w:ind w:left="425" w:leftChars="0" w:right="0" w:rightChars="0" w:hanging="425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合同履行变更：如事件导致工期延误或费用增加，双方应依据合同原则及事件责任协商签订补充协议。</w:t>
      </w:r>
    </w:p>
    <w:p w14:paraId="246E1D45">
      <w:pPr>
        <w:pStyle w:val="30"/>
        <w:bidi w:val="0"/>
        <w:rPr>
          <w:rFonts w:hint="default"/>
          <w:lang w:val="en-US" w:eastAsia="zh-CN"/>
        </w:rPr>
      </w:pPr>
      <w:bookmarkStart w:id="16" w:name="_Toc27604"/>
      <w:r>
        <w:rPr>
          <w:rFonts w:hint="default"/>
          <w:lang w:val="en-US" w:eastAsia="zh-CN"/>
        </w:rPr>
        <w:t>预案管理与更新</w:t>
      </w:r>
      <w:bookmarkEnd w:id="16"/>
    </w:p>
    <w:p w14:paraId="720212FE">
      <w:pPr>
        <w:pStyle w:val="26"/>
        <w:ind w:left="0" w:leftChars="0" w:right="0" w:righ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本预案由甲方组织制定，经双方确认后，作为主合同的有效附件，与主合同具有同等法律效力。</w:t>
      </w:r>
    </w:p>
    <w:p w14:paraId="329A1F2F">
      <w:pPr>
        <w:pStyle w:val="26"/>
        <w:ind w:left="0" w:leftChars="0" w:right="0" w:righ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本预案应根据项目实际执行情况、演练发现的问题及法律法规变化，由应急领导小组组织定期评审和修订。</w:t>
      </w:r>
    </w:p>
    <w:p w14:paraId="5BEF34FA">
      <w:pPr>
        <w:pStyle w:val="26"/>
        <w:ind w:left="0" w:leftChars="0" w:right="0" w:righ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本预案的解释权归甲乙双方共同所有，自双方盖章之日起生效。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0DDA553"/>
    <w:multiLevelType w:val="singleLevel"/>
    <w:tmpl w:val="E0DDA55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145195"/>
    <w:rsid w:val="26BB5A5B"/>
    <w:rsid w:val="55EE0E1C"/>
    <w:rsid w:val="5E701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26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8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0">
    <w:name w:val="柴_标题1"/>
    <w:basedOn w:val="2"/>
    <w:next w:val="26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标题2"/>
    <w:basedOn w:val="3"/>
    <w:next w:val="2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26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6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wmf"/><Relationship Id="rId7" Type="http://schemas.openxmlformats.org/officeDocument/2006/relationships/oleObject" Target="embeddings/oleObject1.bin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1630</Words>
  <Characters>1761</Characters>
  <Lines>0</Lines>
  <Paragraphs>0</Paragraphs>
  <TotalTime>0</TotalTime>
  <ScaleCrop>false</ScaleCrop>
  <LinksUpToDate>false</LinksUpToDate>
  <CharactersWithSpaces>1831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2026-03-08T08:52:24Z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0D32182671224755A6D4CE835A5A6EA6_12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