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557B2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</w:p>
    <w:p w14:paraId="310991B7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天津市电力公司110kV变电站电力监控系统网络安全态势感知项目-应急演练计划（HXDL-ITSS-1004）</w:t>
      </w:r>
    </w:p>
    <w:p w14:paraId="0AAEBD33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tbl>
      <w:tblPr>
        <w:tblStyle w:val="3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1421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43B59F73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 w14:paraId="47AB1FF5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  <w:tr w14:paraId="3AEB4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27EF397A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1F442ED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  <w:tr w14:paraId="4E151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59C84FD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批准人: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3CCF6AF7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审批时间: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</w:tbl>
    <w:p w14:paraId="6F2F5FAA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D2F5EA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文件编制和变更履历</w:t>
      </w:r>
    </w:p>
    <w:tbl>
      <w:tblPr>
        <w:tblStyle w:val="44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231394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06EEDEE3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0675B6C0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4B7F36BF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6088C78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6E04B1F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7E33720D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68DB9061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更改记录</w:t>
            </w:r>
          </w:p>
        </w:tc>
      </w:tr>
      <w:tr w14:paraId="795272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2FAA1EC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shd w:val="clear" w:color="auto" w:fill="D9D9D9"/>
          </w:tcPr>
          <w:p w14:paraId="57F99B66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作者</w:t>
            </w:r>
          </w:p>
        </w:tc>
        <w:tc>
          <w:tcPr>
            <w:tcW w:w="1274" w:type="dxa"/>
            <w:shd w:val="clear" w:color="auto" w:fill="D9D9D9"/>
          </w:tcPr>
          <w:p w14:paraId="231E62B7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957" w:type="dxa"/>
            <w:shd w:val="clear" w:color="auto" w:fill="D9D9D9"/>
          </w:tcPr>
          <w:p w14:paraId="396B30FC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审核</w:t>
            </w:r>
          </w:p>
        </w:tc>
        <w:tc>
          <w:tcPr>
            <w:tcW w:w="1377" w:type="dxa"/>
            <w:shd w:val="clear" w:color="auto" w:fill="D9D9D9"/>
          </w:tcPr>
          <w:p w14:paraId="44AFC615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1017" w:type="dxa"/>
            <w:shd w:val="clear" w:color="auto" w:fill="D9D9D9"/>
          </w:tcPr>
          <w:p w14:paraId="11147F95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F3B026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7BB8FEB5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41E1E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67EEB1A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V1.0</w:t>
            </w:r>
          </w:p>
        </w:tc>
        <w:tc>
          <w:tcPr>
            <w:tcW w:w="881" w:type="dxa"/>
          </w:tcPr>
          <w:p w14:paraId="086B9CC3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赵川华</w:t>
            </w:r>
          </w:p>
        </w:tc>
        <w:tc>
          <w:tcPr>
            <w:tcW w:w="1274" w:type="dxa"/>
          </w:tcPr>
          <w:p w14:paraId="1A0AF110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957" w:type="dxa"/>
          </w:tcPr>
          <w:p w14:paraId="0E73C4FD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张智宏</w:t>
            </w:r>
          </w:p>
        </w:tc>
        <w:tc>
          <w:tcPr>
            <w:tcW w:w="1377" w:type="dxa"/>
          </w:tcPr>
          <w:p w14:paraId="151FC0B3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017" w:type="dxa"/>
          </w:tcPr>
          <w:p w14:paraId="20A228F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陈垒</w:t>
            </w:r>
          </w:p>
        </w:tc>
        <w:tc>
          <w:tcPr>
            <w:tcW w:w="1271" w:type="dxa"/>
          </w:tcPr>
          <w:p w14:paraId="159D67E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617E0265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首次发布</w:t>
            </w:r>
          </w:p>
        </w:tc>
      </w:tr>
      <w:tr w14:paraId="6E4069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2639D77C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</w:tcPr>
          <w:p w14:paraId="28255CC6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</w:tcPr>
          <w:p w14:paraId="30E2F08A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</w:tcPr>
          <w:p w14:paraId="06D41CAC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</w:tcPr>
          <w:p w14:paraId="741ABD67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</w:tcPr>
          <w:p w14:paraId="01E5C50C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</w:tcPr>
          <w:p w14:paraId="34D039AB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372ADE86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EF6A4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1F28647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49CF2816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2B3705C4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77986D9D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6D911874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7D27B0E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64BDD12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22D3296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175092E6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592723C">
      <w:pPr>
        <w:pStyle w:val="4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演练目的</w:t>
      </w:r>
    </w:p>
    <w:p w14:paraId="66986718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检验《合同执行专项应急预案》及《应急实施方案》的完整性、合理性与可操作性。</w:t>
      </w:r>
    </w:p>
    <w:p w14:paraId="2E5D14E6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锻炼并提升甲乙双方项目团队在合同执行期间的应急协作、信息沟通与快速决策能力。</w:t>
      </w:r>
    </w:p>
    <w:p w14:paraId="069946A0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验证应急联络机制的有效性，熟悉三级响应流程，特别是合同</w:t>
      </w:r>
      <w:r>
        <w:rPr>
          <w:rFonts w:hint="eastAsia"/>
          <w:lang w:val="en-US" w:eastAsia="zh-CN"/>
        </w:rPr>
        <w:t>约定的“</w:t>
      </w:r>
      <w:bookmarkStart w:id="0" w:name="_GoBack"/>
      <w:bookmarkEnd w:id="0"/>
      <w:r>
        <w:rPr>
          <w:rFonts w:hint="default"/>
          <w:lang w:val="en-US" w:eastAsia="zh-CN"/>
        </w:rPr>
        <w:t>改正通知与费用暂停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的实际应用。</w:t>
      </w:r>
    </w:p>
    <w:p w14:paraId="0CD3B81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识别现有应急流程中的薄弱环节，为预案和方案的修订提供实践依据。</w:t>
      </w:r>
    </w:p>
    <w:p w14:paraId="1F0A49A5">
      <w:pPr>
        <w:pStyle w:val="4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演练目标</w:t>
      </w:r>
    </w:p>
    <w:p w14:paraId="2594146B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流程目标：确保在演练触发后30分钟内，双方应急总代表完成对接并启动相应级别的响应流程。</w:t>
      </w:r>
    </w:p>
    <w:p w14:paraId="1684E0E2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沟通目标：模拟完成一次完整的“事件上报-分析决策-指令下达-处置反馈”闭环，文书传递准确率100%。</w:t>
      </w:r>
    </w:p>
    <w:p w14:paraId="0D7BBB68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处置目标：针对模拟场景，乙方能按规定时限（如三级响应的3天内）提交符合要求的《纠正措施计划》。</w:t>
      </w:r>
    </w:p>
    <w:p w14:paraId="6466B094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评估目标：演练结束后，双方能共同完成一份包含至少3项实质性改进建议的《演练评估报告》。</w:t>
      </w:r>
    </w:p>
    <w:p w14:paraId="6ED04D37">
      <w:pPr>
        <w:pStyle w:val="4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演练场景设计</w:t>
      </w:r>
    </w:p>
    <w:p w14:paraId="49794A3D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场景主题： “二级响应”模拟——乙方现场测试操作不当引发网络安全告警</w:t>
      </w:r>
    </w:p>
    <w:p w14:paraId="0D4430D6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模拟事件： 乙方技术人员在未充分沟通的情况下，于某110kV变电站进行模拟攻击测试，触发调度主站网络安全监测平台产生“异常高频扫描”高级别告警，甲方驻场人员被供电局质询，项目面临暂停风险。</w:t>
      </w:r>
    </w:p>
    <w:p w14:paraId="7EBA7B1E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核心矛盾： 事件暴露乙方操作流程不规范、甲方监督不到位，需立即启动应急程序控制事态、厘清责任、恢复信任。</w:t>
      </w:r>
    </w:p>
    <w:p w14:paraId="2B889447">
      <w:pPr>
        <w:pStyle w:val="4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演练时间、地点与参与人员</w:t>
      </w:r>
    </w:p>
    <w:p w14:paraId="23210ED1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时间： 2025年9月10日（星期三），上午 9:00 - 11:30（总时长2.5小时）</w:t>
      </w:r>
    </w:p>
    <w:p w14:paraId="471E66A8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（备选日期：2025年9月3日或9月17日。建议选择项目阶段性工作完成后的相对平缓期进行。）</w:t>
      </w:r>
    </w:p>
    <w:p w14:paraId="16844EE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地点： 甲方项目部会议室（主演练场）、乙方现场办公室（分演练场）</w:t>
      </w:r>
    </w:p>
    <w:p w14:paraId="4252A0BC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参与人员及角色：</w:t>
      </w:r>
    </w:p>
    <w:p w14:paraId="1C60DBBB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甲方：项目总代表（应急组长）李峰、技术负责人王伟、现场监理张明（参演）。</w:t>
      </w:r>
    </w:p>
    <w:p w14:paraId="02A0D150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乙方：现场负责人赵强（应急副组长）、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工程师陈浩（参演）。</w:t>
      </w:r>
    </w:p>
    <w:p w14:paraId="4F31CD37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控制与评估：甲方项目经理刘涛（控制），双方各指定记录员一名。</w:t>
      </w:r>
    </w:p>
    <w:p w14:paraId="5A97A0A0">
      <w:pPr>
        <w:pStyle w:val="4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演练阶段与日程安排（2025年9月10日）</w:t>
      </w:r>
    </w:p>
    <w:tbl>
      <w:tblPr>
        <w:tblStyle w:val="3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6"/>
        <w:gridCol w:w="1273"/>
        <w:gridCol w:w="4043"/>
        <w:gridCol w:w="791"/>
        <w:gridCol w:w="1525"/>
      </w:tblGrid>
      <w:tr w14:paraId="3BC99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75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3EEC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12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2849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40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3B91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主要活动</w:t>
            </w:r>
          </w:p>
        </w:tc>
        <w:tc>
          <w:tcPr>
            <w:tcW w:w="7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B5B3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负责方</w:t>
            </w:r>
          </w:p>
        </w:tc>
        <w:tc>
          <w:tcPr>
            <w:tcW w:w="152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573B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产出/目标</w:t>
            </w:r>
          </w:p>
        </w:tc>
      </w:tr>
      <w:tr w14:paraId="4D58A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5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4F61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准备与启动</w:t>
            </w:r>
          </w:p>
        </w:tc>
        <w:tc>
          <w:tcPr>
            <w:tcW w:w="12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FAAF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9:00-9:15</w:t>
            </w:r>
          </w:p>
        </w:tc>
        <w:tc>
          <w:tcPr>
            <w:tcW w:w="40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EB2E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全体参与人员集合，明确演练规则（“是演练不是演戏”，保密要求）。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控制组介绍演练场景与初始条件。</w:t>
            </w:r>
          </w:p>
        </w:tc>
        <w:tc>
          <w:tcPr>
            <w:tcW w:w="7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B01A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</w:t>
            </w:r>
          </w:p>
        </w:tc>
        <w:tc>
          <w:tcPr>
            <w:tcW w:w="152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DE7C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所有人员进入状态，理解背景。</w:t>
            </w:r>
          </w:p>
        </w:tc>
      </w:tr>
      <w:tr w14:paraId="26650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5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E892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事件发生与报告</w:t>
            </w:r>
          </w:p>
        </w:tc>
        <w:tc>
          <w:tcPr>
            <w:tcW w:w="12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F745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9:15-9:30</w:t>
            </w:r>
          </w:p>
        </w:tc>
        <w:tc>
          <w:tcPr>
            <w:tcW w:w="40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A587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控制组向甲方“参演组”发布第一条信息：“接到供电局电话，质询某站异常扫描告警”。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甲方参演组按照《实施方案》2.2条，在15分钟内向甲方“指挥组”及乙方现场负责人报告。</w:t>
            </w:r>
          </w:p>
        </w:tc>
        <w:tc>
          <w:tcPr>
            <w:tcW w:w="7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5B71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</w:t>
            </w:r>
          </w:p>
        </w:tc>
        <w:tc>
          <w:tcPr>
            <w:tcW w:w="152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0E02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触发应急流程，检验初始报告时效。</w:t>
            </w:r>
          </w:p>
        </w:tc>
      </w:tr>
      <w:tr w14:paraId="34B95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5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BA2B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初步评估与响应升级</w:t>
            </w:r>
          </w:p>
        </w:tc>
        <w:tc>
          <w:tcPr>
            <w:tcW w:w="12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0F9D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9:30-10:00</w:t>
            </w:r>
          </w:p>
        </w:tc>
        <w:tc>
          <w:tcPr>
            <w:tcW w:w="40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50F0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双方应急总代表紧急通话/会议，核实情况。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2. </w:t>
            </w: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决策点：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 根据事件性质（造成外部质询、潜在安全风险），一致决定</w:t>
            </w: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启动二级响应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甲方总代表</w:t>
            </w: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正式签发书面通知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，宣布暂停付款并限期要求乙方报告（依据合同7.2条及方案3.2条）。</w:t>
            </w:r>
          </w:p>
        </w:tc>
        <w:tc>
          <w:tcPr>
            <w:tcW w:w="7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9084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</w:t>
            </w:r>
          </w:p>
        </w:tc>
        <w:tc>
          <w:tcPr>
            <w:tcW w:w="152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B045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做出二级响应决策，并执行合同关键条款。</w:t>
            </w:r>
          </w:p>
        </w:tc>
      </w:tr>
      <w:tr w14:paraId="318CB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5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473D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乙方处置与报告</w:t>
            </w:r>
          </w:p>
        </w:tc>
        <w:tc>
          <w:tcPr>
            <w:tcW w:w="12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A432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10:00-10:30</w:t>
            </w:r>
          </w:p>
        </w:tc>
        <w:tc>
          <w:tcPr>
            <w:tcW w:w="40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4C57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乙方内部调查，分析“违规操作”原因。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乙方在规定时限（模拟压缩为30分钟）内，向甲方提交《事件原因分析报告》及《纠正与预防措施计划》草案。</w:t>
            </w:r>
          </w:p>
        </w:tc>
        <w:tc>
          <w:tcPr>
            <w:tcW w:w="7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4DB4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152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BDC6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检验乙方的问题分析与整改规划能力。</w:t>
            </w:r>
          </w:p>
        </w:tc>
      </w:tr>
      <w:tr w14:paraId="0679F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5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1868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甲方评估与决策</w:t>
            </w:r>
          </w:p>
        </w:tc>
        <w:tc>
          <w:tcPr>
            <w:tcW w:w="12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D2C4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10:30-10:50</w:t>
            </w:r>
          </w:p>
        </w:tc>
        <w:tc>
          <w:tcPr>
            <w:tcW w:w="40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09A7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甲方指挥组审查乙方提交的文件。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2. </w:t>
            </w: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决策点：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 评估措施是否可接受？是否同意恢复工作？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模拟双方签署《情况说明及复工确认书》。</w:t>
            </w:r>
          </w:p>
        </w:tc>
        <w:tc>
          <w:tcPr>
            <w:tcW w:w="7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B916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</w:t>
            </w:r>
          </w:p>
        </w:tc>
        <w:tc>
          <w:tcPr>
            <w:tcW w:w="152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6E4D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检验甲方的评估与决策流程。</w:t>
            </w:r>
          </w:p>
        </w:tc>
      </w:tr>
      <w:tr w14:paraId="44B52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5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9DA8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演练总结与评估</w:t>
            </w:r>
          </w:p>
        </w:tc>
        <w:tc>
          <w:tcPr>
            <w:tcW w:w="12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1FD1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10:50-11:30</w:t>
            </w:r>
          </w:p>
        </w:tc>
        <w:tc>
          <w:tcPr>
            <w:tcW w:w="40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E34D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全体参与人员复盘，自由发言。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评估记录组汇报观察结果。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双方共同讨论存在的问题与改进项。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明确《演练评估报告》编写分工与完成时限。</w:t>
            </w:r>
          </w:p>
        </w:tc>
        <w:tc>
          <w:tcPr>
            <w:tcW w:w="7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035F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全体人员</w:t>
            </w:r>
          </w:p>
        </w:tc>
        <w:tc>
          <w:tcPr>
            <w:tcW w:w="152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6FBC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形成改进清单，明确报告撰写责任。</w:t>
            </w:r>
          </w:p>
        </w:tc>
      </w:tr>
    </w:tbl>
    <w:p w14:paraId="6E00B8A1">
      <w:pPr>
        <w:pStyle w:val="4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准备工作清单（2025年8月-9月）</w:t>
      </w:r>
    </w:p>
    <w:p w14:paraId="753026CC">
      <w:pPr>
        <w:pStyle w:val="4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2025年8月25日前：最终确定本计划，并发给所有参与人员预读。</w:t>
      </w:r>
    </w:p>
    <w:p w14:paraId="63E1FAEC">
      <w:pPr>
        <w:pStyle w:val="4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2025年9月8日前：准备并打印演练所需文书模板（《通知单》、《纠正措施计划》、《确认书》空白件）。</w:t>
      </w:r>
    </w:p>
    <w:p w14:paraId="32C37E6E">
      <w:pPr>
        <w:pStyle w:val="4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2025年9月9日前：召开演练预备会，确认角色、通讯方式及后勤安排；检查演练场地、通讯设备（电话、会议系统）确保可用。</w:t>
      </w:r>
    </w:p>
    <w:p w14:paraId="24E692A5">
      <w:pPr>
        <w:pStyle w:val="4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2025年9月10日当天：设立演练专用区域，确保环境不受干扰。</w:t>
      </w:r>
    </w:p>
    <w:p w14:paraId="6EAA06CC">
      <w:pPr>
        <w:pStyle w:val="4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演练评估与总结要求</w:t>
      </w:r>
    </w:p>
    <w:p w14:paraId="0DFFF885">
      <w:pPr>
        <w:pStyle w:val="4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演练结束后3个工作日内（即2025年9月15日前），由双方评估记录组共同起草完成《应急演练评估报告》，内容需包括：</w:t>
      </w:r>
    </w:p>
    <w:p w14:paraId="2D4DEAF3">
      <w:pPr>
        <w:pStyle w:val="4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演练概述（时间、地点、场景、人员）。</w:t>
      </w:r>
    </w:p>
    <w:p w14:paraId="7A2EDC0B">
      <w:pPr>
        <w:pStyle w:val="4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各项目标达成情况评估。</w:t>
      </w:r>
    </w:p>
    <w:p w14:paraId="58203B19">
      <w:pPr>
        <w:pStyle w:val="4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亮点与存在问题（重点分析流程、沟通、决策环节的实效性）。</w:t>
      </w:r>
    </w:p>
    <w:p w14:paraId="27A970F4">
      <w:pPr>
        <w:pStyle w:val="4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具体改进建议（至少针对预案、方案、合同管理或日常沟通提出3项可落实的改进项）。</w:t>
      </w:r>
    </w:p>
    <w:p w14:paraId="31DFBD3A">
      <w:pPr>
        <w:pStyle w:val="4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结论与后续行动计划（如修订文件、组织培训等，并明确完成时限）。</w:t>
      </w:r>
    </w:p>
    <w:p w14:paraId="61FA1711">
      <w:pPr>
        <w:pStyle w:val="43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9A7605"/>
    <w:rsid w:val="13250FB0"/>
    <w:rsid w:val="15724254"/>
    <w:rsid w:val="1BC11A92"/>
    <w:rsid w:val="1FF561AE"/>
    <w:rsid w:val="24DB0CEF"/>
    <w:rsid w:val="2CDD77DB"/>
    <w:rsid w:val="308D0B74"/>
    <w:rsid w:val="375869AC"/>
    <w:rsid w:val="38B16CBE"/>
    <w:rsid w:val="404F66E9"/>
    <w:rsid w:val="5613290E"/>
    <w:rsid w:val="598E0A6A"/>
    <w:rsid w:val="6F881820"/>
    <w:rsid w:val="75114065"/>
    <w:rsid w:val="779F3BAA"/>
    <w:rsid w:val="7A39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2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Salutation"/>
    <w:basedOn w:val="1"/>
    <w:next w:val="1"/>
    <w:qFormat/>
    <w:uiPriority w:val="0"/>
  </w:style>
  <w:style w:type="paragraph" w:styleId="1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left="100" w:leftChars="2500"/>
    </w:pPr>
  </w:style>
  <w:style w:type="paragraph" w:styleId="17">
    <w:name w:val="endnote text"/>
    <w:basedOn w:val="1"/>
    <w:qFormat/>
    <w:uiPriority w:val="0"/>
    <w:pPr>
      <w:snapToGrid w:val="0"/>
      <w:jc w:val="left"/>
    </w:pPr>
  </w:style>
  <w:style w:type="paragraph" w:styleId="18">
    <w:name w:val="Balloon Text"/>
    <w:basedOn w:val="1"/>
    <w:qFormat/>
    <w:uiPriority w:val="0"/>
    <w:rPr>
      <w:sz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0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21">
    <w:name w:val="Signature"/>
    <w:basedOn w:val="1"/>
    <w:qFormat/>
    <w:uiPriority w:val="0"/>
    <w:pPr>
      <w:ind w:left="100" w:leftChars="2100"/>
    </w:pPr>
  </w:style>
  <w:style w:type="paragraph" w:styleId="22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23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24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29">
    <w:name w:val="annotation subject"/>
    <w:basedOn w:val="12"/>
    <w:next w:val="12"/>
    <w:qFormat/>
    <w:uiPriority w:val="0"/>
    <w:rPr>
      <w:b/>
    </w:rPr>
  </w:style>
  <w:style w:type="table" w:styleId="31">
    <w:name w:val="Table Grid"/>
    <w:basedOn w:val="3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0"/>
    <w:rPr>
      <w:b/>
    </w:rPr>
  </w:style>
  <w:style w:type="character" w:styleId="34">
    <w:name w:val="endnote reference"/>
    <w:basedOn w:val="32"/>
    <w:qFormat/>
    <w:uiPriority w:val="0"/>
    <w:rPr>
      <w:vertAlign w:val="superscript"/>
    </w:rPr>
  </w:style>
  <w:style w:type="character" w:styleId="35">
    <w:name w:val="page number"/>
    <w:basedOn w:val="32"/>
    <w:qFormat/>
    <w:uiPriority w:val="0"/>
  </w:style>
  <w:style w:type="character" w:styleId="36">
    <w:name w:val="FollowedHyperlink"/>
    <w:basedOn w:val="32"/>
    <w:qFormat/>
    <w:uiPriority w:val="0"/>
    <w:rPr>
      <w:color w:val="800080"/>
      <w:u w:val="single"/>
    </w:rPr>
  </w:style>
  <w:style w:type="character" w:styleId="37">
    <w:name w:val="Emphasis"/>
    <w:basedOn w:val="32"/>
    <w:qFormat/>
    <w:uiPriority w:val="0"/>
    <w:rPr>
      <w:i/>
    </w:rPr>
  </w:style>
  <w:style w:type="character" w:styleId="38">
    <w:name w:val="Hyperlink"/>
    <w:basedOn w:val="32"/>
    <w:qFormat/>
    <w:uiPriority w:val="0"/>
    <w:rPr>
      <w:color w:val="0000FF"/>
      <w:u w:val="single"/>
    </w:rPr>
  </w:style>
  <w:style w:type="character" w:styleId="39">
    <w:name w:val="annotation reference"/>
    <w:basedOn w:val="32"/>
    <w:qFormat/>
    <w:uiPriority w:val="0"/>
    <w:rPr>
      <w:sz w:val="21"/>
    </w:rPr>
  </w:style>
  <w:style w:type="character" w:styleId="40">
    <w:name w:val="footnote reference"/>
    <w:basedOn w:val="32"/>
    <w:qFormat/>
    <w:uiPriority w:val="0"/>
    <w:rPr>
      <w:vertAlign w:val="superscript"/>
    </w:rPr>
  </w:style>
  <w:style w:type="paragraph" w:customStyle="1" w:styleId="41">
    <w:name w:val="柴_公司名"/>
    <w:basedOn w:val="28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42">
    <w:name w:val="柴_文档名"/>
    <w:basedOn w:val="28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43">
    <w:name w:val="柴_正文"/>
    <w:basedOn w:val="14"/>
    <w:link w:val="59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table" w:customStyle="1" w:styleId="4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47">
    <w:name w:val="柴_标题1"/>
    <w:basedOn w:val="2"/>
    <w:next w:val="43"/>
    <w:link w:val="56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48">
    <w:name w:val="柴_标题2"/>
    <w:basedOn w:val="3"/>
    <w:next w:val="43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49">
    <w:name w:val="柴_标题3"/>
    <w:basedOn w:val="4"/>
    <w:next w:val="43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50">
    <w:name w:val="柴_目录"/>
    <w:basedOn w:val="1"/>
    <w:next w:val="14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51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2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3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4">
    <w:name w:val="Compact"/>
    <w:basedOn w:val="14"/>
    <w:qFormat/>
    <w:uiPriority w:val="0"/>
    <w:pPr>
      <w:spacing w:before="36" w:after="36"/>
    </w:pPr>
  </w:style>
  <w:style w:type="table" w:customStyle="1" w:styleId="5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56">
    <w:name w:val="柴_标题1 Char"/>
    <w:link w:val="47"/>
    <w:qFormat/>
    <w:uiPriority w:val="0"/>
    <w:rPr>
      <w:rFonts w:ascii="Arial" w:hAnsi="Arial" w:eastAsia="宋体"/>
      <w:sz w:val="32"/>
    </w:rPr>
  </w:style>
  <w:style w:type="paragraph" w:customStyle="1" w:styleId="57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58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59">
    <w:name w:val="柴_正文 Char"/>
    <w:link w:val="43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1873</Words>
  <Characters>2075</Characters>
  <Lines>0</Lines>
  <Paragraphs>0</Paragraphs>
  <TotalTime>2</TotalTime>
  <ScaleCrop>false</ScaleCrop>
  <LinksUpToDate>false</LinksUpToDate>
  <CharactersWithSpaces>2108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2026-03-08T08:53:33Z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