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89968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bookmarkStart w:id="1" w:name="_Toc31414"/>
      <w:r>
        <w:drawing>
          <wp:anchor distT="0" distB="0" distL="114300" distR="114300" simplePos="0" relativeHeight="251659264" behindDoc="1" locked="0" layoutInCell="1" allowOverlap="1">
            <wp:simplePos x="0" y="0"/>
            <wp:positionH relativeFrom="column">
              <wp:posOffset>-1186815</wp:posOffset>
            </wp:positionH>
            <wp:positionV relativeFrom="paragraph">
              <wp:posOffset>30480</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bookmarkEnd w:id="1"/>
    </w:p>
    <w:p w14:paraId="35695EB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22907"/>
      <w:r>
        <w:rPr>
          <w:rFonts w:hint="eastAsia"/>
          <w:lang w:val="en-US" w:eastAsia="zh-CN"/>
        </w:rPr>
        <w:t>运维服务能力管理计划</w:t>
      </w:r>
      <w:bookmarkEnd w:id="2"/>
    </w:p>
    <w:p w14:paraId="3A73B0BE">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6909"/>
      <w:bookmarkStart w:id="4" w:name="_Toc14256"/>
      <w:r>
        <w:rPr>
          <w:rFonts w:hint="eastAsia"/>
          <w:lang w:val="en-US" w:eastAsia="zh-CN"/>
        </w:rPr>
        <w:t>（HXDL-ITSS-0303）</w:t>
      </w:r>
      <w:bookmarkEnd w:id="3"/>
      <w:bookmarkEnd w:id="4"/>
    </w:p>
    <w:p w14:paraId="7AC5AA6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9F5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14B7C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084651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7BC9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C53036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B4A631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803E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4C8F30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E39D3F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18BC1F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B157E4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5" w:name="_Toc20465"/>
      <w:bookmarkStart w:id="6" w:name="_Toc5372"/>
      <w:r>
        <w:rPr>
          <w:rFonts w:ascii="宋体" w:hAnsi="宋体" w:eastAsia="宋体" w:cs="宋体"/>
          <w:b/>
          <w:bCs/>
          <w:spacing w:val="-4"/>
          <w:sz w:val="30"/>
          <w:szCs w:val="30"/>
        </w:rPr>
        <w:t>文件编制和变更履历</w:t>
      </w:r>
      <w:bookmarkEnd w:id="5"/>
      <w:bookmarkEnd w:id="6"/>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4E6A5C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5175671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97362E3">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237580E6">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D7A2D29">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6277BB5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3CBBC6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1C8F4F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17246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42AA37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3142D6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F229E8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4738355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3FB6F12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B4909A8">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BD3269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657C1B8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9587B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A2ED7D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E23CFDC">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0C7A885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607B73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21E36C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F01949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3F6042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91EC448">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EA248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0DE77D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5457752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71B789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467B4C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B76A4D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FC9C230">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0B87143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5BF3EF1">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4911B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D75903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76ECA3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1BF943F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45745A3">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285037C">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4BDBA8B3">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5CEBDA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0E7DC104">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1264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78B01B7">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5A8EE3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_Toc31414 </w:instrText>
          </w:r>
          <w:r>
            <w:rPr>
              <w:rFonts w:hint="eastAsia" w:ascii="宋体" w:hAnsi="宋体" w:eastAsia="宋体" w:cs="宋体"/>
              <w:szCs w:val="24"/>
            </w:rPr>
            <w:fldChar w:fldCharType="separate"/>
          </w:r>
          <w:r>
            <w:rPr>
              <w:rFonts w:hint="eastAsia"/>
              <w:lang w:val="en-US" w:eastAsia="zh-CN"/>
            </w:rPr>
            <w:t>天津市华夏电缆有限公司</w:t>
          </w:r>
          <w:r>
            <w:tab/>
          </w:r>
          <w:r>
            <w:fldChar w:fldCharType="begin"/>
          </w:r>
          <w:r>
            <w:instrText xml:space="preserve"> PAGEREF _Toc31414 \h </w:instrText>
          </w:r>
          <w:r>
            <w:fldChar w:fldCharType="separate"/>
          </w:r>
          <w:r>
            <w:t>1</w:t>
          </w:r>
          <w:r>
            <w:fldChar w:fldCharType="end"/>
          </w:r>
          <w:r>
            <w:rPr>
              <w:rFonts w:hint="eastAsia" w:ascii="宋体" w:hAnsi="宋体" w:eastAsia="宋体" w:cs="宋体"/>
              <w:szCs w:val="24"/>
            </w:rPr>
            <w:fldChar w:fldCharType="end"/>
          </w:r>
        </w:p>
        <w:p w14:paraId="704C162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_Toc22907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_Toc22907 \h </w:instrText>
          </w:r>
          <w:r>
            <w:fldChar w:fldCharType="separate"/>
          </w:r>
          <w:r>
            <w:t>1</w:t>
          </w:r>
          <w:r>
            <w:fldChar w:fldCharType="end"/>
          </w:r>
          <w:r>
            <w:rPr>
              <w:rFonts w:hint="eastAsia" w:ascii="宋体" w:hAnsi="宋体" w:eastAsia="宋体" w:cs="宋体"/>
              <w:szCs w:val="24"/>
            </w:rPr>
            <w:fldChar w:fldCharType="end"/>
          </w:r>
        </w:p>
        <w:p w14:paraId="0AD6BC7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_Toc14256 </w:instrText>
          </w:r>
          <w:r>
            <w:rPr>
              <w:rFonts w:hint="eastAsia" w:ascii="宋体" w:hAnsi="宋体" w:eastAsia="宋体" w:cs="宋体"/>
              <w:szCs w:val="24"/>
            </w:rPr>
            <w:fldChar w:fldCharType="separate"/>
          </w:r>
          <w:r>
            <w:rPr>
              <w:rFonts w:hint="eastAsia"/>
              <w:lang w:val="en-US" w:eastAsia="zh-CN"/>
            </w:rPr>
            <w:t>（HXDL-ITSS-0303）</w:t>
          </w:r>
          <w:r>
            <w:tab/>
          </w:r>
          <w:r>
            <w:fldChar w:fldCharType="begin"/>
          </w:r>
          <w:r>
            <w:instrText xml:space="preserve"> PAGEREF _Toc14256 \h </w:instrText>
          </w:r>
          <w:r>
            <w:fldChar w:fldCharType="separate"/>
          </w:r>
          <w:r>
            <w:t>1</w:t>
          </w:r>
          <w:r>
            <w:fldChar w:fldCharType="end"/>
          </w:r>
          <w:r>
            <w:rPr>
              <w:rFonts w:hint="eastAsia" w:ascii="宋体" w:hAnsi="宋体" w:eastAsia="宋体" w:cs="宋体"/>
              <w:szCs w:val="24"/>
            </w:rPr>
            <w:fldChar w:fldCharType="end"/>
          </w:r>
        </w:p>
        <w:p w14:paraId="21CD89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_Toc20465 </w:instrText>
          </w:r>
          <w:r>
            <w:rPr>
              <w:rFonts w:hint="eastAsia" w:ascii="宋体" w:hAnsi="宋体" w:eastAsia="宋体" w:cs="宋体"/>
              <w:szCs w:val="24"/>
            </w:rPr>
            <w:fldChar w:fldCharType="separate"/>
          </w:r>
          <w:r>
            <w:rPr>
              <w:rFonts w:ascii="宋体" w:hAnsi="宋体" w:eastAsia="宋体" w:cs="宋体"/>
              <w:bCs/>
              <w:spacing w:val="-4"/>
              <w:szCs w:val="30"/>
            </w:rPr>
            <w:t>文件编制和变更履历</w:t>
          </w:r>
          <w:r>
            <w:tab/>
          </w:r>
          <w:r>
            <w:fldChar w:fldCharType="begin"/>
          </w:r>
          <w:r>
            <w:instrText xml:space="preserve"> PAGEREF _Toc20465 \h </w:instrText>
          </w:r>
          <w:r>
            <w:fldChar w:fldCharType="separate"/>
          </w:r>
          <w:r>
            <w:t>2</w:t>
          </w:r>
          <w:r>
            <w:fldChar w:fldCharType="end"/>
          </w:r>
          <w:r>
            <w:rPr>
              <w:rFonts w:hint="eastAsia" w:ascii="宋体" w:hAnsi="宋体" w:eastAsia="宋体" w:cs="宋体"/>
              <w:szCs w:val="24"/>
            </w:rPr>
            <w:fldChar w:fldCharType="end"/>
          </w:r>
        </w:p>
        <w:p w14:paraId="239CD2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_Toc18242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_Toc18242 \h </w:instrText>
          </w:r>
          <w:r>
            <w:fldChar w:fldCharType="separate"/>
          </w:r>
          <w:r>
            <w:t>5</w:t>
          </w:r>
          <w:r>
            <w:fldChar w:fldCharType="end"/>
          </w:r>
          <w:r>
            <w:rPr>
              <w:rFonts w:hint="eastAsia" w:ascii="宋体" w:hAnsi="宋体" w:eastAsia="宋体" w:cs="宋体"/>
              <w:szCs w:val="24"/>
            </w:rPr>
            <w:fldChar w:fldCharType="end"/>
          </w:r>
        </w:p>
        <w:p w14:paraId="2E44EC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_Toc22272 </w:instrText>
          </w:r>
          <w:r>
            <w:rPr>
              <w:rFonts w:hint="eastAsia" w:ascii="宋体" w:hAnsi="宋体" w:eastAsia="宋体" w:cs="宋体"/>
              <w:szCs w:val="24"/>
            </w:rPr>
            <w:fldChar w:fldCharType="separate"/>
          </w:r>
          <w:r>
            <w:rPr>
              <w:rFonts w:hint="default"/>
            </w:rPr>
            <w:t>1.1. 支撑战略转型，构建电力行业服务能力</w:t>
          </w:r>
          <w:r>
            <w:tab/>
          </w:r>
          <w:r>
            <w:fldChar w:fldCharType="begin"/>
          </w:r>
          <w:r>
            <w:instrText xml:space="preserve"> PAGEREF _Toc22272 \h </w:instrText>
          </w:r>
          <w:r>
            <w:fldChar w:fldCharType="separate"/>
          </w:r>
          <w:r>
            <w:t>5</w:t>
          </w:r>
          <w:r>
            <w:fldChar w:fldCharType="end"/>
          </w:r>
          <w:r>
            <w:rPr>
              <w:rFonts w:hint="eastAsia" w:ascii="宋体" w:hAnsi="宋体" w:eastAsia="宋体" w:cs="宋体"/>
              <w:szCs w:val="24"/>
            </w:rPr>
            <w:fldChar w:fldCharType="end"/>
          </w:r>
        </w:p>
        <w:p w14:paraId="5C1FC29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_Toc25825 </w:instrText>
          </w:r>
          <w:r>
            <w:rPr>
              <w:rFonts w:hint="eastAsia" w:ascii="宋体" w:hAnsi="宋体" w:eastAsia="宋体" w:cs="宋体"/>
              <w:szCs w:val="24"/>
            </w:rPr>
            <w:fldChar w:fldCharType="separate"/>
          </w:r>
          <w:r>
            <w:rPr>
              <w:rFonts w:hint="default"/>
            </w:rPr>
            <w:t>1.2. 提升服务质量，满足电力客户高标准要求</w:t>
          </w:r>
          <w:r>
            <w:tab/>
          </w:r>
          <w:r>
            <w:fldChar w:fldCharType="begin"/>
          </w:r>
          <w:r>
            <w:instrText xml:space="preserve"> PAGEREF _Toc25825 \h </w:instrText>
          </w:r>
          <w:r>
            <w:fldChar w:fldCharType="separate"/>
          </w:r>
          <w:r>
            <w:t>5</w:t>
          </w:r>
          <w:r>
            <w:fldChar w:fldCharType="end"/>
          </w:r>
          <w:r>
            <w:rPr>
              <w:rFonts w:hint="eastAsia" w:ascii="宋体" w:hAnsi="宋体" w:eastAsia="宋体" w:cs="宋体"/>
              <w:szCs w:val="24"/>
            </w:rPr>
            <w:fldChar w:fldCharType="end"/>
          </w:r>
        </w:p>
        <w:p w14:paraId="7036493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_Toc26975 </w:instrText>
          </w:r>
          <w:r>
            <w:rPr>
              <w:rFonts w:hint="eastAsia" w:ascii="宋体" w:hAnsi="宋体" w:eastAsia="宋体" w:cs="宋体"/>
              <w:szCs w:val="24"/>
            </w:rPr>
            <w:fldChar w:fldCharType="separate"/>
          </w:r>
          <w:r>
            <w:rPr>
              <w:rFonts w:hint="default"/>
            </w:rPr>
            <w:t>1.3. 强化技术赋能，推动运维工具自主研发</w:t>
          </w:r>
          <w:r>
            <w:tab/>
          </w:r>
          <w:r>
            <w:fldChar w:fldCharType="begin"/>
          </w:r>
          <w:r>
            <w:instrText xml:space="preserve"> PAGEREF _Toc26975 \h </w:instrText>
          </w:r>
          <w:r>
            <w:fldChar w:fldCharType="separate"/>
          </w:r>
          <w:r>
            <w:t>5</w:t>
          </w:r>
          <w:r>
            <w:fldChar w:fldCharType="end"/>
          </w:r>
          <w:r>
            <w:rPr>
              <w:rFonts w:hint="eastAsia" w:ascii="宋体" w:hAnsi="宋体" w:eastAsia="宋体" w:cs="宋体"/>
              <w:szCs w:val="24"/>
            </w:rPr>
            <w:fldChar w:fldCharType="end"/>
          </w:r>
        </w:p>
        <w:p w14:paraId="440299D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_Toc24885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_Toc24885 \h </w:instrText>
          </w:r>
          <w:r>
            <w:fldChar w:fldCharType="separate"/>
          </w:r>
          <w:r>
            <w:t>5</w:t>
          </w:r>
          <w:r>
            <w:fldChar w:fldCharType="end"/>
          </w:r>
          <w:r>
            <w:rPr>
              <w:rFonts w:hint="eastAsia" w:ascii="宋体" w:hAnsi="宋体" w:eastAsia="宋体" w:cs="宋体"/>
              <w:szCs w:val="24"/>
            </w:rPr>
            <w:fldChar w:fldCharType="end"/>
          </w:r>
        </w:p>
        <w:p w14:paraId="2DFAF61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_Toc31412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_Toc31412 \h </w:instrText>
          </w:r>
          <w:r>
            <w:fldChar w:fldCharType="separate"/>
          </w:r>
          <w:r>
            <w:t>6</w:t>
          </w:r>
          <w:r>
            <w:fldChar w:fldCharType="end"/>
          </w:r>
          <w:r>
            <w:rPr>
              <w:rFonts w:hint="eastAsia" w:ascii="宋体" w:hAnsi="宋体" w:eastAsia="宋体" w:cs="宋体"/>
              <w:szCs w:val="24"/>
            </w:rPr>
            <w:fldChar w:fldCharType="end"/>
          </w:r>
        </w:p>
        <w:p w14:paraId="396F905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_Toc14436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_Toc14436 \h </w:instrText>
          </w:r>
          <w:r>
            <w:fldChar w:fldCharType="separate"/>
          </w:r>
          <w:r>
            <w:t>6</w:t>
          </w:r>
          <w:r>
            <w:fldChar w:fldCharType="end"/>
          </w:r>
          <w:r>
            <w:rPr>
              <w:rFonts w:hint="eastAsia" w:ascii="宋体" w:hAnsi="宋体" w:eastAsia="宋体" w:cs="宋体"/>
              <w:szCs w:val="24"/>
            </w:rPr>
            <w:fldChar w:fldCharType="end"/>
          </w:r>
        </w:p>
        <w:p w14:paraId="378954C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_Toc31042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_Toc31042 \h </w:instrText>
          </w:r>
          <w:r>
            <w:fldChar w:fldCharType="separate"/>
          </w:r>
          <w:r>
            <w:t>6</w:t>
          </w:r>
          <w:r>
            <w:fldChar w:fldCharType="end"/>
          </w:r>
          <w:r>
            <w:rPr>
              <w:rFonts w:hint="eastAsia" w:ascii="宋体" w:hAnsi="宋体" w:eastAsia="宋体" w:cs="宋体"/>
              <w:szCs w:val="24"/>
            </w:rPr>
            <w:fldChar w:fldCharType="end"/>
          </w:r>
        </w:p>
        <w:p w14:paraId="2FAA659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_Toc16269 </w:instrText>
          </w:r>
          <w:r>
            <w:rPr>
              <w:rFonts w:hint="eastAsia" w:ascii="宋体" w:hAnsi="宋体" w:eastAsia="宋体" w:cs="宋体"/>
              <w:szCs w:val="24"/>
            </w:rPr>
            <w:fldChar w:fldCharType="separate"/>
          </w:r>
          <w:r>
            <w:rPr>
              <w:rFonts w:hint="default"/>
              <w:lang w:val="en-US" w:eastAsia="zh-CN"/>
            </w:rPr>
            <w:t xml:space="preserve">4.1.1. </w:t>
          </w:r>
          <w:r>
            <w:rPr>
              <w:rFonts w:hint="eastAsia"/>
              <w:lang w:val="en-US" w:eastAsia="zh-CN"/>
            </w:rPr>
            <w:t>人员招聘计划</w:t>
          </w:r>
          <w:r>
            <w:tab/>
          </w:r>
          <w:r>
            <w:fldChar w:fldCharType="begin"/>
          </w:r>
          <w:r>
            <w:instrText xml:space="preserve"> PAGEREF _Toc16269 \h </w:instrText>
          </w:r>
          <w:r>
            <w:fldChar w:fldCharType="separate"/>
          </w:r>
          <w:r>
            <w:t>6</w:t>
          </w:r>
          <w:r>
            <w:fldChar w:fldCharType="end"/>
          </w:r>
          <w:r>
            <w:rPr>
              <w:rFonts w:hint="eastAsia" w:ascii="宋体" w:hAnsi="宋体" w:eastAsia="宋体" w:cs="宋体"/>
              <w:szCs w:val="24"/>
            </w:rPr>
            <w:fldChar w:fldCharType="end"/>
          </w:r>
        </w:p>
        <w:p w14:paraId="4336E73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_Toc11752 </w:instrText>
          </w:r>
          <w:r>
            <w:rPr>
              <w:rFonts w:hint="eastAsia" w:ascii="宋体" w:hAnsi="宋体" w:eastAsia="宋体" w:cs="宋体"/>
              <w:szCs w:val="24"/>
            </w:rPr>
            <w:fldChar w:fldCharType="separate"/>
          </w:r>
          <w:r>
            <w:rPr>
              <w:rFonts w:hint="default"/>
              <w:lang w:val="en-US" w:eastAsia="zh-CN"/>
            </w:rPr>
            <w:t xml:space="preserve">4.1.2. </w:t>
          </w:r>
          <w:r>
            <w:rPr>
              <w:rFonts w:hint="eastAsia"/>
              <w:lang w:val="en-US" w:eastAsia="zh-CN"/>
            </w:rPr>
            <w:t>人员储备计划</w:t>
          </w:r>
          <w:r>
            <w:tab/>
          </w:r>
          <w:r>
            <w:fldChar w:fldCharType="begin"/>
          </w:r>
          <w:r>
            <w:instrText xml:space="preserve"> PAGEREF _Toc11752 \h </w:instrText>
          </w:r>
          <w:r>
            <w:fldChar w:fldCharType="separate"/>
          </w:r>
          <w:r>
            <w:t>7</w:t>
          </w:r>
          <w:r>
            <w:fldChar w:fldCharType="end"/>
          </w:r>
          <w:r>
            <w:rPr>
              <w:rFonts w:hint="eastAsia" w:ascii="宋体" w:hAnsi="宋体" w:eastAsia="宋体" w:cs="宋体"/>
              <w:szCs w:val="24"/>
            </w:rPr>
            <w:fldChar w:fldCharType="end"/>
          </w:r>
        </w:p>
        <w:p w14:paraId="66A0E1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_Toc19281 </w:instrText>
          </w:r>
          <w:r>
            <w:rPr>
              <w:rFonts w:hint="eastAsia" w:ascii="宋体" w:hAnsi="宋体" w:eastAsia="宋体" w:cs="宋体"/>
              <w:szCs w:val="24"/>
            </w:rPr>
            <w:fldChar w:fldCharType="separate"/>
          </w:r>
          <w:r>
            <w:rPr>
              <w:rFonts w:hint="default"/>
              <w:lang w:val="en-US" w:eastAsia="zh-CN"/>
            </w:rPr>
            <w:t xml:space="preserve">4.1.3. </w:t>
          </w:r>
          <w:r>
            <w:rPr>
              <w:rFonts w:hint="eastAsia"/>
              <w:lang w:val="en-US" w:eastAsia="zh-CN"/>
            </w:rPr>
            <w:t>人员培训计划</w:t>
          </w:r>
          <w:r>
            <w:tab/>
          </w:r>
          <w:r>
            <w:fldChar w:fldCharType="begin"/>
          </w:r>
          <w:r>
            <w:instrText xml:space="preserve"> PAGEREF _Toc19281 \h </w:instrText>
          </w:r>
          <w:r>
            <w:fldChar w:fldCharType="separate"/>
          </w:r>
          <w:r>
            <w:t>8</w:t>
          </w:r>
          <w:r>
            <w:fldChar w:fldCharType="end"/>
          </w:r>
          <w:r>
            <w:rPr>
              <w:rFonts w:hint="eastAsia" w:ascii="宋体" w:hAnsi="宋体" w:eastAsia="宋体" w:cs="宋体"/>
              <w:szCs w:val="24"/>
            </w:rPr>
            <w:fldChar w:fldCharType="end"/>
          </w:r>
        </w:p>
        <w:p w14:paraId="57B2ACD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_Toc29980 </w:instrText>
          </w:r>
          <w:r>
            <w:rPr>
              <w:rFonts w:hint="eastAsia" w:ascii="宋体" w:hAnsi="宋体" w:eastAsia="宋体" w:cs="宋体"/>
              <w:szCs w:val="24"/>
            </w:rPr>
            <w:fldChar w:fldCharType="separate"/>
          </w:r>
          <w:r>
            <w:rPr>
              <w:rFonts w:hint="default"/>
              <w:lang w:val="en-US" w:eastAsia="zh-CN"/>
            </w:rPr>
            <w:t xml:space="preserve">4.1.4. </w:t>
          </w:r>
          <w:r>
            <w:rPr>
              <w:rFonts w:hint="eastAsia"/>
              <w:lang w:val="en-US" w:eastAsia="zh-CN"/>
            </w:rPr>
            <w:t>人员备份计划</w:t>
          </w:r>
          <w:r>
            <w:tab/>
          </w:r>
          <w:r>
            <w:fldChar w:fldCharType="begin"/>
          </w:r>
          <w:r>
            <w:instrText xml:space="preserve"> PAGEREF _Toc29980 \h </w:instrText>
          </w:r>
          <w:r>
            <w:fldChar w:fldCharType="separate"/>
          </w:r>
          <w:r>
            <w:t>11</w:t>
          </w:r>
          <w:r>
            <w:fldChar w:fldCharType="end"/>
          </w:r>
          <w:r>
            <w:rPr>
              <w:rFonts w:hint="eastAsia" w:ascii="宋体" w:hAnsi="宋体" w:eastAsia="宋体" w:cs="宋体"/>
              <w:szCs w:val="24"/>
            </w:rPr>
            <w:fldChar w:fldCharType="end"/>
          </w:r>
        </w:p>
        <w:p w14:paraId="1474BB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_Toc32597 </w:instrText>
          </w:r>
          <w:r>
            <w:rPr>
              <w:rFonts w:hint="eastAsia" w:ascii="宋体" w:hAnsi="宋体" w:eastAsia="宋体" w:cs="宋体"/>
              <w:szCs w:val="24"/>
            </w:rPr>
            <w:fldChar w:fldCharType="separate"/>
          </w:r>
          <w:r>
            <w:rPr>
              <w:rFonts w:hint="default"/>
              <w:lang w:val="en-US" w:eastAsia="zh-CN"/>
            </w:rPr>
            <w:t xml:space="preserve">4.1.5. </w:t>
          </w:r>
          <w:r>
            <w:rPr>
              <w:rFonts w:hint="eastAsia"/>
              <w:lang w:val="en-US" w:eastAsia="zh-CN"/>
            </w:rPr>
            <w:t>人员绩效考核计划</w:t>
          </w:r>
          <w:r>
            <w:tab/>
          </w:r>
          <w:r>
            <w:fldChar w:fldCharType="begin"/>
          </w:r>
          <w:r>
            <w:instrText xml:space="preserve"> PAGEREF _Toc32597 \h </w:instrText>
          </w:r>
          <w:r>
            <w:fldChar w:fldCharType="separate"/>
          </w:r>
          <w:r>
            <w:t>12</w:t>
          </w:r>
          <w:r>
            <w:fldChar w:fldCharType="end"/>
          </w:r>
          <w:r>
            <w:rPr>
              <w:rFonts w:hint="eastAsia" w:ascii="宋体" w:hAnsi="宋体" w:eastAsia="宋体" w:cs="宋体"/>
              <w:szCs w:val="24"/>
            </w:rPr>
            <w:fldChar w:fldCharType="end"/>
          </w:r>
        </w:p>
        <w:p w14:paraId="221EEB5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_Toc24783 </w:instrText>
          </w:r>
          <w:r>
            <w:rPr>
              <w:rFonts w:hint="eastAsia" w:ascii="宋体" w:hAnsi="宋体" w:eastAsia="宋体" w:cs="宋体"/>
              <w:szCs w:val="24"/>
            </w:rPr>
            <w:fldChar w:fldCharType="separate"/>
          </w:r>
          <w:r>
            <w:rPr>
              <w:rFonts w:hint="default"/>
              <w:lang w:val="en-US" w:eastAsia="zh-CN"/>
            </w:rPr>
            <w:t xml:space="preserve">4.1.6. </w:t>
          </w:r>
          <w:r>
            <w:rPr>
              <w:rFonts w:hint="eastAsia"/>
              <w:lang w:val="en-US" w:eastAsia="zh-CN"/>
            </w:rPr>
            <w:t>人员能力评价计划</w:t>
          </w:r>
          <w:r>
            <w:tab/>
          </w:r>
          <w:r>
            <w:fldChar w:fldCharType="begin"/>
          </w:r>
          <w:r>
            <w:instrText xml:space="preserve"> PAGEREF _Toc24783 \h </w:instrText>
          </w:r>
          <w:r>
            <w:fldChar w:fldCharType="separate"/>
          </w:r>
          <w:r>
            <w:t>12</w:t>
          </w:r>
          <w:r>
            <w:fldChar w:fldCharType="end"/>
          </w:r>
          <w:r>
            <w:rPr>
              <w:rFonts w:hint="eastAsia" w:ascii="宋体" w:hAnsi="宋体" w:eastAsia="宋体" w:cs="宋体"/>
              <w:szCs w:val="24"/>
            </w:rPr>
            <w:fldChar w:fldCharType="end"/>
          </w:r>
        </w:p>
        <w:p w14:paraId="123FED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_Toc14112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_Toc14112 \h </w:instrText>
          </w:r>
          <w:r>
            <w:fldChar w:fldCharType="separate"/>
          </w:r>
          <w:r>
            <w:t>12</w:t>
          </w:r>
          <w:r>
            <w:fldChar w:fldCharType="end"/>
          </w:r>
          <w:r>
            <w:rPr>
              <w:rFonts w:hint="eastAsia" w:ascii="宋体" w:hAnsi="宋体" w:eastAsia="宋体" w:cs="宋体"/>
              <w:szCs w:val="24"/>
            </w:rPr>
            <w:fldChar w:fldCharType="end"/>
          </w:r>
        </w:p>
        <w:p w14:paraId="47420C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_Toc4699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_Toc4699 \h </w:instrText>
          </w:r>
          <w:r>
            <w:fldChar w:fldCharType="separate"/>
          </w:r>
          <w:r>
            <w:t>12</w:t>
          </w:r>
          <w:r>
            <w:fldChar w:fldCharType="end"/>
          </w:r>
          <w:r>
            <w:rPr>
              <w:rFonts w:hint="eastAsia" w:ascii="宋体" w:hAnsi="宋体" w:eastAsia="宋体" w:cs="宋体"/>
              <w:szCs w:val="24"/>
            </w:rPr>
            <w:fldChar w:fldCharType="end"/>
          </w:r>
        </w:p>
        <w:p w14:paraId="58DFDB6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_Toc15059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_Toc15059 \h </w:instrText>
          </w:r>
          <w:r>
            <w:fldChar w:fldCharType="separate"/>
          </w:r>
          <w:r>
            <w:t>13</w:t>
          </w:r>
          <w:r>
            <w:fldChar w:fldCharType="end"/>
          </w:r>
          <w:r>
            <w:rPr>
              <w:rFonts w:hint="eastAsia" w:ascii="宋体" w:hAnsi="宋体" w:eastAsia="宋体" w:cs="宋体"/>
              <w:szCs w:val="24"/>
            </w:rPr>
            <w:fldChar w:fldCharType="end"/>
          </w:r>
        </w:p>
        <w:p w14:paraId="25150F5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_Toc21732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_Toc21732 \h </w:instrText>
          </w:r>
          <w:r>
            <w:fldChar w:fldCharType="separate"/>
          </w:r>
          <w:r>
            <w:t>13</w:t>
          </w:r>
          <w:r>
            <w:fldChar w:fldCharType="end"/>
          </w:r>
          <w:r>
            <w:rPr>
              <w:rFonts w:hint="eastAsia" w:ascii="宋体" w:hAnsi="宋体" w:eastAsia="宋体" w:cs="宋体"/>
              <w:szCs w:val="24"/>
            </w:rPr>
            <w:fldChar w:fldCharType="end"/>
          </w:r>
        </w:p>
        <w:p w14:paraId="781C4C0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_Toc18039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_Toc18039 \h </w:instrText>
          </w:r>
          <w:r>
            <w:fldChar w:fldCharType="separate"/>
          </w:r>
          <w:r>
            <w:t>13</w:t>
          </w:r>
          <w:r>
            <w:fldChar w:fldCharType="end"/>
          </w:r>
          <w:r>
            <w:rPr>
              <w:rFonts w:hint="eastAsia" w:ascii="宋体" w:hAnsi="宋体" w:eastAsia="宋体" w:cs="宋体"/>
              <w:szCs w:val="24"/>
            </w:rPr>
            <w:fldChar w:fldCharType="end"/>
          </w:r>
        </w:p>
        <w:p w14:paraId="38B22E8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_Toc987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_Toc987 \h </w:instrText>
          </w:r>
          <w:r>
            <w:fldChar w:fldCharType="separate"/>
          </w:r>
          <w:r>
            <w:t>14</w:t>
          </w:r>
          <w:r>
            <w:fldChar w:fldCharType="end"/>
          </w:r>
          <w:r>
            <w:rPr>
              <w:rFonts w:hint="eastAsia" w:ascii="宋体" w:hAnsi="宋体" w:eastAsia="宋体" w:cs="宋体"/>
              <w:szCs w:val="24"/>
            </w:rPr>
            <w:fldChar w:fldCharType="end"/>
          </w:r>
        </w:p>
        <w:p w14:paraId="19C428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_Toc24834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_Toc24834 \h </w:instrText>
          </w:r>
          <w:r>
            <w:fldChar w:fldCharType="separate"/>
          </w:r>
          <w:r>
            <w:t>14</w:t>
          </w:r>
          <w:r>
            <w:fldChar w:fldCharType="end"/>
          </w:r>
          <w:r>
            <w:rPr>
              <w:rFonts w:hint="eastAsia" w:ascii="宋体" w:hAnsi="宋体" w:eastAsia="宋体" w:cs="宋体"/>
              <w:szCs w:val="24"/>
            </w:rPr>
            <w:fldChar w:fldCharType="end"/>
          </w:r>
        </w:p>
        <w:p w14:paraId="232695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_Toc26246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_Toc26246 \h </w:instrText>
          </w:r>
          <w:r>
            <w:fldChar w:fldCharType="separate"/>
          </w:r>
          <w:r>
            <w:t>14</w:t>
          </w:r>
          <w:r>
            <w:fldChar w:fldCharType="end"/>
          </w:r>
          <w:r>
            <w:rPr>
              <w:rFonts w:hint="eastAsia" w:ascii="宋体" w:hAnsi="宋体" w:eastAsia="宋体" w:cs="宋体"/>
              <w:szCs w:val="24"/>
            </w:rPr>
            <w:fldChar w:fldCharType="end"/>
          </w:r>
        </w:p>
        <w:p w14:paraId="5C0E52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_Toc10305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_Toc10305 \h </w:instrText>
          </w:r>
          <w:r>
            <w:fldChar w:fldCharType="separate"/>
          </w:r>
          <w:r>
            <w:t>14</w:t>
          </w:r>
          <w:r>
            <w:fldChar w:fldCharType="end"/>
          </w:r>
          <w:r>
            <w:rPr>
              <w:rFonts w:hint="eastAsia" w:ascii="宋体" w:hAnsi="宋体" w:eastAsia="宋体" w:cs="宋体"/>
              <w:szCs w:val="24"/>
            </w:rPr>
            <w:fldChar w:fldCharType="end"/>
          </w:r>
        </w:p>
        <w:p w14:paraId="18FFB40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_Toc12461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_Toc12461 \h </w:instrText>
          </w:r>
          <w:r>
            <w:fldChar w:fldCharType="separate"/>
          </w:r>
          <w:r>
            <w:t>15</w:t>
          </w:r>
          <w:r>
            <w:fldChar w:fldCharType="end"/>
          </w:r>
          <w:r>
            <w:rPr>
              <w:rFonts w:hint="eastAsia" w:ascii="宋体" w:hAnsi="宋体" w:eastAsia="宋体" w:cs="宋体"/>
              <w:szCs w:val="24"/>
            </w:rPr>
            <w:fldChar w:fldCharType="end"/>
          </w:r>
        </w:p>
        <w:p w14:paraId="391BD5C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_Toc8515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_Toc8515 \h </w:instrText>
          </w:r>
          <w:r>
            <w:fldChar w:fldCharType="separate"/>
          </w:r>
          <w:r>
            <w:t>15</w:t>
          </w:r>
          <w:r>
            <w:fldChar w:fldCharType="end"/>
          </w:r>
          <w:r>
            <w:rPr>
              <w:rFonts w:hint="eastAsia" w:ascii="宋体" w:hAnsi="宋体" w:eastAsia="宋体" w:cs="宋体"/>
              <w:szCs w:val="24"/>
            </w:rPr>
            <w:fldChar w:fldCharType="end"/>
          </w:r>
        </w:p>
        <w:p w14:paraId="51AFE79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_Toc6629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_Toc6629 \h </w:instrText>
          </w:r>
          <w:r>
            <w:fldChar w:fldCharType="separate"/>
          </w:r>
          <w:r>
            <w:t>15</w:t>
          </w:r>
          <w:r>
            <w:fldChar w:fldCharType="end"/>
          </w:r>
          <w:r>
            <w:rPr>
              <w:rFonts w:hint="eastAsia" w:ascii="宋体" w:hAnsi="宋体" w:eastAsia="宋体" w:cs="宋体"/>
              <w:szCs w:val="24"/>
            </w:rPr>
            <w:fldChar w:fldCharType="end"/>
          </w:r>
        </w:p>
        <w:p w14:paraId="2A09195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_Toc22784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_Toc22784 \h </w:instrText>
          </w:r>
          <w:r>
            <w:fldChar w:fldCharType="separate"/>
          </w:r>
          <w:r>
            <w:t>16</w:t>
          </w:r>
          <w:r>
            <w:fldChar w:fldCharType="end"/>
          </w:r>
          <w:r>
            <w:rPr>
              <w:rFonts w:hint="eastAsia" w:ascii="宋体" w:hAnsi="宋体" w:eastAsia="宋体" w:cs="宋体"/>
              <w:szCs w:val="24"/>
            </w:rPr>
            <w:fldChar w:fldCharType="end"/>
          </w:r>
        </w:p>
        <w:p w14:paraId="278F5A3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_Toc18455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_Toc18455 \h </w:instrText>
          </w:r>
          <w:r>
            <w:fldChar w:fldCharType="separate"/>
          </w:r>
          <w:r>
            <w:t>16</w:t>
          </w:r>
          <w:r>
            <w:fldChar w:fldCharType="end"/>
          </w:r>
          <w:r>
            <w:rPr>
              <w:rFonts w:hint="eastAsia" w:ascii="宋体" w:hAnsi="宋体" w:eastAsia="宋体" w:cs="宋体"/>
              <w:szCs w:val="24"/>
            </w:rPr>
            <w:fldChar w:fldCharType="end"/>
          </w:r>
        </w:p>
        <w:p w14:paraId="339257A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_Toc16207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_Toc16207 \h </w:instrText>
          </w:r>
          <w:r>
            <w:fldChar w:fldCharType="separate"/>
          </w:r>
          <w:r>
            <w:t>16</w:t>
          </w:r>
          <w:r>
            <w:fldChar w:fldCharType="end"/>
          </w:r>
          <w:r>
            <w:rPr>
              <w:rFonts w:hint="eastAsia" w:ascii="宋体" w:hAnsi="宋体" w:eastAsia="宋体" w:cs="宋体"/>
              <w:szCs w:val="24"/>
            </w:rPr>
            <w:fldChar w:fldCharType="end"/>
          </w:r>
        </w:p>
        <w:p w14:paraId="22926F1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_Toc28450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_Toc28450 \h </w:instrText>
          </w:r>
          <w:r>
            <w:fldChar w:fldCharType="separate"/>
          </w:r>
          <w:r>
            <w:t>17</w:t>
          </w:r>
          <w:r>
            <w:fldChar w:fldCharType="end"/>
          </w:r>
          <w:r>
            <w:rPr>
              <w:rFonts w:hint="eastAsia" w:ascii="宋体" w:hAnsi="宋体" w:eastAsia="宋体" w:cs="宋体"/>
              <w:szCs w:val="24"/>
            </w:rPr>
            <w:fldChar w:fldCharType="end"/>
          </w:r>
        </w:p>
        <w:p w14:paraId="4E1EDAF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_Toc13924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_Toc13924 \h </w:instrText>
          </w:r>
          <w:r>
            <w:fldChar w:fldCharType="separate"/>
          </w:r>
          <w:r>
            <w:t>17</w:t>
          </w:r>
          <w:r>
            <w:fldChar w:fldCharType="end"/>
          </w:r>
          <w:r>
            <w:rPr>
              <w:rFonts w:hint="eastAsia" w:ascii="宋体" w:hAnsi="宋体" w:eastAsia="宋体" w:cs="宋体"/>
              <w:szCs w:val="24"/>
            </w:rPr>
            <w:fldChar w:fldCharType="end"/>
          </w:r>
        </w:p>
        <w:p w14:paraId="7D5F40C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_Toc22235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_Toc22235 \h </w:instrText>
          </w:r>
          <w:r>
            <w:fldChar w:fldCharType="separate"/>
          </w:r>
          <w:r>
            <w:t>17</w:t>
          </w:r>
          <w:r>
            <w:fldChar w:fldCharType="end"/>
          </w:r>
          <w:r>
            <w:rPr>
              <w:rFonts w:hint="eastAsia" w:ascii="宋体" w:hAnsi="宋体" w:eastAsia="宋体" w:cs="宋体"/>
              <w:szCs w:val="24"/>
            </w:rPr>
            <w:fldChar w:fldCharType="end"/>
          </w:r>
        </w:p>
        <w:p w14:paraId="355BD5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_Toc25456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_Toc25456 \h </w:instrText>
          </w:r>
          <w:r>
            <w:fldChar w:fldCharType="separate"/>
          </w:r>
          <w:r>
            <w:t>18</w:t>
          </w:r>
          <w:r>
            <w:fldChar w:fldCharType="end"/>
          </w:r>
          <w:r>
            <w:rPr>
              <w:rFonts w:hint="eastAsia" w:ascii="宋体" w:hAnsi="宋体" w:eastAsia="宋体" w:cs="宋体"/>
              <w:szCs w:val="24"/>
            </w:rPr>
            <w:fldChar w:fldCharType="end"/>
          </w:r>
        </w:p>
        <w:p w14:paraId="48355D3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_Toc16818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_Toc16818 \h </w:instrText>
          </w:r>
          <w:r>
            <w:fldChar w:fldCharType="separate"/>
          </w:r>
          <w:r>
            <w:t>18</w:t>
          </w:r>
          <w:r>
            <w:fldChar w:fldCharType="end"/>
          </w:r>
          <w:r>
            <w:rPr>
              <w:rFonts w:hint="eastAsia" w:ascii="宋体" w:hAnsi="宋体" w:eastAsia="宋体" w:cs="宋体"/>
              <w:szCs w:val="24"/>
            </w:rPr>
            <w:fldChar w:fldCharType="end"/>
          </w:r>
        </w:p>
        <w:p w14:paraId="46268AD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_Toc28956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_Toc28956 \h </w:instrText>
          </w:r>
          <w:r>
            <w:fldChar w:fldCharType="separate"/>
          </w:r>
          <w:r>
            <w:t>19</w:t>
          </w:r>
          <w:r>
            <w:fldChar w:fldCharType="end"/>
          </w:r>
          <w:r>
            <w:rPr>
              <w:rFonts w:hint="eastAsia" w:ascii="宋体" w:hAnsi="宋体" w:eastAsia="宋体" w:cs="宋体"/>
              <w:szCs w:val="24"/>
            </w:rPr>
            <w:fldChar w:fldCharType="end"/>
          </w:r>
        </w:p>
        <w:p w14:paraId="6B12E5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_Toc16828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_Toc16828 \h </w:instrText>
          </w:r>
          <w:r>
            <w:fldChar w:fldCharType="separate"/>
          </w:r>
          <w:r>
            <w:t>19</w:t>
          </w:r>
          <w:r>
            <w:fldChar w:fldCharType="end"/>
          </w:r>
          <w:r>
            <w:rPr>
              <w:rFonts w:hint="eastAsia" w:ascii="宋体" w:hAnsi="宋体" w:eastAsia="宋体" w:cs="宋体"/>
              <w:szCs w:val="24"/>
            </w:rPr>
            <w:fldChar w:fldCharType="end"/>
          </w:r>
        </w:p>
        <w:p w14:paraId="15A7F68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_Toc15089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_Toc15089 \h </w:instrText>
          </w:r>
          <w:r>
            <w:fldChar w:fldCharType="separate"/>
          </w:r>
          <w:r>
            <w:t>19</w:t>
          </w:r>
          <w:r>
            <w:fldChar w:fldCharType="end"/>
          </w:r>
          <w:r>
            <w:rPr>
              <w:rFonts w:hint="eastAsia" w:ascii="宋体" w:hAnsi="宋体" w:eastAsia="宋体" w:cs="宋体"/>
              <w:szCs w:val="24"/>
            </w:rPr>
            <w:fldChar w:fldCharType="end"/>
          </w:r>
        </w:p>
        <w:p w14:paraId="59A1F15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_Toc14084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_Toc14084 \h </w:instrText>
          </w:r>
          <w:r>
            <w:fldChar w:fldCharType="separate"/>
          </w:r>
          <w:r>
            <w:t>19</w:t>
          </w:r>
          <w:r>
            <w:fldChar w:fldCharType="end"/>
          </w:r>
          <w:r>
            <w:rPr>
              <w:rFonts w:hint="eastAsia" w:ascii="宋体" w:hAnsi="宋体" w:eastAsia="宋体" w:cs="宋体"/>
              <w:szCs w:val="24"/>
            </w:rPr>
            <w:fldChar w:fldCharType="end"/>
          </w:r>
        </w:p>
        <w:p w14:paraId="3027864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_Toc20716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_Toc20716 \h </w:instrText>
          </w:r>
          <w:r>
            <w:fldChar w:fldCharType="separate"/>
          </w:r>
          <w:r>
            <w:t>20</w:t>
          </w:r>
          <w:r>
            <w:fldChar w:fldCharType="end"/>
          </w:r>
          <w:r>
            <w:rPr>
              <w:rFonts w:hint="eastAsia" w:ascii="宋体" w:hAnsi="宋体" w:eastAsia="宋体" w:cs="宋体"/>
              <w:szCs w:val="24"/>
            </w:rPr>
            <w:fldChar w:fldCharType="end"/>
          </w:r>
        </w:p>
        <w:p w14:paraId="5CADD24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_Toc18751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_Toc18751 \h </w:instrText>
          </w:r>
          <w:r>
            <w:fldChar w:fldCharType="separate"/>
          </w:r>
          <w:r>
            <w:t>20</w:t>
          </w:r>
          <w:r>
            <w:fldChar w:fldCharType="end"/>
          </w:r>
          <w:r>
            <w:rPr>
              <w:rFonts w:hint="eastAsia" w:ascii="宋体" w:hAnsi="宋体" w:eastAsia="宋体" w:cs="宋体"/>
              <w:szCs w:val="24"/>
            </w:rPr>
            <w:fldChar w:fldCharType="end"/>
          </w:r>
        </w:p>
        <w:p w14:paraId="02D7A7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_Toc31954 </w:instrText>
          </w:r>
          <w:r>
            <w:rPr>
              <w:rFonts w:hint="eastAsia" w:ascii="宋体" w:hAnsi="宋体" w:eastAsia="宋体" w:cs="宋体"/>
              <w:szCs w:val="24"/>
            </w:rPr>
            <w:fldChar w:fldCharType="separate"/>
          </w:r>
          <w:r>
            <w:rPr>
              <w:rFonts w:hint="default"/>
              <w:lang w:val="en-US" w:eastAsia="zh-CN"/>
            </w:rPr>
            <w:t xml:space="preserve">4.7.4. </w:t>
          </w:r>
          <w:r>
            <w:rPr>
              <w:rFonts w:hint="eastAsia"/>
              <w:lang w:val="en-US" w:eastAsia="zh-CN"/>
            </w:rPr>
            <w:t>SLA达成率</w:t>
          </w:r>
          <w:r>
            <w:tab/>
          </w:r>
          <w:r>
            <w:fldChar w:fldCharType="begin"/>
          </w:r>
          <w:r>
            <w:instrText xml:space="preserve"> PAGEREF _Toc31954 \h </w:instrText>
          </w:r>
          <w:r>
            <w:fldChar w:fldCharType="separate"/>
          </w:r>
          <w:r>
            <w:t>20</w:t>
          </w:r>
          <w:r>
            <w:fldChar w:fldCharType="end"/>
          </w:r>
          <w:r>
            <w:rPr>
              <w:rFonts w:hint="eastAsia" w:ascii="宋体" w:hAnsi="宋体" w:eastAsia="宋体" w:cs="宋体"/>
              <w:szCs w:val="24"/>
            </w:rPr>
            <w:fldChar w:fldCharType="end"/>
          </w:r>
        </w:p>
        <w:p w14:paraId="2F6E111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_Toc99 \h </w:instrText>
          </w:r>
          <w:r>
            <w:fldChar w:fldCharType="separate"/>
          </w:r>
          <w:r>
            <w:t>20</w:t>
          </w:r>
          <w:r>
            <w:fldChar w:fldCharType="end"/>
          </w:r>
          <w:r>
            <w:rPr>
              <w:rFonts w:hint="eastAsia" w:ascii="宋体" w:hAnsi="宋体" w:eastAsia="宋体" w:cs="宋体"/>
              <w:szCs w:val="24"/>
            </w:rPr>
            <w:fldChar w:fldCharType="end"/>
          </w:r>
        </w:p>
        <w:p w14:paraId="4C8671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_Toc32512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_Toc32512 \h </w:instrText>
          </w:r>
          <w:r>
            <w:fldChar w:fldCharType="separate"/>
          </w:r>
          <w:r>
            <w:t>20</w:t>
          </w:r>
          <w:r>
            <w:fldChar w:fldCharType="end"/>
          </w:r>
          <w:r>
            <w:rPr>
              <w:rFonts w:hint="eastAsia" w:ascii="宋体" w:hAnsi="宋体" w:eastAsia="宋体" w:cs="宋体"/>
              <w:szCs w:val="24"/>
            </w:rPr>
            <w:fldChar w:fldCharType="end"/>
          </w:r>
        </w:p>
        <w:p w14:paraId="4687D5A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85242A4">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795CF3E">
      <w:pPr>
        <w:pStyle w:val="28"/>
        <w:keepNext w:val="0"/>
        <w:keepLines w:val="0"/>
        <w:pageBreakBefore w:val="0"/>
        <w:widowControl w:val="0"/>
        <w:kinsoku w:val="0"/>
        <w:wordWrap/>
        <w:overflowPunct/>
        <w:autoSpaceDE w:val="0"/>
        <w:autoSpaceDN w:val="0"/>
        <w:bidi w:val="0"/>
        <w:adjustRightInd w:val="0"/>
        <w:snapToGrid w:val="0"/>
        <w:textAlignment w:val="baseline"/>
      </w:pPr>
      <w:bookmarkStart w:id="7" w:name="_Toc18242"/>
      <w:r>
        <w:t>目的</w:t>
      </w:r>
      <w:bookmarkEnd w:id="7"/>
    </w:p>
    <w:p w14:paraId="39B6CE5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在公司的总体战略规划要求下，在2025年7月-2026年6月，运维收入计划增长率为10%。为实现这一目标，并支撑公司从传统电缆电线运维向电力行业综合服务提供商转型的战略方向，必须保证我们的运维服务能力有效进行，保障完成人员、资源、技术、过程四要素、应急交付和质量管理要求各项指标，确保能够承接电力行业客户的更高标准要求。</w:t>
      </w:r>
    </w:p>
    <w:p w14:paraId="7FCA322B">
      <w:pPr>
        <w:pStyle w:val="30"/>
        <w:bidi w:val="0"/>
        <w:rPr>
          <w:rFonts w:hint="default"/>
        </w:rPr>
      </w:pPr>
      <w:bookmarkStart w:id="8" w:name="_Toc22272"/>
      <w:r>
        <w:rPr>
          <w:rFonts w:hint="default"/>
        </w:rPr>
        <w:t>支撑战略转型，构建电力行业服务能力</w:t>
      </w:r>
      <w:bookmarkEnd w:id="8"/>
    </w:p>
    <w:p w14:paraId="390B2D7D">
      <w:pPr>
        <w:pStyle w:val="29"/>
        <w:bidi w:val="0"/>
      </w:pPr>
      <w:r>
        <w:rPr>
          <w:rFonts w:hint="default"/>
        </w:rPr>
        <w:t>围绕公司向电力行业拓展的战略目标，重点构建面向电力电缆及通道运维、电力监控系统网络安全、信息通信系统基础设施维护等领域的专业技术能力。通过人员技能升级、工具研发投入和服务体系建设，逐步形成覆盖电力行业核心运维场景的综合服务能力，为公司开拓电力市场提供坚实保障。</w:t>
      </w:r>
    </w:p>
    <w:p w14:paraId="04EF7FAE">
      <w:pPr>
        <w:pStyle w:val="30"/>
        <w:bidi w:val="0"/>
        <w:rPr>
          <w:rFonts w:hint="default"/>
        </w:rPr>
      </w:pPr>
      <w:bookmarkStart w:id="9" w:name="_Toc25825"/>
      <w:r>
        <w:rPr>
          <w:rFonts w:hint="default"/>
        </w:rPr>
        <w:t>提升服务质量，满足电力客户高标准要求</w:t>
      </w:r>
      <w:bookmarkEnd w:id="9"/>
    </w:p>
    <w:p w14:paraId="378761CF">
      <w:pPr>
        <w:pStyle w:val="29"/>
        <w:bidi w:val="0"/>
        <w:rPr>
          <w:rFonts w:hint="default"/>
        </w:rPr>
      </w:pPr>
      <w:r>
        <w:rPr>
          <w:rFonts w:hint="default"/>
        </w:rPr>
        <w:t>电力行业对运维服务的可靠性、安全性和连续性具有极高要求。本周期内，将以电力行业标准（如电力监控系统安全防护要求、电力通信网运维规范等）为引领，持续优化服务交付流程，强化质量管控，确保SLA达成率、服务可用性、事件响应时效等关键指标满足或超越客户预期，打造电力行业运维服务标杆案例。</w:t>
      </w:r>
    </w:p>
    <w:p w14:paraId="3528CA7F">
      <w:pPr>
        <w:pStyle w:val="30"/>
        <w:bidi w:val="0"/>
        <w:rPr>
          <w:rFonts w:hint="default"/>
        </w:rPr>
      </w:pPr>
      <w:r>
        <w:rPr>
          <w:rFonts w:hint="default"/>
        </w:rPr>
        <w:t xml:space="preserve"> </w:t>
      </w:r>
      <w:bookmarkStart w:id="10" w:name="_Toc26975"/>
      <w:r>
        <w:rPr>
          <w:rFonts w:hint="default"/>
        </w:rPr>
        <w:t>强化技术赋能，推动运维工具自主研发</w:t>
      </w:r>
      <w:bookmarkEnd w:id="10"/>
    </w:p>
    <w:p w14:paraId="5A387F1F">
      <w:pPr>
        <w:pStyle w:val="29"/>
        <w:bidi w:val="0"/>
        <w:rPr>
          <w:rFonts w:hint="default"/>
        </w:rPr>
      </w:pPr>
      <w:r>
        <w:rPr>
          <w:rFonts w:hint="default"/>
        </w:rPr>
        <w:t>依托公司在电缆运维领域的技术积累，深入推进运维工具的自主研发。重点加快物联标识系统、隔离装置监控处置工具等电力行业专用工具的研发与应用落地，以工具赋能服务，提升电力电缆及通道运维的智能化、数字化水平，形成差异化竞争优势和自主知识产权。</w:t>
      </w:r>
    </w:p>
    <w:p w14:paraId="3AE92F34">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24885"/>
      <w:r>
        <w:rPr>
          <w:rFonts w:hint="eastAsia"/>
          <w:lang w:val="en-US" w:eastAsia="zh-CN"/>
        </w:rPr>
        <w:t>原则</w:t>
      </w:r>
      <w:bookmarkEnd w:id="11"/>
    </w:p>
    <w:p w14:paraId="2CC2FF2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F4A38D7">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23DC612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0307D3F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060E439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08442008">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行业对齐与标准引领：主动对齐电力行业相关标准（如电力监控系统安全防护要求、电力通信网运维规范等），以行业高标准引领服务能力建设，确保满足电力客户的专业化需求。</w:t>
      </w:r>
    </w:p>
    <w:p w14:paraId="159346B4">
      <w:pPr>
        <w:pStyle w:val="28"/>
        <w:keepNext w:val="0"/>
        <w:keepLines w:val="0"/>
        <w:pageBreakBefore w:val="0"/>
        <w:widowControl w:val="0"/>
        <w:kinsoku w:val="0"/>
        <w:wordWrap/>
        <w:overflowPunct/>
        <w:autoSpaceDE w:val="0"/>
        <w:autoSpaceDN w:val="0"/>
        <w:bidi w:val="0"/>
        <w:adjustRightInd w:val="0"/>
        <w:snapToGrid w:val="0"/>
        <w:textAlignment w:val="baseline"/>
      </w:pPr>
      <w:bookmarkStart w:id="12" w:name="_Toc31412"/>
      <w:r>
        <w:rPr>
          <w:rFonts w:hint="eastAsia"/>
          <w:lang w:val="en-US" w:eastAsia="zh-CN"/>
        </w:rPr>
        <w:t>适用</w:t>
      </w:r>
      <w:r>
        <w:t>范围</w:t>
      </w:r>
      <w:bookmarkEnd w:id="12"/>
    </w:p>
    <w:p w14:paraId="749C818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公司运维服务的全过程。</w:t>
      </w:r>
    </w:p>
    <w:p w14:paraId="4241998C">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3" w:name="_Toc14436"/>
      <w:r>
        <w:rPr>
          <w:rFonts w:hint="eastAsia"/>
          <w:lang w:val="en-US" w:eastAsia="zh-CN"/>
        </w:rPr>
        <w:t>运维能力管理实施</w:t>
      </w:r>
      <w:bookmarkEnd w:id="13"/>
    </w:p>
    <w:p w14:paraId="4976D620">
      <w:pPr>
        <w:pStyle w:val="30"/>
        <w:keepNext w:val="0"/>
        <w:keepLines w:val="0"/>
        <w:pageBreakBefore w:val="0"/>
        <w:widowControl w:val="0"/>
        <w:kinsoku w:val="0"/>
        <w:wordWrap/>
        <w:overflowPunct/>
        <w:autoSpaceDE w:val="0"/>
        <w:autoSpaceDN w:val="0"/>
        <w:bidi w:val="0"/>
        <w:adjustRightInd w:val="0"/>
        <w:snapToGrid w:val="0"/>
        <w:textAlignment w:val="baseline"/>
      </w:pPr>
      <w:bookmarkStart w:id="14" w:name="_Toc31042"/>
      <w:r>
        <w:t>人员</w:t>
      </w:r>
      <w:bookmarkEnd w:id="14"/>
    </w:p>
    <w:p w14:paraId="4AF2C04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16269"/>
      <w:r>
        <w:rPr>
          <w:rFonts w:hint="eastAsia"/>
          <w:lang w:val="en-US" w:eastAsia="zh-CN"/>
        </w:rPr>
        <w:t>人员招聘计划</w:t>
      </w:r>
      <w:bookmarkEnd w:id="15"/>
    </w:p>
    <w:p w14:paraId="7079FA34">
      <w:pPr>
        <w:pStyle w:val="29"/>
        <w:keepNext w:val="0"/>
        <w:keepLines w:val="0"/>
        <w:pageBreakBefore w:val="0"/>
        <w:widowControl w:val="0"/>
        <w:kinsoku w:val="0"/>
        <w:wordWrap/>
        <w:overflowPunct/>
        <w:autoSpaceDE w:val="0"/>
        <w:autoSpaceDN w:val="0"/>
        <w:bidi w:val="0"/>
        <w:adjustRightInd w:val="0"/>
        <w:snapToGrid w:val="0"/>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W w:w="93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5"/>
        <w:gridCol w:w="676"/>
        <w:gridCol w:w="1360"/>
        <w:gridCol w:w="1020"/>
        <w:gridCol w:w="3020"/>
        <w:gridCol w:w="1020"/>
        <w:gridCol w:w="1460"/>
      </w:tblGrid>
      <w:tr w14:paraId="3B269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FC4EE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2E8577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1360" w:type="dxa"/>
            <w:noWrap w:val="0"/>
            <w:tcMar>
              <w:top w:w="60" w:type="dxa"/>
              <w:left w:w="120" w:type="dxa"/>
              <w:bottom w:w="30" w:type="dxa"/>
              <w:right w:w="120" w:type="dxa"/>
            </w:tcMar>
            <w:vAlign w:val="center"/>
          </w:tcPr>
          <w:p w14:paraId="3E42B6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3C58798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19375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2F6A01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3039C2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5BFB4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1322E4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3CE27B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1360" w:type="dxa"/>
            <w:noWrap w:val="0"/>
            <w:tcMar>
              <w:top w:w="60" w:type="dxa"/>
              <w:left w:w="120" w:type="dxa"/>
              <w:bottom w:w="30" w:type="dxa"/>
              <w:right w:w="120" w:type="dxa"/>
            </w:tcMar>
            <w:vAlign w:val="center"/>
          </w:tcPr>
          <w:p w14:paraId="35ABFC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eastAsia="等线" w:cs="Arial"/>
                <w:sz w:val="22"/>
                <w:lang w:val="en-US" w:eastAsia="zh-CN"/>
              </w:rPr>
              <w:t>基础环境运维工程师</w:t>
            </w:r>
          </w:p>
        </w:tc>
        <w:tc>
          <w:tcPr>
            <w:tcW w:w="1020" w:type="dxa"/>
            <w:noWrap w:val="0"/>
            <w:tcMar>
              <w:top w:w="60" w:type="dxa"/>
              <w:left w:w="120" w:type="dxa"/>
              <w:bottom w:w="30" w:type="dxa"/>
              <w:right w:w="120" w:type="dxa"/>
            </w:tcMar>
            <w:vAlign w:val="center"/>
          </w:tcPr>
          <w:p w14:paraId="3BA1056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85DC8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093D63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0FDCDE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2025年7月</w:t>
            </w:r>
          </w:p>
        </w:tc>
      </w:tr>
      <w:tr w14:paraId="7C77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4F77A4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706A3D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1360" w:type="dxa"/>
            <w:noWrap w:val="0"/>
            <w:tcMar>
              <w:top w:w="60" w:type="dxa"/>
              <w:left w:w="120" w:type="dxa"/>
              <w:bottom w:w="30" w:type="dxa"/>
              <w:right w:w="120" w:type="dxa"/>
            </w:tcMar>
            <w:vAlign w:val="center"/>
          </w:tcPr>
          <w:p w14:paraId="7E430DF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eastAsia="等线" w:cs="Arial"/>
                <w:sz w:val="22"/>
                <w:lang w:val="en-US" w:eastAsia="zh-CN"/>
              </w:rPr>
              <w:t>硬件运维工程师</w:t>
            </w:r>
          </w:p>
        </w:tc>
        <w:tc>
          <w:tcPr>
            <w:tcW w:w="1020" w:type="dxa"/>
            <w:noWrap w:val="0"/>
            <w:tcMar>
              <w:top w:w="60" w:type="dxa"/>
              <w:left w:w="120" w:type="dxa"/>
              <w:bottom w:w="30" w:type="dxa"/>
              <w:right w:w="120" w:type="dxa"/>
            </w:tcMar>
            <w:vAlign w:val="center"/>
          </w:tcPr>
          <w:p w14:paraId="12D4524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EA12D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15A7E9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81F467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5CF9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55FDF6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57C564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noWrap w:val="0"/>
            <w:tcMar>
              <w:top w:w="60" w:type="dxa"/>
              <w:left w:w="120" w:type="dxa"/>
              <w:bottom w:w="30" w:type="dxa"/>
              <w:right w:w="120" w:type="dxa"/>
            </w:tcMar>
            <w:vAlign w:val="center"/>
          </w:tcPr>
          <w:p w14:paraId="658EACC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69A3D8F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01A218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28C3E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02592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4DE9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41A79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306DC6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1360" w:type="dxa"/>
            <w:vMerge w:val="restart"/>
            <w:noWrap w:val="0"/>
            <w:tcMar>
              <w:top w:w="60" w:type="dxa"/>
              <w:left w:w="120" w:type="dxa"/>
              <w:bottom w:w="30" w:type="dxa"/>
              <w:right w:w="120" w:type="dxa"/>
            </w:tcMar>
            <w:vAlign w:val="center"/>
          </w:tcPr>
          <w:p w14:paraId="00DE5E5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4AE7005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312C2A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3DC59F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73A3B4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7C0AB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A3A47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1976AB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vMerge w:val="continue"/>
            <w:noWrap w:val="0"/>
            <w:tcMar>
              <w:top w:w="60" w:type="dxa"/>
              <w:left w:w="120" w:type="dxa"/>
              <w:bottom w:w="30" w:type="dxa"/>
              <w:right w:w="120" w:type="dxa"/>
            </w:tcMar>
            <w:vAlign w:val="center"/>
          </w:tcPr>
          <w:p w14:paraId="0538CCD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1A186D5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7028FC9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2481AF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5D43CA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3215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821" w:type="dxa"/>
            <w:gridSpan w:val="3"/>
            <w:noWrap w:val="0"/>
            <w:tcMar>
              <w:top w:w="60" w:type="dxa"/>
              <w:left w:w="120" w:type="dxa"/>
              <w:bottom w:w="30" w:type="dxa"/>
              <w:right w:w="120" w:type="dxa"/>
            </w:tcMar>
            <w:vAlign w:val="center"/>
          </w:tcPr>
          <w:p w14:paraId="185361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5190268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6F8051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75DB30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5322AD2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05E7828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default"/>
          <w:lang w:val="en-US" w:eastAsia="zh-CN"/>
        </w:rPr>
        <w:t>根据工作重点估算人力需求，并对现有人员的分析，进一步完成年度招聘和储备计划。人员招聘计划预计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基础环境运维工程师2人、硬件运维工程师1人、服务台专员1人及软件研发工程师2人。</w:t>
      </w:r>
    </w:p>
    <w:p w14:paraId="6F6E39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人员招聘计划的考核指标为招聘计划完成率，目标值为招聘计划完成率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w:t>
      </w:r>
      <w:r>
        <w:rPr>
          <w:rFonts w:hint="eastAsia"/>
          <w:lang w:val="en-US" w:eastAsia="zh-CN"/>
        </w:rPr>
        <w:t>考核频次为</w:t>
      </w:r>
      <w:r>
        <w:rPr>
          <w:rFonts w:hint="default"/>
          <w:lang w:val="en-US" w:eastAsia="zh-CN"/>
        </w:rPr>
        <w:t>每年度考核一次。</w:t>
      </w:r>
    </w:p>
    <w:p w14:paraId="45AC184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6" w:name="_Toc11752"/>
      <w:r>
        <w:rPr>
          <w:rFonts w:hint="eastAsia"/>
          <w:lang w:val="en-US" w:eastAsia="zh-CN"/>
        </w:rPr>
        <w:t>人员储备计划</w:t>
      </w:r>
      <w:bookmarkEnd w:id="16"/>
    </w:p>
    <w:p w14:paraId="3C93BC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202</w:t>
      </w:r>
      <w:r>
        <w:rPr>
          <w:rFonts w:hint="eastAsia"/>
          <w:lang w:val="en-US" w:eastAsia="zh-CN"/>
        </w:rPr>
        <w:t>5</w:t>
      </w:r>
      <w:r>
        <w:t>年</w:t>
      </w:r>
      <w:r>
        <w:rPr>
          <w:rFonts w:hint="eastAsia"/>
          <w:lang w:val="en-US" w:eastAsia="zh-CN"/>
        </w:rPr>
        <w:t>7月-2026年6月</w:t>
      </w:r>
      <w:r>
        <w:t>总储备计划</w:t>
      </w:r>
      <w:r>
        <w:rPr>
          <w:rFonts w:hint="eastAsia"/>
          <w:lang w:val="en-US" w:eastAsia="zh-CN"/>
        </w:rPr>
        <w:t>11</w:t>
      </w:r>
      <w:r>
        <w:t>人，其中外部招聘6人、内部选聘</w:t>
      </w:r>
      <w:r>
        <w:rPr>
          <w:rFonts w:hint="eastAsia"/>
          <w:lang w:val="en-US" w:eastAsia="zh-CN"/>
        </w:rPr>
        <w:t>5</w:t>
      </w:r>
      <w:r>
        <w:t>人。计划外部招聘6人，具体为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w:t>
      </w:r>
      <w:r>
        <w:rPr>
          <w:rFonts w:hint="eastAsia"/>
          <w:lang w:val="en-US" w:eastAsia="zh-CN"/>
        </w:rPr>
        <w:t>章节第1小节</w:t>
      </w:r>
      <w:r>
        <w:t>“人员招聘计划”）。</w:t>
      </w:r>
      <w:r>
        <w:rPr>
          <w:rFonts w:hint="eastAsia"/>
          <w:lang w:val="en-US" w:eastAsia="zh-CN"/>
        </w:rPr>
        <w:t>内部储备5人，如下表所示</w:t>
      </w:r>
    </w:p>
    <w:p w14:paraId="3909C900">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4ACC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11F22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69E67C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76CE452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42D7ED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059032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16DC40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477C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7DC633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712998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06EF3E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项目经理</w:t>
            </w:r>
          </w:p>
        </w:tc>
        <w:tc>
          <w:tcPr>
            <w:tcW w:w="1626" w:type="dxa"/>
            <w:tcMar>
              <w:top w:w="60" w:type="dxa"/>
              <w:left w:w="120" w:type="dxa"/>
              <w:bottom w:w="30" w:type="dxa"/>
              <w:right w:w="120" w:type="dxa"/>
            </w:tcMar>
          </w:tcPr>
          <w:p w14:paraId="51C89A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64C2F4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1213" w:type="dxa"/>
            <w:tcMar>
              <w:top w:w="60" w:type="dxa"/>
              <w:left w:w="120" w:type="dxa"/>
              <w:bottom w:w="30" w:type="dxa"/>
              <w:right w:w="120" w:type="dxa"/>
            </w:tcMar>
          </w:tcPr>
          <w:p w14:paraId="41087F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750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5365F5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65203E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center"/>
          </w:tcPr>
          <w:p w14:paraId="2308096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基础环境运维工程师</w:t>
            </w:r>
          </w:p>
        </w:tc>
        <w:tc>
          <w:tcPr>
            <w:tcW w:w="1626" w:type="dxa"/>
            <w:shd w:val="clear" w:color="auto" w:fill="auto"/>
            <w:tcMar>
              <w:top w:w="60" w:type="dxa"/>
              <w:left w:w="120" w:type="dxa"/>
              <w:bottom w:w="30" w:type="dxa"/>
              <w:right w:w="120" w:type="dxa"/>
            </w:tcMar>
            <w:vAlign w:val="top"/>
          </w:tcPr>
          <w:p w14:paraId="0ECBAF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6317F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w:t>
            </w:r>
            <w:r>
              <w:rPr>
                <w:rFonts w:hint="eastAsia" w:eastAsia="等线" w:cs="Arial"/>
                <w:sz w:val="22"/>
                <w:lang w:val="en-US" w:eastAsia="zh-CN"/>
              </w:rPr>
              <w:t>0</w:t>
            </w:r>
            <w:r>
              <w:rPr>
                <w:rFonts w:ascii="Arial" w:hAnsi="Arial" w:eastAsia="等线" w:cs="Arial"/>
                <w:sz w:val="22"/>
              </w:rPr>
              <w:t>月</w:t>
            </w:r>
          </w:p>
        </w:tc>
        <w:tc>
          <w:tcPr>
            <w:tcW w:w="1213" w:type="dxa"/>
            <w:shd w:val="clear" w:color="auto" w:fill="auto"/>
            <w:tcMar>
              <w:top w:w="60" w:type="dxa"/>
              <w:left w:w="120" w:type="dxa"/>
              <w:bottom w:w="30" w:type="dxa"/>
              <w:right w:w="120" w:type="dxa"/>
            </w:tcMar>
            <w:vAlign w:val="top"/>
          </w:tcPr>
          <w:p w14:paraId="771C3B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8D28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5160B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667A36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center"/>
          </w:tcPr>
          <w:p w14:paraId="0AEBF24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z w:val="22"/>
                <w:lang w:val="en-US" w:eastAsia="en-US"/>
              </w:rPr>
            </w:pPr>
            <w:r>
              <w:rPr>
                <w:rFonts w:hint="eastAsia" w:ascii="Arial" w:eastAsia="等线" w:cs="Arial"/>
                <w:snapToGrid w:val="0"/>
                <w:color w:val="000000"/>
                <w:kern w:val="0"/>
                <w:sz w:val="22"/>
                <w:szCs w:val="21"/>
                <w:lang w:val="en-US" w:eastAsia="zh-CN" w:bidi="ar-SA"/>
              </w:rPr>
              <w:t>硬件运维工程师</w:t>
            </w:r>
          </w:p>
        </w:tc>
        <w:tc>
          <w:tcPr>
            <w:tcW w:w="1626" w:type="dxa"/>
            <w:shd w:val="clear" w:color="auto" w:fill="auto"/>
            <w:tcMar>
              <w:top w:w="60" w:type="dxa"/>
              <w:left w:w="120" w:type="dxa"/>
              <w:bottom w:w="30" w:type="dxa"/>
              <w:right w:w="120" w:type="dxa"/>
            </w:tcMar>
            <w:vAlign w:val="top"/>
          </w:tcPr>
          <w:p w14:paraId="52E829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3926BD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1213" w:type="dxa"/>
            <w:shd w:val="clear" w:color="auto" w:fill="auto"/>
            <w:tcMar>
              <w:top w:w="60" w:type="dxa"/>
              <w:left w:w="120" w:type="dxa"/>
              <w:bottom w:w="30" w:type="dxa"/>
              <w:right w:w="120" w:type="dxa"/>
            </w:tcMar>
            <w:vAlign w:val="top"/>
          </w:tcPr>
          <w:p w14:paraId="166011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C2CA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63E149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7A3820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391B4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lang w:val="en-US" w:eastAsia="en-US"/>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235D83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76FCF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26343C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9A90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1AFF1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584076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5</w:t>
            </w:r>
          </w:p>
        </w:tc>
        <w:tc>
          <w:tcPr>
            <w:tcW w:w="1694" w:type="dxa"/>
            <w:tcMar>
              <w:top w:w="60" w:type="dxa"/>
              <w:left w:w="120" w:type="dxa"/>
              <w:bottom w:w="30" w:type="dxa"/>
              <w:right w:w="120" w:type="dxa"/>
            </w:tcMar>
          </w:tcPr>
          <w:p w14:paraId="31277D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3D3B28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645A574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w:t>
      </w:r>
    </w:p>
    <w:p w14:paraId="3751A98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7" w:name="_Toc19281"/>
      <w:r>
        <w:rPr>
          <w:rFonts w:hint="eastAsia"/>
          <w:lang w:val="en-US" w:eastAsia="zh-CN"/>
        </w:rPr>
        <w:t>人员培训计划</w:t>
      </w:r>
      <w:bookmarkEnd w:id="17"/>
    </w:p>
    <w:p w14:paraId="07EBAA0A">
      <w:pPr>
        <w:pStyle w:val="29"/>
        <w:keepNext w:val="0"/>
        <w:keepLines w:val="0"/>
        <w:pageBreakBefore w:val="0"/>
        <w:widowControl w:val="0"/>
        <w:kinsoku w:val="0"/>
        <w:wordWrap/>
        <w:overflowPunct/>
        <w:autoSpaceDE w:val="0"/>
        <w:autoSpaceDN w:val="0"/>
        <w:bidi w:val="0"/>
        <w:adjustRightInd w:val="0"/>
        <w:snapToGrid w:val="0"/>
        <w:textAlignment w:val="baseline"/>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723173D6">
      <w:pPr>
        <w:pStyle w:val="29"/>
        <w:keepNext w:val="0"/>
        <w:keepLines w:val="0"/>
        <w:pageBreakBefore w:val="0"/>
        <w:widowControl w:val="0"/>
        <w:kinsoku w:val="0"/>
        <w:wordWrap/>
        <w:overflowPunct/>
        <w:autoSpaceDE w:val="0"/>
        <w:autoSpaceDN w:val="0"/>
        <w:bidi w:val="0"/>
        <w:adjustRightInd w:val="0"/>
        <w:snapToGrid w:val="0"/>
        <w:textAlignment w:val="baseline"/>
      </w:pPr>
      <w:r>
        <w:t>2025年</w:t>
      </w:r>
      <w:r>
        <w:rPr>
          <w:rFonts w:hint="eastAsia"/>
          <w:lang w:val="en-US" w:eastAsia="zh-CN"/>
        </w:rPr>
        <w:t>7月-2026年6月</w:t>
      </w:r>
      <w:r>
        <w:t>培训投入预算</w:t>
      </w:r>
      <w:r>
        <w:rPr>
          <w:rFonts w:hint="eastAsia"/>
          <w:lang w:val="en-US" w:eastAsia="zh-CN"/>
        </w:rPr>
        <w:t>1</w:t>
      </w:r>
      <w:r>
        <w:t>万元。</w:t>
      </w:r>
    </w:p>
    <w:p w14:paraId="511F5C5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公司</w:t>
      </w:r>
      <w:r>
        <w:rPr>
          <w:rFonts w:hint="eastAsia"/>
          <w:lang w:eastAsia="zh-CN"/>
        </w:rPr>
        <w:t>人力资源部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14:paraId="494825A9">
      <w:pPr>
        <w:rPr>
          <w:rFonts w:hint="eastAsia"/>
          <w:lang w:val="en-US" w:eastAsia="zh-CN"/>
        </w:rPr>
      </w:pPr>
      <w:r>
        <w:rPr>
          <w:rFonts w:hint="eastAsia"/>
          <w:lang w:val="en-US" w:eastAsia="zh-CN"/>
        </w:rPr>
        <w:br w:type="page"/>
      </w:r>
    </w:p>
    <w:p w14:paraId="643C5163">
      <w:pPr>
        <w:keepNext w:val="0"/>
        <w:keepLines w:val="0"/>
        <w:pageBreakBefore w:val="0"/>
        <w:widowControl w:val="0"/>
        <w:kinsoku w:val="0"/>
        <w:wordWrap/>
        <w:overflowPunct/>
        <w:autoSpaceDE w:val="0"/>
        <w:autoSpaceDN w:val="0"/>
        <w:bidi w:val="0"/>
        <w:adjustRightInd w:val="0"/>
        <w:snapToGrid w:val="0"/>
        <w:spacing w:line="25" w:lineRule="auto"/>
        <w:textAlignment w:val="baseline"/>
        <w:rPr>
          <w:rFonts w:ascii="Arial"/>
          <w:sz w:val="2"/>
        </w:rPr>
      </w:pPr>
    </w:p>
    <w:p w14:paraId="37C29D7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tblGrid>
      <w:tr w14:paraId="22975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2645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778DF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28891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33118E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0EC2F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449FEB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24C5D1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0A18F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56707C">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FB7AB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12CE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69E598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2B35C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133EAF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451CA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6B5B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B8A2AE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C0374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02748E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4938B4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D0D1F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73A61A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CA69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7454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62F4EA5">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D430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17AE30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295EAC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6CEEEC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323D33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39819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3AA2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FD682B5">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4EE4A8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7F1B2F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702657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3E06D8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43BFE6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4674DB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41F39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2F8416D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3335E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56151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74D78C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2A9C42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41DBF1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A8AA7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059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440827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401173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9427F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43212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C82B8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3349E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FAD88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2F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2BF37EA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4502D5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9B36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30A76B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93EDC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52EEA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9B815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15F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CC8D1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423462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7DB48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6E0D75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47F570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060BC4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C4937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1959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1A03B4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753AB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16EF6D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1B1B4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46CF6B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DF085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041670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7BC6E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C20D08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316205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EE350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23B04E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CB910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549F8F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41058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787B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805D7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D2505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1539AF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433F06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32A6B3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644A96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61A9BC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68BF6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DB9E4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B1854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474508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4E6B16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A7DD1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AC29A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742B4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DA3D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AA8AC0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0A347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FFC7BC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241DEF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BD897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EC87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558AA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E5C1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F0FC2D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BA8D6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69B206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3F240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472C7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3F03F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04D3F2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2B031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A8324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450B4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6F83FB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048ED6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78414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6DB1837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5710C2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DA12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2EA0A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48AD858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FF8D8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2F6D7D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4DDD42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0AA708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4760A2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F57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4BE77A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438DA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6705A6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59E6DD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0667E6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737596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79E3C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406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77381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A9047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9926E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2255B6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EB6AE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2FC7B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AC83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E4D7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A48B60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7FF1D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56AA7F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195CA1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27465B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137A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5A1102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19F6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AF8D85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60A3E2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25FFA9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058A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645600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9BC77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8EED2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A6F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C451F9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76B98B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5AC9F4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0F1E69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D351D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785FD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F8258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63A6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194B124">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635DC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550F1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napToGrid w:val="0"/>
                <w:color w:val="000000"/>
                <w:kern w:val="0"/>
                <w:sz w:val="21"/>
                <w:szCs w:val="21"/>
                <w:lang w:val="en-US" w:eastAsia="zh-CN" w:bidi="ar-SA"/>
              </w:rPr>
            </w:pPr>
            <w:r>
              <w:rPr>
                <w:rFonts w:hint="eastAsia" w:eastAsia="等线" w:cs="Arial"/>
                <w:sz w:val="22"/>
                <w:lang w:val="en-US" w:eastAsia="zh-CN"/>
              </w:rPr>
              <w:t>电缆故障测巡与诊断培训</w:t>
            </w:r>
          </w:p>
        </w:tc>
        <w:tc>
          <w:tcPr>
            <w:tcW w:w="1209" w:type="dxa"/>
            <w:shd w:val="clear" w:color="auto" w:fill="auto"/>
            <w:tcMar>
              <w:top w:w="60" w:type="dxa"/>
              <w:left w:w="120" w:type="dxa"/>
              <w:bottom w:w="30" w:type="dxa"/>
              <w:right w:w="120" w:type="dxa"/>
            </w:tcMar>
            <w:vAlign w:val="top"/>
          </w:tcPr>
          <w:p w14:paraId="047A70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72AEC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4C5394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15F5B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A9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1840E3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6DFC8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3916089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6627C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50CF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79836B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4D603F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D05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F2217A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6BBFB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C06EE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78FE5E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2DAAE1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5AC991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DCFC1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23D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2EE1B8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5DA78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0823BC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E3FB78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06B4AC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4D41BA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0071B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7B9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C9B8DA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685C8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3823A9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46E6FD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292BEC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116CEC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DA07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49B2C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18B766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7ED00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78116D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16BB27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52454E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349DC8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C8987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C7F5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6573C7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30D33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31BC95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7D869D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365F76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6215B1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7F518B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7A76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65393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A694E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361B9F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29DE4D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78524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29620D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F7FDF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66F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830097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ECE08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4ED44D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11335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D8122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0F6E7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0C97D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9DE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72D2AD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4488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430164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416E4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261766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76CB7D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80FB6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3BC7A9EC">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8" w:name="_Toc29980"/>
      <w:r>
        <w:rPr>
          <w:rFonts w:hint="eastAsia"/>
          <w:lang w:val="en-US" w:eastAsia="zh-CN"/>
        </w:rPr>
        <w:t>人员备份计划</w:t>
      </w:r>
      <w:bookmarkEnd w:id="18"/>
    </w:p>
    <w:p w14:paraId="042CD37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cs="宋体"/>
          <w:snapToGrid w:val="0"/>
          <w:color w:val="000000"/>
          <w:kern w:val="0"/>
          <w:sz w:val="24"/>
          <w:szCs w:val="24"/>
          <w:lang w:val="en-US" w:eastAsia="zh-CN" w:bidi="ar-SA"/>
        </w:rPr>
      </w:pPr>
      <w:r>
        <w:rPr>
          <w:rFonts w:hint="eastAsia"/>
          <w:lang w:val="en-US" w:eastAsia="zh-CN"/>
        </w:rPr>
        <w:t>人员备份的考核指标是备份计划完成率，计算方式为</w:t>
      </w:r>
      <w:r>
        <w:rPr>
          <w:rFonts w:hint="eastAsia" w:cs="宋体"/>
          <w:snapToGrid w:val="0"/>
          <w:color w:val="000000"/>
          <w:kern w:val="0"/>
          <w:sz w:val="24"/>
          <w:szCs w:val="24"/>
          <w:lang w:val="en-US" w:eastAsia="zh-CN" w:bidi="ar-SA"/>
        </w:rPr>
        <w:t>实际备份人数/计划备份人数*100%，目标值为≥90%，考核周期为年度考核。以下是人员备份计划</w:t>
      </w:r>
    </w:p>
    <w:tbl>
      <w:tblPr>
        <w:tblStyle w:val="20"/>
        <w:tblW w:w="8522" w:type="dxa"/>
        <w:jc w:val="center"/>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 w:type="dxa"/>
          <w:bottom w:w="0" w:type="dxa"/>
          <w:right w:w="10" w:type="dxa"/>
        </w:tblCellMar>
      </w:tblPr>
      <w:tblGrid>
        <w:gridCol w:w="832"/>
        <w:gridCol w:w="1361"/>
        <w:gridCol w:w="1055"/>
        <w:gridCol w:w="1679"/>
        <w:gridCol w:w="1723"/>
        <w:gridCol w:w="1055"/>
        <w:gridCol w:w="817"/>
      </w:tblGrid>
      <w:tr w14:paraId="57DE3AC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832" w:type="dxa"/>
            <w:tcBorders>
              <w:bottom w:val="nil"/>
              <w:right w:val="nil"/>
            </w:tcBorders>
            <w:noWrap w:val="0"/>
            <w:tcMar>
              <w:top w:w="60" w:type="dxa"/>
              <w:left w:w="120" w:type="dxa"/>
              <w:bottom w:w="30" w:type="dxa"/>
              <w:right w:w="120" w:type="dxa"/>
            </w:tcMar>
            <w:vAlign w:val="center"/>
          </w:tcPr>
          <w:p w14:paraId="6987F1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岗位类别</w:t>
            </w:r>
          </w:p>
        </w:tc>
        <w:tc>
          <w:tcPr>
            <w:tcW w:w="1361" w:type="dxa"/>
            <w:tcBorders>
              <w:left w:val="single" w:color="auto" w:sz="4" w:space="0"/>
              <w:bottom w:val="nil"/>
              <w:right w:val="nil"/>
            </w:tcBorders>
            <w:noWrap w:val="0"/>
            <w:tcMar>
              <w:top w:w="60" w:type="dxa"/>
              <w:left w:w="120" w:type="dxa"/>
              <w:bottom w:w="30" w:type="dxa"/>
              <w:right w:w="120" w:type="dxa"/>
            </w:tcMar>
            <w:vAlign w:val="center"/>
          </w:tcPr>
          <w:p w14:paraId="545F6E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55" w:type="dxa"/>
            <w:tcBorders>
              <w:left w:val="single" w:color="auto" w:sz="4" w:space="0"/>
              <w:bottom w:val="nil"/>
              <w:right w:val="nil"/>
            </w:tcBorders>
            <w:noWrap w:val="0"/>
            <w:tcMar>
              <w:top w:w="60" w:type="dxa"/>
              <w:left w:w="120" w:type="dxa"/>
              <w:bottom w:w="30" w:type="dxa"/>
              <w:right w:w="120" w:type="dxa"/>
            </w:tcMar>
            <w:vAlign w:val="center"/>
          </w:tcPr>
          <w:p w14:paraId="128940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互备人数</w:t>
            </w:r>
          </w:p>
        </w:tc>
        <w:tc>
          <w:tcPr>
            <w:tcW w:w="1679" w:type="dxa"/>
            <w:tcBorders>
              <w:left w:val="single" w:color="auto" w:sz="4" w:space="0"/>
              <w:bottom w:val="nil"/>
              <w:right w:val="nil"/>
            </w:tcBorders>
            <w:noWrap w:val="0"/>
            <w:tcMar>
              <w:top w:w="60" w:type="dxa"/>
              <w:left w:w="120" w:type="dxa"/>
              <w:bottom w:w="30" w:type="dxa"/>
              <w:right w:w="120" w:type="dxa"/>
            </w:tcMar>
            <w:vAlign w:val="center"/>
          </w:tcPr>
          <w:p w14:paraId="3BADC9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岗位角色（A）</w:t>
            </w:r>
          </w:p>
        </w:tc>
        <w:tc>
          <w:tcPr>
            <w:tcW w:w="1723" w:type="dxa"/>
            <w:tcBorders>
              <w:left w:val="single" w:color="auto" w:sz="4" w:space="0"/>
              <w:bottom w:val="nil"/>
              <w:right w:val="nil"/>
            </w:tcBorders>
            <w:noWrap w:val="0"/>
            <w:tcMar>
              <w:top w:w="60" w:type="dxa"/>
              <w:left w:w="120" w:type="dxa"/>
              <w:bottom w:w="30" w:type="dxa"/>
              <w:right w:w="120" w:type="dxa"/>
            </w:tcMar>
            <w:vAlign w:val="center"/>
          </w:tcPr>
          <w:p w14:paraId="290DD7D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岗位角色（B）</w:t>
            </w:r>
          </w:p>
        </w:tc>
        <w:tc>
          <w:tcPr>
            <w:tcW w:w="1055" w:type="dxa"/>
            <w:tcBorders>
              <w:left w:val="single" w:color="auto" w:sz="4" w:space="0"/>
              <w:bottom w:val="nil"/>
              <w:right w:val="nil"/>
            </w:tcBorders>
            <w:noWrap w:val="0"/>
            <w:tcMar>
              <w:top w:w="60" w:type="dxa"/>
              <w:left w:w="120" w:type="dxa"/>
              <w:bottom w:w="30" w:type="dxa"/>
              <w:right w:w="120" w:type="dxa"/>
            </w:tcMar>
            <w:vAlign w:val="center"/>
          </w:tcPr>
          <w:p w14:paraId="6BB2AC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储备方式</w:t>
            </w:r>
          </w:p>
        </w:tc>
        <w:tc>
          <w:tcPr>
            <w:tcW w:w="817" w:type="dxa"/>
            <w:tcBorders>
              <w:left w:val="single" w:color="auto" w:sz="4" w:space="0"/>
              <w:bottom w:val="nil"/>
            </w:tcBorders>
            <w:noWrap w:val="0"/>
            <w:tcMar>
              <w:top w:w="60" w:type="dxa"/>
              <w:left w:w="120" w:type="dxa"/>
              <w:bottom w:w="30" w:type="dxa"/>
              <w:right w:w="120" w:type="dxa"/>
            </w:tcMar>
            <w:vAlign w:val="center"/>
          </w:tcPr>
          <w:p w14:paraId="1BFB4DC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b/>
                <w:sz w:val="22"/>
                <w:lang w:val="en-US" w:eastAsia="zh-CN"/>
              </w:rPr>
            </w:pPr>
            <w:r>
              <w:rPr>
                <w:rFonts w:hint="eastAsia" w:ascii="Arial" w:eastAsia="等线"/>
                <w:b/>
                <w:sz w:val="22"/>
                <w:lang w:val="en-US" w:eastAsia="zh-CN"/>
              </w:rPr>
              <w:t>计划时间</w:t>
            </w:r>
          </w:p>
        </w:tc>
      </w:tr>
      <w:tr w14:paraId="65ACE8B8">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restart"/>
            <w:tcBorders>
              <w:top w:val="single" w:color="auto" w:sz="4" w:space="0"/>
              <w:bottom w:val="nil"/>
              <w:right w:val="nil"/>
            </w:tcBorders>
            <w:noWrap w:val="0"/>
            <w:tcMar>
              <w:top w:w="60" w:type="dxa"/>
              <w:left w:w="120" w:type="dxa"/>
              <w:bottom w:w="30" w:type="dxa"/>
              <w:right w:w="120" w:type="dxa"/>
            </w:tcMar>
            <w:vAlign w:val="center"/>
          </w:tcPr>
          <w:p w14:paraId="1591A0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管理岗</w:t>
            </w: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69436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运维部经理</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59A8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F27C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运维部经理</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C3189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sz w:val="22"/>
                <w:lang w:val="en-US" w:eastAsia="zh-CN"/>
              </w:rPr>
              <w:t>项目经理</w:t>
            </w:r>
          </w:p>
        </w:tc>
        <w:tc>
          <w:tcPr>
            <w:tcW w:w="1055" w:type="dxa"/>
            <w:vMerge w:val="restart"/>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EB57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岗位互备</w:t>
            </w: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12C2DF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sz w:val="22"/>
                <w:lang w:val="en-US" w:eastAsia="zh-CN"/>
              </w:rPr>
              <w:t>2026年3月</w:t>
            </w:r>
          </w:p>
        </w:tc>
      </w:tr>
      <w:tr w14:paraId="579FDDB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bottom w:val="nil"/>
              <w:right w:val="nil"/>
            </w:tcBorders>
            <w:noWrap w:val="0"/>
            <w:tcMar>
              <w:top w:w="60" w:type="dxa"/>
              <w:left w:w="120" w:type="dxa"/>
              <w:bottom w:w="30" w:type="dxa"/>
              <w:right w:w="120" w:type="dxa"/>
            </w:tcMar>
            <w:vAlign w:val="center"/>
          </w:tcPr>
          <w:p w14:paraId="7663348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B4086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研发部经理</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1CE2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1</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CC6F1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研发部经理</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92FA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eastAsia="等线"/>
                <w:sz w:val="22"/>
                <w:lang w:eastAsia="zh-CN"/>
              </w:rPr>
            </w:pPr>
            <w:r>
              <w:rPr>
                <w:rFonts w:hint="eastAsia" w:ascii="Arial" w:eastAsia="等线" w:cs="Arial"/>
                <w:sz w:val="22"/>
                <w:lang w:eastAsia="zh-CN"/>
              </w:rPr>
              <w:t>软件研发工程师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43EA9B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5B4D432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2026年3月</w:t>
            </w:r>
          </w:p>
        </w:tc>
      </w:tr>
      <w:tr w14:paraId="0EE096AA">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restart"/>
            <w:tcBorders>
              <w:top w:val="single" w:color="auto" w:sz="4" w:space="0"/>
              <w:bottom w:val="nil"/>
              <w:right w:val="nil"/>
            </w:tcBorders>
            <w:noWrap w:val="0"/>
            <w:tcMar>
              <w:top w:w="60" w:type="dxa"/>
              <w:left w:w="120" w:type="dxa"/>
              <w:bottom w:w="30" w:type="dxa"/>
              <w:right w:w="120" w:type="dxa"/>
            </w:tcMar>
            <w:vAlign w:val="center"/>
          </w:tcPr>
          <w:p w14:paraId="45422E8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29B92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基础环境运维工程师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991DA4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3C2D2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基础环境运维工程师</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06C83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sz w:val="22"/>
                <w:lang w:val="en-US" w:eastAsia="zh-CN"/>
              </w:rPr>
              <w:t>硬件运维工程师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CBD38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2E25EDD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2025年7月</w:t>
            </w:r>
          </w:p>
        </w:tc>
      </w:tr>
      <w:tr w14:paraId="2587C0F5">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bottom w:val="nil"/>
              <w:right w:val="nil"/>
            </w:tcBorders>
            <w:noWrap w:val="0"/>
            <w:tcMar>
              <w:top w:w="60" w:type="dxa"/>
              <w:left w:w="120" w:type="dxa"/>
              <w:bottom w:w="30" w:type="dxa"/>
              <w:right w:w="120" w:type="dxa"/>
            </w:tcMar>
            <w:vAlign w:val="center"/>
          </w:tcPr>
          <w:p w14:paraId="59F518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925A0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基础环境运维工程师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6C66C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AC68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基础环境运维工程师</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FB5CFC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sz w:val="22"/>
                <w:lang w:val="en-US" w:eastAsia="zh-CN"/>
              </w:rPr>
              <w:t>硬件运维工程师</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F2B5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184DBF1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2025年8月</w:t>
            </w:r>
          </w:p>
        </w:tc>
      </w:tr>
      <w:tr w14:paraId="2A97954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832" w:type="dxa"/>
            <w:vMerge w:val="continue"/>
            <w:tcBorders>
              <w:top w:val="single" w:color="auto" w:sz="4" w:space="0"/>
              <w:bottom w:val="nil"/>
              <w:right w:val="nil"/>
            </w:tcBorders>
            <w:noWrap w:val="0"/>
            <w:tcMar>
              <w:top w:w="60" w:type="dxa"/>
              <w:left w:w="120" w:type="dxa"/>
              <w:bottom w:w="30" w:type="dxa"/>
              <w:right w:w="120" w:type="dxa"/>
            </w:tcMar>
            <w:vAlign w:val="center"/>
          </w:tcPr>
          <w:p w14:paraId="616D1E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19E75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eastAsia="zh-CN"/>
              </w:rPr>
            </w:pPr>
            <w:r>
              <w:rPr>
                <w:rFonts w:hint="eastAsia" w:ascii="Arial" w:eastAsia="等线" w:cs="Arial"/>
                <w:sz w:val="22"/>
                <w:lang w:eastAsia="zh-CN"/>
              </w:rPr>
              <w:t>软件研发工程师</w:t>
            </w:r>
          </w:p>
        </w:tc>
        <w:tc>
          <w:tcPr>
            <w:tcW w:w="10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ACCF6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4</w:t>
            </w:r>
          </w:p>
        </w:tc>
        <w:tc>
          <w:tcPr>
            <w:tcW w:w="16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BBD2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软件研发工程师（中级）</w:t>
            </w:r>
          </w:p>
        </w:tc>
        <w:tc>
          <w:tcPr>
            <w:tcW w:w="172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2EF1F4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eastAsia="zh-CN"/>
              </w:rPr>
              <w:t>软件研发工程师</w:t>
            </w:r>
            <w:r>
              <w:rPr>
                <w:rFonts w:ascii="Arial" w:hAnsi="Arial" w:eastAsia="等线" w:cs="Arial"/>
                <w:sz w:val="22"/>
              </w:rPr>
              <w:t>（初级）</w:t>
            </w:r>
          </w:p>
        </w:tc>
        <w:tc>
          <w:tcPr>
            <w:tcW w:w="1055" w:type="dxa"/>
            <w:vMerge w:val="continue"/>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42B63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817" w:type="dxa"/>
            <w:tcBorders>
              <w:top w:val="single" w:color="auto" w:sz="4" w:space="0"/>
              <w:left w:val="single" w:color="auto" w:sz="4" w:space="0"/>
              <w:bottom w:val="nil"/>
            </w:tcBorders>
            <w:noWrap w:val="0"/>
            <w:tcMar>
              <w:top w:w="60" w:type="dxa"/>
              <w:left w:w="120" w:type="dxa"/>
              <w:bottom w:w="30" w:type="dxa"/>
              <w:right w:w="120" w:type="dxa"/>
            </w:tcMar>
            <w:vAlign w:val="center"/>
          </w:tcPr>
          <w:p w14:paraId="5D3DB00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sz w:val="22"/>
                <w:lang w:val="en-US" w:eastAsia="zh-CN"/>
              </w:rPr>
              <w:t>2025年8月</w:t>
            </w:r>
          </w:p>
        </w:tc>
      </w:tr>
      <w:tr w14:paraId="3A8887E5">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361" w:type="dxa"/>
            <w:gridSpan w:val="2"/>
            <w:tcBorders>
              <w:top w:val="single" w:color="auto" w:sz="4" w:space="0"/>
              <w:right w:val="nil"/>
            </w:tcBorders>
            <w:noWrap w:val="0"/>
            <w:tcMar>
              <w:top w:w="60" w:type="dxa"/>
              <w:left w:w="120" w:type="dxa"/>
              <w:bottom w:w="30" w:type="dxa"/>
              <w:right w:w="120" w:type="dxa"/>
            </w:tcMar>
            <w:vAlign w:val="center"/>
          </w:tcPr>
          <w:p w14:paraId="6495FD1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合计</w:t>
            </w:r>
          </w:p>
        </w:tc>
        <w:tc>
          <w:tcPr>
            <w:tcW w:w="1055" w:type="dxa"/>
            <w:tcBorders>
              <w:top w:val="single" w:color="auto" w:sz="4" w:space="0"/>
              <w:left w:val="single" w:color="auto" w:sz="4" w:space="0"/>
              <w:right w:val="nil"/>
            </w:tcBorders>
            <w:noWrap w:val="0"/>
            <w:tcMar>
              <w:top w:w="60" w:type="dxa"/>
              <w:left w:w="120" w:type="dxa"/>
              <w:bottom w:w="30" w:type="dxa"/>
              <w:right w:w="120" w:type="dxa"/>
            </w:tcMar>
            <w:vAlign w:val="center"/>
          </w:tcPr>
          <w:p w14:paraId="42F540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default" w:ascii="Arial" w:eastAsia="等线"/>
                <w:b/>
                <w:sz w:val="22"/>
                <w:lang w:val="en-US" w:eastAsia="zh-CN"/>
              </w:rPr>
            </w:pPr>
            <w:r>
              <w:rPr>
                <w:rFonts w:hint="eastAsia" w:ascii="Arial" w:eastAsia="等线"/>
                <w:b/>
                <w:sz w:val="22"/>
                <w:lang w:val="en-US" w:eastAsia="zh-CN"/>
              </w:rPr>
              <w:t>10</w:t>
            </w:r>
          </w:p>
        </w:tc>
        <w:tc>
          <w:tcPr>
            <w:tcW w:w="1679" w:type="dxa"/>
            <w:tcBorders>
              <w:top w:val="single" w:color="auto" w:sz="4" w:space="0"/>
              <w:left w:val="single" w:color="auto" w:sz="4" w:space="0"/>
              <w:right w:val="nil"/>
            </w:tcBorders>
            <w:noWrap w:val="0"/>
            <w:tcMar>
              <w:top w:w="60" w:type="dxa"/>
              <w:left w:w="120" w:type="dxa"/>
              <w:bottom w:w="30" w:type="dxa"/>
              <w:right w:w="120" w:type="dxa"/>
            </w:tcMar>
            <w:vAlign w:val="center"/>
          </w:tcPr>
          <w:p w14:paraId="3B3E70B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723" w:type="dxa"/>
            <w:tcBorders>
              <w:top w:val="single" w:color="auto" w:sz="4" w:space="0"/>
              <w:left w:val="single" w:color="auto" w:sz="4" w:space="0"/>
              <w:right w:val="nil"/>
            </w:tcBorders>
            <w:noWrap w:val="0"/>
            <w:tcMar>
              <w:top w:w="60" w:type="dxa"/>
              <w:left w:w="120" w:type="dxa"/>
              <w:bottom w:w="30" w:type="dxa"/>
              <w:right w:w="120" w:type="dxa"/>
            </w:tcMar>
            <w:vAlign w:val="center"/>
          </w:tcPr>
          <w:p w14:paraId="3AC90C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055" w:type="dxa"/>
            <w:tcBorders>
              <w:top w:val="single" w:color="auto" w:sz="4" w:space="0"/>
              <w:left w:val="single" w:color="auto" w:sz="4" w:space="0"/>
              <w:right w:val="nil"/>
            </w:tcBorders>
            <w:noWrap w:val="0"/>
            <w:tcMar>
              <w:top w:w="60" w:type="dxa"/>
              <w:left w:w="120" w:type="dxa"/>
              <w:bottom w:w="30" w:type="dxa"/>
              <w:right w:w="120" w:type="dxa"/>
            </w:tcMar>
            <w:vAlign w:val="center"/>
          </w:tcPr>
          <w:p w14:paraId="5DDFA4F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817" w:type="dxa"/>
            <w:tcBorders>
              <w:top w:val="single" w:color="auto" w:sz="4" w:space="0"/>
              <w:left w:val="single" w:color="auto" w:sz="4" w:space="0"/>
            </w:tcBorders>
            <w:noWrap w:val="0"/>
            <w:tcMar>
              <w:top w:w="60" w:type="dxa"/>
              <w:left w:w="120" w:type="dxa"/>
              <w:bottom w:w="30" w:type="dxa"/>
              <w:right w:w="120" w:type="dxa"/>
            </w:tcMar>
            <w:vAlign w:val="center"/>
          </w:tcPr>
          <w:p w14:paraId="08704FE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p>
        </w:tc>
      </w:tr>
    </w:tbl>
    <w:p w14:paraId="04AC049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9" w:name="_Toc32597"/>
      <w:r>
        <w:rPr>
          <w:rFonts w:hint="eastAsia"/>
          <w:lang w:val="en-US" w:eastAsia="zh-CN"/>
        </w:rPr>
        <w:t>人员绩效考核计划</w:t>
      </w:r>
      <w:bookmarkEnd w:id="19"/>
    </w:p>
    <w:p w14:paraId="7BFA362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bookmarkStart w:id="55" w:name="_GoBack"/>
      <w:bookmarkEnd w:id="55"/>
    </w:p>
    <w:p w14:paraId="762D4F7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24783"/>
      <w:r>
        <w:rPr>
          <w:rFonts w:hint="eastAsia"/>
          <w:lang w:val="en-US" w:eastAsia="zh-CN"/>
        </w:rPr>
        <w:t>人员能力评价计划</w:t>
      </w:r>
      <w:bookmarkEnd w:id="20"/>
    </w:p>
    <w:p w14:paraId="6E817699">
      <w:pPr>
        <w:pStyle w:val="29"/>
        <w:keepNext w:val="0"/>
        <w:keepLines w:val="0"/>
        <w:pageBreakBefore w:val="0"/>
        <w:widowControl w:val="0"/>
        <w:kinsoku w:val="0"/>
        <w:wordWrap/>
        <w:overflowPunct/>
        <w:autoSpaceDE w:val="0"/>
        <w:autoSpaceDN w:val="0"/>
        <w:bidi w:val="0"/>
        <w:adjustRightInd w:val="0"/>
        <w:snapToGrid w:val="0"/>
        <w:textAlignment w:val="baseline"/>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14:paraId="1FEEB70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1" w:name="_Toc14112"/>
      <w:bookmarkStart w:id="22" w:name="_Toc17424"/>
      <w:r>
        <w:rPr>
          <w:rFonts w:hint="eastAsia"/>
          <w:lang w:val="en-US" w:eastAsia="zh-CN"/>
        </w:rPr>
        <w:t>资源</w:t>
      </w:r>
      <w:bookmarkEnd w:id="21"/>
    </w:p>
    <w:p w14:paraId="541DE64D">
      <w:pPr>
        <w:pStyle w:val="29"/>
        <w:bidi w:val="0"/>
        <w:rPr>
          <w:rFonts w:hint="eastAsia"/>
          <w:lang w:eastAsia="zh-CN"/>
        </w:rPr>
      </w:pPr>
      <w:r>
        <w:t>总结202</w:t>
      </w:r>
      <w:r>
        <w:rPr>
          <w:rFonts w:hint="eastAsia"/>
          <w:lang w:val="en-US" w:eastAsia="zh-CN"/>
        </w:rPr>
        <w:t>5</w:t>
      </w:r>
      <w:r>
        <w:t>年</w:t>
      </w:r>
      <w:r>
        <w:rPr>
          <w:rFonts w:hint="eastAsia"/>
          <w:lang w:val="en-US" w:eastAsia="zh-CN"/>
        </w:rPr>
        <w:t>1-6月</w:t>
      </w:r>
      <w:r>
        <w:t>运维服务工作中资源情况，发现我们还存在不少可以优化的地方，</w:t>
      </w:r>
      <w:r>
        <w:rPr>
          <w:rFonts w:hint="eastAsia"/>
          <w:lang w:val="en-US" w:eastAsia="zh-CN"/>
        </w:rPr>
        <w:t>在后期的运维过程中应该加强对工具的使用来提高运维人员工作效率</w:t>
      </w:r>
      <w:r>
        <w:rPr>
          <w:rFonts w:hint="eastAsia"/>
          <w:lang w:eastAsia="zh-CN"/>
        </w:rPr>
        <w:t>。</w:t>
      </w:r>
    </w:p>
    <w:p w14:paraId="00B44D77">
      <w:pPr>
        <w:pStyle w:val="31"/>
        <w:keepNext w:val="0"/>
        <w:keepLines w:val="0"/>
        <w:pageBreakBefore w:val="0"/>
        <w:widowControl w:val="0"/>
        <w:kinsoku w:val="0"/>
        <w:wordWrap/>
        <w:overflowPunct/>
        <w:autoSpaceDE w:val="0"/>
        <w:autoSpaceDN w:val="0"/>
        <w:bidi w:val="0"/>
        <w:adjustRightInd w:val="0"/>
        <w:snapToGrid w:val="0"/>
        <w:textAlignment w:val="baseline"/>
      </w:pPr>
      <w:bookmarkStart w:id="23" w:name="bookmark66"/>
      <w:bookmarkEnd w:id="23"/>
      <w:bookmarkStart w:id="24" w:name="bookmark16"/>
      <w:bookmarkEnd w:id="24"/>
      <w:bookmarkStart w:id="25" w:name="bookmark17"/>
      <w:bookmarkEnd w:id="25"/>
      <w:bookmarkStart w:id="26" w:name="_Toc4699"/>
      <w:r>
        <w:t>运行维护工具</w:t>
      </w:r>
      <w:bookmarkEnd w:id="26"/>
    </w:p>
    <w:p w14:paraId="7F77D2A1">
      <w:pPr>
        <w:pStyle w:val="29"/>
        <w:keepNext w:val="0"/>
        <w:keepLines w:val="0"/>
        <w:pageBreakBefore w:val="0"/>
        <w:widowControl w:val="0"/>
        <w:kinsoku w:val="0"/>
        <w:wordWrap/>
        <w:overflowPunct/>
        <w:autoSpaceDE w:val="0"/>
        <w:autoSpaceDN w:val="0"/>
        <w:bidi w:val="0"/>
        <w:adjustRightInd w:val="0"/>
        <w:snapToGrid w:val="0"/>
        <w:textAlignment w:val="baseline"/>
      </w:pPr>
      <w:r>
        <w:t>运维工具在2025年</w:t>
      </w:r>
      <w:r>
        <w:rPr>
          <w:rFonts w:hint="eastAsia"/>
          <w:lang w:val="en-US" w:eastAsia="zh-CN"/>
        </w:rPr>
        <w:t>7月-2026年6月</w:t>
      </w:r>
      <w:r>
        <w:t>的应用需要加强以下几个方面的工作：</w:t>
      </w:r>
    </w:p>
    <w:p w14:paraId="11DE38B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t>加强流程管理工具的改进工作：对于驻场服务项目，本年度要重点收集使用意见，对工具进行改进，提高工具的实用性；</w:t>
      </w:r>
    </w:p>
    <w:p w14:paraId="7D94288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t>继续加强自动化监控管理工具的应用：部分有条件的项目，已经上线自动化监控管理工具，需要对运维部的主要运维工程师加强自动化监控管理工具的培训，提升操作能力。</w:t>
      </w:r>
    </w:p>
    <w:p w14:paraId="44B3EA36">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r>
        <w:rPr>
          <w:rFonts w:hint="eastAsia"/>
          <w:lang w:val="en-US" w:eastAsia="zh-CN"/>
        </w:rPr>
        <w:t>运维工具至少自评估一次。</w:t>
      </w:r>
    </w:p>
    <w:p w14:paraId="353929F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7" w:name="_Toc15059"/>
      <w:r>
        <w:rPr>
          <w:rFonts w:hint="eastAsia"/>
          <w:lang w:val="en-US" w:eastAsia="zh-CN"/>
        </w:rPr>
        <w:t>服务台</w:t>
      </w:r>
      <w:bookmarkEnd w:id="27"/>
    </w:p>
    <w:p w14:paraId="0D4DD1AA">
      <w:pPr>
        <w:pStyle w:val="29"/>
        <w:bidi w:val="0"/>
        <w:rPr>
          <w:rFonts w:hint="eastAsia"/>
          <w:lang w:eastAsia="zh-CN"/>
        </w:rPr>
      </w:pPr>
      <w:r>
        <w:t>针对客户投诉，2025年</w:t>
      </w:r>
      <w:r>
        <w:rPr>
          <w:rFonts w:hint="eastAsia"/>
          <w:lang w:val="en-US" w:eastAsia="zh-CN"/>
        </w:rPr>
        <w:t>7月-2026年6月</w:t>
      </w:r>
      <w:r>
        <w:t>规划做出更好的要求</w:t>
      </w:r>
      <w:r>
        <w:rPr>
          <w:rFonts w:hint="eastAsia"/>
          <w:lang w:eastAsia="zh-CN"/>
        </w:rPr>
        <w:t>：</w:t>
      </w:r>
    </w:p>
    <w:p w14:paraId="5560E0CC">
      <w:pPr>
        <w:pStyle w:val="39"/>
        <w:numPr>
          <w:ilvl w:val="0"/>
          <w:numId w:val="5"/>
        </w:numPr>
        <w:bidi w:val="0"/>
        <w:ind w:left="425" w:leftChars="0" w:hanging="425" w:firstLineChars="0"/>
      </w:pPr>
      <w:r>
        <w:t>优化客户满意度调查，做好对客户的服务，确保客户满意度≥95分。</w:t>
      </w:r>
    </w:p>
    <w:p w14:paraId="29DDAC28">
      <w:pPr>
        <w:pStyle w:val="39"/>
        <w:numPr>
          <w:ilvl w:val="0"/>
          <w:numId w:val="5"/>
        </w:numPr>
        <w:bidi w:val="0"/>
        <w:ind w:left="425" w:leftChars="0" w:hanging="425" w:firstLineChars="0"/>
      </w:pPr>
      <w:r>
        <w:t>对服务台日常工作记录的完整性，用户评价记录的完整性等指标进行评价改进。</w:t>
      </w:r>
    </w:p>
    <w:p w14:paraId="48C40D19">
      <w:pPr>
        <w:pStyle w:val="39"/>
        <w:numPr>
          <w:ilvl w:val="0"/>
          <w:numId w:val="5"/>
        </w:numPr>
        <w:bidi w:val="0"/>
        <w:ind w:left="425" w:leftChars="0" w:hanging="425" w:firstLineChars="0"/>
      </w:pPr>
      <w:r>
        <w:t>针对客户投诉，2025年</w:t>
      </w:r>
      <w:r>
        <w:rPr>
          <w:rFonts w:hint="eastAsia"/>
          <w:lang w:val="en-US" w:eastAsia="zh-CN"/>
        </w:rPr>
        <w:t>7月-2026年6月</w:t>
      </w:r>
      <w:r>
        <w:t>规划做出更好的要求，要求每个客户投诉都要进行当天有效处理，投诉24小时内有效处理率100%。</w:t>
      </w:r>
    </w:p>
    <w:p w14:paraId="12B89B9D">
      <w:pPr>
        <w:pStyle w:val="39"/>
        <w:numPr>
          <w:ilvl w:val="0"/>
          <w:numId w:val="5"/>
        </w:numPr>
        <w:bidi w:val="0"/>
        <w:ind w:left="425" w:leftChars="0" w:hanging="425" w:firstLineChars="0"/>
      </w:pPr>
      <w:r>
        <w:t>成功回访事件数占事件总数的比例，2025年</w:t>
      </w:r>
      <w:r>
        <w:rPr>
          <w:rFonts w:hint="eastAsia"/>
          <w:lang w:val="en-US" w:eastAsia="zh-CN"/>
        </w:rPr>
        <w:t>7月-2026年6月</w:t>
      </w:r>
      <w:r>
        <w:t xml:space="preserve">规划成功回访事件覆盖率目标应达到 </w:t>
      </w:r>
      <w:r>
        <w:rPr>
          <w:rFonts w:hint="eastAsia"/>
          <w:lang w:val="en-US" w:eastAsia="zh-CN"/>
        </w:rPr>
        <w:t>95</w:t>
      </w:r>
      <w:r>
        <w:t>%</w:t>
      </w:r>
      <w:r>
        <w:rPr>
          <w:rFonts w:hint="eastAsia"/>
          <w:lang w:eastAsia="zh-CN"/>
        </w:rPr>
        <w:t>，</w:t>
      </w:r>
      <w:r>
        <w:rPr>
          <w:rFonts w:hint="eastAsia"/>
          <w:lang w:val="en-US" w:eastAsia="zh-CN"/>
        </w:rPr>
        <w:t>每半年考核一次</w:t>
      </w:r>
      <w:r>
        <w:t>。</w:t>
      </w:r>
    </w:p>
    <w:p w14:paraId="719F626F">
      <w:pPr>
        <w:pStyle w:val="39"/>
        <w:numPr>
          <w:ilvl w:val="0"/>
          <w:numId w:val="5"/>
        </w:numPr>
        <w:bidi w:val="0"/>
        <w:ind w:left="425" w:leftChars="0" w:hanging="425" w:firstLineChars="0"/>
      </w:pPr>
      <w:r>
        <w:rPr>
          <w:rFonts w:hint="eastAsia"/>
          <w:lang w:val="en-US" w:eastAsia="zh-CN"/>
        </w:rPr>
        <w:t>服务台成功派单数占服务台派单总数的比例，要求不低于95%，每季度考核一次。</w:t>
      </w:r>
    </w:p>
    <w:p w14:paraId="70BA82B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8" w:name="_Toc21732"/>
      <w:r>
        <w:rPr>
          <w:rFonts w:hint="eastAsia"/>
          <w:lang w:val="en-US" w:eastAsia="zh-CN"/>
        </w:rPr>
        <w:t>备件库</w:t>
      </w:r>
      <w:bookmarkEnd w:id="28"/>
    </w:p>
    <w:p w14:paraId="42CE7C7E">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14:paraId="3C8BE8F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8039"/>
      <w:r>
        <w:rPr>
          <w:rFonts w:hint="eastAsia"/>
          <w:lang w:val="en-US" w:eastAsia="zh-CN"/>
        </w:rPr>
        <w:t>服务知识</w:t>
      </w:r>
      <w:bookmarkEnd w:id="29"/>
    </w:p>
    <w:p w14:paraId="3F2068FE">
      <w:pPr>
        <w:pStyle w:val="29"/>
        <w:keepNext w:val="0"/>
        <w:keepLines w:val="0"/>
        <w:pageBreakBefore w:val="0"/>
        <w:widowControl w:val="0"/>
        <w:kinsoku w:val="0"/>
        <w:wordWrap/>
        <w:overflowPunct/>
        <w:autoSpaceDE w:val="0"/>
        <w:autoSpaceDN w:val="0"/>
        <w:bidi w:val="0"/>
        <w:adjustRightInd w:val="0"/>
        <w:snapToGrid w:val="0"/>
        <w:textAlignment w:val="baseline"/>
      </w:pPr>
      <w:r>
        <w:t>202</w:t>
      </w:r>
      <w:r>
        <w:rPr>
          <w:rFonts w:hint="eastAsia"/>
          <w:lang w:val="en-US" w:eastAsia="zh-CN"/>
        </w:rPr>
        <w:t>5</w:t>
      </w:r>
      <w:r>
        <w:t>年</w:t>
      </w:r>
      <w:r>
        <w:rPr>
          <w:rFonts w:hint="eastAsia"/>
          <w:lang w:val="en-US" w:eastAsia="zh-CN"/>
        </w:rPr>
        <w:t>1-6月</w:t>
      </w:r>
      <w:r>
        <w:t>在服务知识维护和利用方面有了较大的提高，也为运维工作的效率、质量的提高起到很好的支撑作用，但在服务知识入库审核、服务知识的覆盖面等方面还存在不足。</w:t>
      </w: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规划在服务知识覆盖面、知识入库审核等多个方面进行优化完善。</w:t>
      </w:r>
    </w:p>
    <w:p w14:paraId="09A37DD2">
      <w:pPr>
        <w:pStyle w:val="29"/>
        <w:keepNext w:val="0"/>
        <w:keepLines w:val="0"/>
        <w:pageBreakBefore w:val="0"/>
        <w:widowControl w:val="0"/>
        <w:kinsoku w:val="0"/>
        <w:wordWrap/>
        <w:overflowPunct/>
        <w:autoSpaceDE w:val="0"/>
        <w:autoSpaceDN w:val="0"/>
        <w:bidi w:val="0"/>
        <w:adjustRightInd w:val="0"/>
        <w:snapToGrid w:val="0"/>
        <w:textAlignment w:val="baseline"/>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14:paraId="6F101641">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987"/>
      <w:r>
        <w:rPr>
          <w:rFonts w:hint="eastAsia"/>
          <w:lang w:val="en-US" w:eastAsia="zh-CN"/>
        </w:rPr>
        <w:t>最终软件库</w:t>
      </w:r>
      <w:bookmarkEnd w:id="30"/>
    </w:p>
    <w:p w14:paraId="03DB530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2FE2062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14:paraId="3DF7D4B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24834"/>
      <w:r>
        <w:rPr>
          <w:rFonts w:hint="eastAsia"/>
          <w:lang w:val="en-US" w:eastAsia="zh-CN"/>
        </w:rPr>
        <w:t>服务数据</w:t>
      </w:r>
      <w:bookmarkEnd w:id="31"/>
    </w:p>
    <w:p w14:paraId="525B44B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1D334A0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14:paraId="4CF377F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26246"/>
      <w:r>
        <w:rPr>
          <w:rFonts w:hint="eastAsia"/>
          <w:lang w:val="en-US" w:eastAsia="zh-CN"/>
        </w:rPr>
        <w:t>技术</w:t>
      </w:r>
      <w:bookmarkEnd w:id="32"/>
    </w:p>
    <w:p w14:paraId="02654E4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根据公司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具体技术研发目标、重点项目及实施</w:t>
      </w:r>
      <w:r>
        <w:rPr>
          <w:rFonts w:hint="eastAsia"/>
          <w:lang w:val="en-US" w:eastAsia="zh-CN"/>
        </w:rPr>
        <w:t>计划</w:t>
      </w:r>
      <w:r>
        <w:t>见《</w:t>
      </w:r>
      <w:r>
        <w:rPr>
          <w:rFonts w:hint="eastAsia"/>
        </w:rPr>
        <w:t>运维研发规划</w:t>
      </w:r>
      <w:r>
        <w:t>》</w:t>
      </w:r>
    </w:p>
    <w:p w14:paraId="501182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10305"/>
      <w:r>
        <w:rPr>
          <w:rFonts w:hint="eastAsia"/>
          <w:lang w:val="en-US" w:eastAsia="zh-CN"/>
        </w:rPr>
        <w:t>过程</w:t>
      </w:r>
      <w:bookmarkEnd w:id="33"/>
    </w:p>
    <w:p w14:paraId="1C3D2B9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4" w:name="_Toc12461"/>
      <w:r>
        <w:rPr>
          <w:rFonts w:hint="eastAsia"/>
          <w:lang w:val="en-US" w:eastAsia="zh-CN"/>
        </w:rPr>
        <w:t>过程框架设计</w:t>
      </w:r>
      <w:bookmarkEnd w:id="34"/>
    </w:p>
    <w:p w14:paraId="066CE38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14:paraId="1FE3841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8515"/>
      <w:r>
        <w:rPr>
          <w:rFonts w:hint="eastAsia"/>
          <w:lang w:val="en-US" w:eastAsia="zh-CN"/>
        </w:rPr>
        <w:t>服务级别管理</w:t>
      </w:r>
      <w:bookmarkEnd w:id="35"/>
    </w:p>
    <w:p w14:paraId="3B59F85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要求每年的SLA达成率不得低于95%。</w:t>
      </w:r>
    </w:p>
    <w:p w14:paraId="4C0C43F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6629"/>
      <w:r>
        <w:rPr>
          <w:rFonts w:hint="eastAsia"/>
          <w:lang w:val="en-US" w:eastAsia="zh-CN"/>
        </w:rPr>
        <w:t>服务报告管理</w:t>
      </w:r>
      <w:bookmarkEnd w:id="36"/>
    </w:p>
    <w:p w14:paraId="65A9DEC5">
      <w:pPr>
        <w:pStyle w:val="29"/>
        <w:bidi w:val="0"/>
      </w:pPr>
      <w:r>
        <w:t>2025年</w:t>
      </w:r>
      <w:r>
        <w:rPr>
          <w:rFonts w:hint="eastAsia"/>
          <w:lang w:val="en-US" w:eastAsia="zh-CN"/>
        </w:rPr>
        <w:t>7月-2026年6月</w:t>
      </w:r>
      <w:r>
        <w:rPr>
          <w:rFonts w:hint="default"/>
        </w:rPr>
        <w:t>，服务报告管理工作将重点围绕以下两方面深入开展：</w:t>
      </w:r>
    </w:p>
    <w:p w14:paraId="59E2B94D">
      <w:pPr>
        <w:pStyle w:val="39"/>
        <w:numPr>
          <w:ilvl w:val="0"/>
          <w:numId w:val="6"/>
        </w:numPr>
        <w:bidi w:val="0"/>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135519A4">
      <w:pPr>
        <w:pStyle w:val="39"/>
        <w:numPr>
          <w:ilvl w:val="0"/>
          <w:numId w:val="6"/>
        </w:numPr>
        <w:bidi w:val="0"/>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40D5654A">
      <w:pPr>
        <w:pStyle w:val="39"/>
        <w:numPr>
          <w:ilvl w:val="0"/>
          <w:numId w:val="6"/>
        </w:numPr>
        <w:bidi w:val="0"/>
        <w:rPr>
          <w:rFonts w:hint="default"/>
        </w:rPr>
      </w:pPr>
      <w:r>
        <w:rPr>
          <w:rFonts w:hint="eastAsia"/>
          <w:lang w:val="en-US" w:eastAsia="zh-CN"/>
        </w:rPr>
        <w:t>每季度对服务报告及时提交率进行考核，要求不低于95%，计算方式为</w:t>
      </w:r>
      <w:r>
        <w:t>服务报告按时提交的数量/应提交的服务报告数量×100 %</w:t>
      </w:r>
    </w:p>
    <w:p w14:paraId="0B3D233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7" w:name="_Toc22784"/>
      <w:r>
        <w:rPr>
          <w:rFonts w:hint="eastAsia"/>
          <w:lang w:val="en-US" w:eastAsia="zh-CN"/>
        </w:rPr>
        <w:t>事件管理</w:t>
      </w:r>
      <w:bookmarkEnd w:id="37"/>
    </w:p>
    <w:p w14:paraId="282485A4">
      <w:pPr>
        <w:pStyle w:val="29"/>
        <w:bidi w:val="0"/>
      </w:pPr>
      <w:r>
        <w:t>2025年</w:t>
      </w:r>
      <w:r>
        <w:rPr>
          <w:rFonts w:hint="eastAsia"/>
          <w:lang w:val="en-US" w:eastAsia="zh-CN"/>
        </w:rPr>
        <w:t>7月-2026年6月</w:t>
      </w:r>
      <w:r>
        <w:rPr>
          <w:rFonts w:hint="default"/>
        </w:rPr>
        <w:t>，事件管理工作将重点围绕以下两方面进行深化与优化：</w:t>
      </w:r>
    </w:p>
    <w:p w14:paraId="4868CECB">
      <w:pPr>
        <w:pStyle w:val="39"/>
        <w:numPr>
          <w:ilvl w:val="0"/>
          <w:numId w:val="7"/>
        </w:numPr>
        <w:bidi w:val="0"/>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43D42EBE">
      <w:pPr>
        <w:pStyle w:val="39"/>
        <w:numPr>
          <w:ilvl w:val="0"/>
          <w:numId w:val="7"/>
        </w:numPr>
        <w:bidi w:val="0"/>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17D2E102">
      <w:pPr>
        <w:pStyle w:val="39"/>
        <w:numPr>
          <w:ilvl w:val="0"/>
          <w:numId w:val="7"/>
        </w:numPr>
        <w:bidi w:val="0"/>
        <w:rPr>
          <w:rFonts w:hint="default"/>
        </w:rPr>
      </w:pPr>
      <w:r>
        <w:rPr>
          <w:rFonts w:hint="eastAsia"/>
          <w:lang w:val="en-US" w:eastAsia="zh-CN"/>
        </w:rPr>
        <w:t>每月对事件及时响应率和事件解决率进行考核，均要求不低于90%</w:t>
      </w:r>
    </w:p>
    <w:p w14:paraId="7962B1C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8" w:name="_Toc18455"/>
      <w:r>
        <w:rPr>
          <w:rFonts w:hint="eastAsia"/>
          <w:lang w:val="en-US" w:eastAsia="zh-CN"/>
        </w:rPr>
        <w:t>问题管理</w:t>
      </w:r>
      <w:bookmarkEnd w:id="38"/>
    </w:p>
    <w:p w14:paraId="72529228">
      <w:pPr>
        <w:pStyle w:val="39"/>
        <w:numPr>
          <w:ilvl w:val="0"/>
          <w:numId w:val="8"/>
        </w:numPr>
        <w:bidi w:val="0"/>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24847CBF">
      <w:pPr>
        <w:pStyle w:val="39"/>
        <w:numPr>
          <w:ilvl w:val="0"/>
          <w:numId w:val="8"/>
        </w:numPr>
        <w:bidi w:val="0"/>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2707C2D2">
      <w:pPr>
        <w:pStyle w:val="39"/>
        <w:numPr>
          <w:ilvl w:val="0"/>
          <w:numId w:val="8"/>
        </w:numPr>
        <w:bidi w:val="0"/>
        <w:rPr>
          <w:rFonts w:hint="default"/>
        </w:rPr>
      </w:pPr>
      <w:r>
        <w:rPr>
          <w:rFonts w:hint="eastAsia"/>
          <w:lang w:val="en-US" w:eastAsia="zh-CN"/>
        </w:rPr>
        <w:t>按季度对问题解决率进行考核，计算方式为</w:t>
      </w:r>
      <w:r>
        <w:t>实际解决的问题数/问题总数 × 100 %</w:t>
      </w:r>
      <w:r>
        <w:rPr>
          <w:rFonts w:hint="eastAsia"/>
          <w:lang w:eastAsia="zh-CN"/>
        </w:rPr>
        <w:t>，</w:t>
      </w:r>
      <w:r>
        <w:rPr>
          <w:rFonts w:hint="eastAsia"/>
          <w:lang w:val="en-US" w:eastAsia="zh-CN"/>
        </w:rPr>
        <w:t>要求问题解决率不低于90%</w:t>
      </w:r>
      <w:r>
        <w:rPr>
          <w:rFonts w:hint="eastAsia"/>
          <w:lang w:eastAsia="zh-CN"/>
        </w:rPr>
        <w:t>。</w:t>
      </w:r>
    </w:p>
    <w:p w14:paraId="14AB6CB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9" w:name="_Toc16207"/>
      <w:r>
        <w:rPr>
          <w:rFonts w:hint="eastAsia"/>
          <w:lang w:val="en-US" w:eastAsia="zh-CN"/>
        </w:rPr>
        <w:t>变更管理</w:t>
      </w:r>
      <w:bookmarkEnd w:id="39"/>
    </w:p>
    <w:p w14:paraId="2D972A47">
      <w:pPr>
        <w:pStyle w:val="29"/>
        <w:bidi w:val="0"/>
        <w:rPr>
          <w:rFonts w:hint="eastAsia"/>
          <w:lang w:val="en-US" w:eastAsia="zh-CN"/>
        </w:rPr>
      </w:pPr>
      <w:r>
        <w:t>2025年</w:t>
      </w:r>
      <w:r>
        <w:rPr>
          <w:rFonts w:hint="eastAsia"/>
          <w:lang w:val="en-US" w:eastAsia="zh-CN"/>
        </w:rPr>
        <w:t>7月-2026年6月，变更管理工作将重点提升变更过程的规范性与安全性，核心任务如下：</w:t>
      </w:r>
    </w:p>
    <w:p w14:paraId="1B3A8B13">
      <w:pPr>
        <w:pStyle w:val="39"/>
        <w:numPr>
          <w:ilvl w:val="0"/>
          <w:numId w:val="9"/>
        </w:numPr>
        <w:bidi w:val="0"/>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2301D319">
      <w:pPr>
        <w:pStyle w:val="39"/>
        <w:numPr>
          <w:ilvl w:val="0"/>
          <w:numId w:val="9"/>
        </w:numPr>
        <w:bidi w:val="0"/>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2DF09733">
      <w:pPr>
        <w:pStyle w:val="39"/>
        <w:numPr>
          <w:ilvl w:val="0"/>
          <w:numId w:val="9"/>
        </w:numPr>
        <w:bidi w:val="0"/>
        <w:rPr>
          <w:rFonts w:hint="default"/>
        </w:rPr>
      </w:pPr>
      <w:r>
        <w:rPr>
          <w:rFonts w:hint="eastAsia"/>
          <w:lang w:val="en-US" w:eastAsia="zh-CN"/>
        </w:rPr>
        <w:t>按季度对变更成功率进行考核，计算方式为</w:t>
      </w:r>
      <w:r>
        <w:t>实际解决的问题数/问题总数 × 100 %</w:t>
      </w:r>
      <w:r>
        <w:rPr>
          <w:rFonts w:hint="eastAsia"/>
          <w:lang w:eastAsia="zh-CN"/>
        </w:rPr>
        <w:t>，</w:t>
      </w:r>
      <w:r>
        <w:rPr>
          <w:rFonts w:hint="eastAsia"/>
          <w:lang w:val="en-US" w:eastAsia="zh-CN"/>
        </w:rPr>
        <w:t>要求变更成功率不低于90%，变更成功率的计算方式为</w:t>
      </w:r>
      <w:r>
        <w:t>变更成功次数/变更的次数 × 100 %</w:t>
      </w:r>
      <w:r>
        <w:rPr>
          <w:rFonts w:hint="eastAsia"/>
          <w:lang w:eastAsia="zh-CN"/>
        </w:rPr>
        <w:t>。</w:t>
      </w:r>
    </w:p>
    <w:p w14:paraId="4BFE2572">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0" w:name="_Toc28450"/>
      <w:r>
        <w:rPr>
          <w:rFonts w:hint="eastAsia"/>
          <w:lang w:val="en-US" w:eastAsia="zh-CN"/>
        </w:rPr>
        <w:t>发布管理</w:t>
      </w:r>
      <w:bookmarkEnd w:id="40"/>
    </w:p>
    <w:p w14:paraId="23DDF2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t>，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14:paraId="0A9E0FB1">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1" w:name="_Toc13924"/>
      <w:r>
        <w:rPr>
          <w:rFonts w:hint="eastAsia"/>
          <w:lang w:val="en-US" w:eastAsia="zh-CN"/>
        </w:rPr>
        <w:t>配置管理</w:t>
      </w:r>
      <w:bookmarkEnd w:id="41"/>
    </w:p>
    <w:p w14:paraId="3FC0931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lang w:val="en-US" w:eastAsia="zh-CN"/>
        </w:rPr>
        <w:t>，配置管理工作将重点围绕配置数据库（CMDB）的准确性与有效性开展系统化提升，核心工作方向如下：</w:t>
      </w:r>
    </w:p>
    <w:p w14:paraId="0DC789E7">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308421D3">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6F5158CB">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每半年对配置管理准确率进行考核，要求不低于95%。配置准确率的计算方式为</w:t>
      </w:r>
      <w:r>
        <w:rPr>
          <w:spacing w:val="-4"/>
          <w:sz w:val="24"/>
          <w:szCs w:val="24"/>
        </w:rPr>
        <w:t>在审计中发现正确的数量/配置项数量</w:t>
      </w:r>
      <w:r>
        <w:rPr>
          <w:spacing w:val="53"/>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p w14:paraId="4676654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2" w:name="_Toc22235"/>
      <w:r>
        <w:rPr>
          <w:rFonts w:hint="eastAsia"/>
          <w:lang w:val="en-US" w:eastAsia="zh-CN"/>
        </w:rPr>
        <w:t>服务可用性和连续性管理</w:t>
      </w:r>
      <w:bookmarkEnd w:id="42"/>
    </w:p>
    <w:p w14:paraId="463D5B9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hint="eastAsia"/>
        </w:rPr>
        <w:t>，服务可用性与连续性管理工作将围绕提升系统可靠性与应急响应能力重点展开，核心目标与措施如下：</w:t>
      </w:r>
    </w:p>
    <w:p w14:paraId="10A15B9A">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强化系统监控与高可用保障：完善常态化监控预警机制，明确当系统可用率低于99</w:t>
      </w:r>
      <w:r>
        <w:rPr>
          <w:rFonts w:hint="eastAsia"/>
          <w:lang w:val="en-US" w:eastAsia="zh-CN"/>
        </w:rPr>
        <w:t>%</w:t>
      </w:r>
      <w:r>
        <w:rPr>
          <w:rFonts w:hint="eastAsia"/>
        </w:rPr>
        <w:t>时，须立即触发根本原因分析及整改流程，形成事件-问题-改进的闭环管理，持续提升服务可用性水平。</w:t>
      </w:r>
    </w:p>
    <w:p w14:paraId="319FBF01">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594B89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3641AA0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3" w:name="_Toc25456"/>
      <w:r>
        <w:rPr>
          <w:rFonts w:hint="eastAsia"/>
          <w:lang w:val="en-US" w:eastAsia="zh-CN"/>
        </w:rPr>
        <w:t>容量管理</w:t>
      </w:r>
      <w:bookmarkEnd w:id="43"/>
    </w:p>
    <w:p w14:paraId="0081BAB5">
      <w:pPr>
        <w:pStyle w:val="29"/>
        <w:bidi w:val="0"/>
        <w:rPr>
          <w:rFonts w:hint="eastAsia"/>
          <w:lang w:val="en-US" w:eastAsia="zh-CN"/>
        </w:rPr>
      </w:pPr>
      <w:r>
        <w:t>2025年</w:t>
      </w:r>
      <w:r>
        <w:rPr>
          <w:rFonts w:hint="eastAsia"/>
          <w:lang w:val="en-US" w:eastAsia="zh-CN"/>
        </w:rPr>
        <w:t>7月-2026年6月，系统容量管理工作将重点构建以事件驱动、数据为基的持续优化机制，具体计划如下：</w:t>
      </w:r>
    </w:p>
    <w:p w14:paraId="37CA4AB8">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004BA2DF">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7217D9C3">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控制每季度容量事件不得超过1次。</w:t>
      </w:r>
    </w:p>
    <w:p w14:paraId="6A210FB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4" w:name="_Toc16818"/>
      <w:r>
        <w:rPr>
          <w:rFonts w:hint="eastAsia"/>
          <w:lang w:val="en-US" w:eastAsia="zh-CN"/>
        </w:rPr>
        <w:t>信息安全管理</w:t>
      </w:r>
      <w:bookmarkEnd w:id="44"/>
    </w:p>
    <w:p w14:paraId="716DC697">
      <w:pPr>
        <w:pStyle w:val="29"/>
        <w:bidi w:val="0"/>
        <w:rPr>
          <w:rFonts w:hint="default"/>
          <w:lang w:val="en-US" w:eastAsia="zh-CN"/>
        </w:rPr>
      </w:pPr>
      <w:r>
        <w:t>2025年</w:t>
      </w:r>
      <w:r>
        <w:rPr>
          <w:rFonts w:hint="eastAsia"/>
          <w:lang w:val="en-US" w:eastAsia="zh-CN"/>
        </w:rPr>
        <w:t>7月-2026年6月</w:t>
      </w:r>
      <w:r>
        <w:rPr>
          <w:rFonts w:hint="default"/>
          <w:lang w:val="en-US" w:eastAsia="zh-CN"/>
        </w:rPr>
        <w:t>，信息安全管理工作的开展将聚焦于人员能力与制度遵从两大核心领域，具体计划如下：</w:t>
      </w:r>
    </w:p>
    <w:p w14:paraId="2941AD05">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72BCA448">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28FD20EC">
      <w:pPr>
        <w:pStyle w:val="29"/>
        <w:keepNext w:val="0"/>
        <w:keepLines w:val="0"/>
        <w:pageBreakBefore w:val="0"/>
        <w:widowControl w:val="0"/>
        <w:numPr>
          <w:ilvl w:val="0"/>
          <w:numId w:val="1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加强信息安全管理，避免信息安全事件发生。</w:t>
      </w:r>
    </w:p>
    <w:p w14:paraId="78EBDD7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5" w:name="_Toc28956"/>
      <w:r>
        <w:rPr>
          <w:rFonts w:hint="eastAsia"/>
          <w:lang w:val="en-US" w:eastAsia="zh-CN"/>
        </w:rPr>
        <w:t>交付</w:t>
      </w:r>
      <w:bookmarkEnd w:id="45"/>
    </w:p>
    <w:p w14:paraId="3269E63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58E703AD">
      <w:pPr>
        <w:pStyle w:val="29"/>
        <w:bidi w:val="0"/>
        <w:rPr>
          <w:rFonts w:hint="default"/>
        </w:rPr>
      </w:pPr>
      <w:r>
        <w:t>2025年</w:t>
      </w:r>
      <w:r>
        <w:rPr>
          <w:rFonts w:hint="eastAsia"/>
          <w:lang w:val="en-US" w:eastAsia="zh-CN"/>
        </w:rPr>
        <w:t>7月-2026年6月</w:t>
      </w:r>
      <w:r>
        <w:rPr>
          <w:rFonts w:hint="default"/>
        </w:rPr>
        <w:t>将重点推进该制度的优化工作，基于现行交付管理制度及SLA要求，深入分析客户需求，科学制定与客户期望和项目特点相匹配的交付方案。</w:t>
      </w:r>
    </w:p>
    <w:p w14:paraId="17B3467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每月度对服务报告比例进行汇总，要求不低于95%。服务报告比例计算方式为实际交付服务报告数量/应交付的服务报告数量*100%</w:t>
      </w:r>
    </w:p>
    <w:p w14:paraId="367BE544">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6" w:name="_Toc16828"/>
      <w:r>
        <w:rPr>
          <w:rFonts w:hint="eastAsia"/>
          <w:lang w:val="en-US" w:eastAsia="zh-CN"/>
        </w:rPr>
        <w:t>应急</w:t>
      </w:r>
      <w:bookmarkEnd w:id="46"/>
    </w:p>
    <w:p w14:paraId="394363F9">
      <w:pPr>
        <w:pStyle w:val="29"/>
        <w:bidi w:val="0"/>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w:t>
      </w:r>
      <w:r>
        <w:rPr>
          <w:rFonts w:hint="eastAsia"/>
          <w:lang w:val="en-US" w:eastAsia="zh-CN"/>
        </w:rPr>
        <w:t>7月-2026年6月</w:t>
      </w:r>
      <w:r>
        <w:t>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6C3A230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每年度对项目应急演练次数进行汇总，要求应急演练次数不得少于1次。</w:t>
      </w:r>
    </w:p>
    <w:p w14:paraId="725E0DC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7" w:name="_Toc15089"/>
      <w:r>
        <w:rPr>
          <w:rFonts w:hint="eastAsia"/>
          <w:lang w:val="en-US" w:eastAsia="zh-CN"/>
        </w:rPr>
        <w:t>质量</w:t>
      </w:r>
      <w:bookmarkEnd w:id="47"/>
    </w:p>
    <w:p w14:paraId="158FE70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8" w:name="_Toc14084"/>
      <w:r>
        <w:rPr>
          <w:rFonts w:hint="eastAsia"/>
          <w:lang w:val="en-US" w:eastAsia="zh-CN"/>
        </w:rPr>
        <w:t>运维服务质量内部评审</w:t>
      </w:r>
      <w:bookmarkEnd w:id="48"/>
    </w:p>
    <w:p w14:paraId="1F30F21C">
      <w:pPr>
        <w:pStyle w:val="29"/>
        <w:keepNext w:val="0"/>
        <w:keepLines w:val="0"/>
        <w:pageBreakBefore w:val="0"/>
        <w:widowControl w:val="0"/>
        <w:kinsoku w:val="0"/>
        <w:wordWrap/>
        <w:overflowPunct/>
        <w:autoSpaceDE w:val="0"/>
        <w:autoSpaceDN w:val="0"/>
        <w:bidi w:val="0"/>
        <w:adjustRightInd w:val="0"/>
        <w:snapToGrid w:val="0"/>
        <w:textAlignment w:val="baseline"/>
      </w:pPr>
      <w:r>
        <w:t>审核运维服务活动及其结果是否符合策划的安排，确保ITSS 运维服务能力管理体系的有效性。</w:t>
      </w:r>
    </w:p>
    <w:p w14:paraId="63299D09">
      <w:pPr>
        <w:pStyle w:val="29"/>
        <w:keepNext w:val="0"/>
        <w:keepLines w:val="0"/>
        <w:pageBreakBefore w:val="0"/>
        <w:widowControl w:val="0"/>
        <w:kinsoku w:val="0"/>
        <w:wordWrap/>
        <w:overflowPunct/>
        <w:autoSpaceDE w:val="0"/>
        <w:autoSpaceDN w:val="0"/>
        <w:bidi w:val="0"/>
        <w:adjustRightInd w:val="0"/>
        <w:snapToGrid w:val="0"/>
        <w:textAlignment w:val="baseline"/>
      </w:pPr>
      <w:r>
        <w:t>运维服务能力内审由</w:t>
      </w:r>
      <w:r>
        <w:rPr>
          <w:rFonts w:hint="eastAsia"/>
          <w:lang w:val="en-US" w:eastAsia="zh-CN"/>
        </w:rPr>
        <w:t>质量部</w:t>
      </w:r>
      <w:r>
        <w:t>负责组织实施</w:t>
      </w:r>
      <w:r>
        <w:rPr>
          <w:rFonts w:hint="eastAsia"/>
          <w:lang w:eastAsia="zh-CN"/>
        </w:rPr>
        <w:t>，</w:t>
      </w:r>
      <w:r>
        <w:rPr>
          <w:rFonts w:hint="eastAsia"/>
          <w:lang w:val="en-US" w:eastAsia="zh-CN"/>
        </w:rPr>
        <w:t>所有运维相关部门都应参与</w:t>
      </w:r>
      <w:r>
        <w:t>。</w:t>
      </w:r>
    </w:p>
    <w:p w14:paraId="01F703A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每年度至少进行一次内部评审</w:t>
      </w:r>
    </w:p>
    <w:p w14:paraId="7BE55853">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9" w:name="_Toc20716"/>
      <w:r>
        <w:rPr>
          <w:rFonts w:hint="eastAsia"/>
          <w:lang w:val="en-US" w:eastAsia="zh-CN"/>
        </w:rPr>
        <w:t>运维服务质量管理评审</w:t>
      </w:r>
      <w:bookmarkEnd w:id="49"/>
    </w:p>
    <w:p w14:paraId="31CB94DF">
      <w:pPr>
        <w:pStyle w:val="29"/>
        <w:keepNext w:val="0"/>
        <w:keepLines w:val="0"/>
        <w:pageBreakBefore w:val="0"/>
        <w:widowControl w:val="0"/>
        <w:kinsoku w:val="0"/>
        <w:wordWrap/>
        <w:overflowPunct/>
        <w:autoSpaceDE w:val="0"/>
        <w:autoSpaceDN w:val="0"/>
        <w:bidi w:val="0"/>
        <w:adjustRightInd w:val="0"/>
        <w:snapToGrid w:val="0"/>
        <w:textAlignment w:val="baseline"/>
      </w:pPr>
      <w:r>
        <w:t>管理评审目的是对公司 ITSS 运维服务能力管理体系进行系统评审，识别并确定各种改进的机会和需要，确保 ITSS 运维服务能力管理体系持续的适宜性、充分性和有效性。</w:t>
      </w:r>
    </w:p>
    <w:p w14:paraId="6007000D">
      <w:pPr>
        <w:pStyle w:val="29"/>
        <w:keepNext w:val="0"/>
        <w:keepLines w:val="0"/>
        <w:pageBreakBefore w:val="0"/>
        <w:widowControl w:val="0"/>
        <w:kinsoku w:val="0"/>
        <w:wordWrap/>
        <w:overflowPunct/>
        <w:autoSpaceDE w:val="0"/>
        <w:autoSpaceDN w:val="0"/>
        <w:bidi w:val="0"/>
        <w:adjustRightInd w:val="0"/>
        <w:snapToGrid w:val="0"/>
        <w:textAlignment w:val="baseline"/>
      </w:pPr>
      <w:r>
        <w:t>运维服务能力管理评审由</w:t>
      </w:r>
      <w:r>
        <w:rPr>
          <w:rFonts w:hint="eastAsia"/>
          <w:lang w:val="en-US" w:eastAsia="zh-CN"/>
        </w:rPr>
        <w:t>总经理组织实施</w:t>
      </w:r>
      <w:r>
        <w:t>。</w:t>
      </w:r>
    </w:p>
    <w:p w14:paraId="21A0BF8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每年度至少进行一次管理评审</w:t>
      </w:r>
    </w:p>
    <w:p w14:paraId="6627140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0" w:name="_Toc18751"/>
      <w:r>
        <w:rPr>
          <w:rFonts w:hint="eastAsia"/>
          <w:lang w:val="en-US" w:eastAsia="zh-CN"/>
        </w:rPr>
        <w:t>客户满意度调查与分析</w:t>
      </w:r>
      <w:bookmarkEnd w:id="50"/>
    </w:p>
    <w:p w14:paraId="3A0F38AF">
      <w:pPr>
        <w:keepNext w:val="0"/>
        <w:keepLines w:val="0"/>
        <w:pageBreakBefore w:val="0"/>
        <w:widowControl w:val="0"/>
        <w:kinsoku w:val="0"/>
        <w:wordWrap/>
        <w:overflowPunct/>
        <w:autoSpaceDE w:val="0"/>
        <w:autoSpaceDN w:val="0"/>
        <w:bidi w:val="0"/>
        <w:adjustRightInd w:val="0"/>
        <w:snapToGrid w:val="0"/>
        <w:spacing w:before="79" w:line="360" w:lineRule="auto"/>
        <w:ind w:left="45" w:firstLine="457"/>
        <w:textAlignment w:val="baseline"/>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23880DAE">
      <w:pPr>
        <w:keepNext w:val="0"/>
        <w:keepLines w:val="0"/>
        <w:pageBreakBefore w:val="0"/>
        <w:widowControl w:val="0"/>
        <w:kinsoku w:val="0"/>
        <w:wordWrap/>
        <w:overflowPunct/>
        <w:autoSpaceDE w:val="0"/>
        <w:autoSpaceDN w:val="0"/>
        <w:bidi w:val="0"/>
        <w:adjustRightInd w:val="0"/>
        <w:snapToGrid w:val="0"/>
        <w:spacing w:before="4" w:line="359" w:lineRule="auto"/>
        <w:ind w:left="22" w:right="42" w:firstLine="522"/>
        <w:jc w:val="both"/>
        <w:textAlignment w:val="baseline"/>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程中存在的投诉问题，及时将问题反馈到质量部，调查不符合原因，责令相关部</w:t>
      </w:r>
      <w:r>
        <w:rPr>
          <w:rFonts w:ascii="宋体" w:hAnsi="宋体" w:eastAsia="宋体" w:cs="宋体"/>
          <w:spacing w:val="-1"/>
          <w:sz w:val="24"/>
          <w:szCs w:val="24"/>
        </w:rPr>
        <w:t>门采取纠正措施，确保客户的投诉及时解决。</w:t>
      </w:r>
    </w:p>
    <w:p w14:paraId="4FE97A6F">
      <w:pPr>
        <w:keepNext w:val="0"/>
        <w:keepLines w:val="0"/>
        <w:pageBreakBefore w:val="0"/>
        <w:widowControl w:val="0"/>
        <w:kinsoku w:val="0"/>
        <w:wordWrap/>
        <w:overflowPunct/>
        <w:autoSpaceDE w:val="0"/>
        <w:autoSpaceDN w:val="0"/>
        <w:bidi w:val="0"/>
        <w:adjustRightInd w:val="0"/>
        <w:snapToGrid w:val="0"/>
        <w:spacing w:before="1" w:line="361" w:lineRule="auto"/>
        <w:ind w:left="29" w:right="42" w:firstLine="477"/>
        <w:textAlignment w:val="baseline"/>
        <w:rPr>
          <w:rFonts w:ascii="宋体" w:hAnsi="宋体" w:eastAsia="宋体" w:cs="宋体"/>
          <w:spacing w:val="-3"/>
          <w:sz w:val="24"/>
          <w:szCs w:val="24"/>
        </w:rPr>
      </w:pPr>
      <w:r>
        <w:rPr>
          <w:rFonts w:ascii="宋体" w:hAnsi="宋体" w:eastAsia="宋体" w:cs="宋体"/>
          <w:spacing w:val="-1"/>
          <w:sz w:val="24"/>
          <w:szCs w:val="24"/>
        </w:rPr>
        <w:t>2025年</w:t>
      </w:r>
      <w:r>
        <w:rPr>
          <w:rFonts w:hint="eastAsia" w:ascii="宋体" w:hAnsi="宋体" w:cs="宋体"/>
          <w:spacing w:val="-1"/>
          <w:sz w:val="24"/>
          <w:szCs w:val="24"/>
          <w:lang w:val="en-US" w:eastAsia="zh-CN"/>
        </w:rPr>
        <w:t>7月-2026年6月</w:t>
      </w:r>
      <w:r>
        <w:rPr>
          <w:rFonts w:ascii="宋体" w:hAnsi="宋体" w:eastAsia="宋体" w:cs="宋体"/>
          <w:sz w:val="24"/>
          <w:szCs w:val="24"/>
        </w:rPr>
        <w:t>客户满意度平均分需达到95分以上。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5C55E586">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1" w:name="_Toc31954"/>
      <w:r>
        <w:rPr>
          <w:rFonts w:hint="eastAsia"/>
          <w:lang w:val="en-US" w:eastAsia="zh-CN"/>
        </w:rPr>
        <w:t>SLA达成率</w:t>
      </w:r>
      <w:bookmarkEnd w:id="51"/>
    </w:p>
    <w:p w14:paraId="2B77882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每年7月对SLA达成率进行汇总，要求不低于95%，并根据项目运维情况对服务目录进行修改。</w:t>
      </w:r>
    </w:p>
    <w:p w14:paraId="79E26183">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52" w:name="_Toc99"/>
      <w:r>
        <w:rPr>
          <w:rStyle w:val="38"/>
          <w:rFonts w:hint="eastAsia" w:eastAsia="宋体"/>
          <w:lang w:val="en-US" w:eastAsia="zh-CN"/>
        </w:rPr>
        <w:t>附则</w:t>
      </w:r>
      <w:bookmarkEnd w:id="22"/>
      <w:bookmarkEnd w:id="52"/>
    </w:p>
    <w:p w14:paraId="6FCB3D9D">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质量部</w:t>
      </w:r>
      <w:r>
        <w:rPr>
          <w:rFonts w:ascii="宋体" w:hAnsi="宋体" w:eastAsia="宋体" w:cs="宋体"/>
          <w:spacing w:val="-1"/>
          <w:sz w:val="24"/>
          <w:szCs w:val="24"/>
        </w:rPr>
        <w:t>。</w:t>
      </w:r>
    </w:p>
    <w:p w14:paraId="1D3EA0A8">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AD2C1F5">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3" w:name="bookmark14"/>
      <w:bookmarkEnd w:id="53"/>
      <w:bookmarkStart w:id="54" w:name="_Toc32512"/>
      <w:r>
        <w:rPr>
          <w:rFonts w:hint="eastAsia"/>
          <w:lang w:val="en-US" w:eastAsia="zh-CN"/>
        </w:rPr>
        <w:t>附件</w:t>
      </w:r>
      <w:bookmarkEnd w:id="54"/>
    </w:p>
    <w:p w14:paraId="7200D2A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B5C6A">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C74AD993"/>
    <w:multiLevelType w:val="singleLevel"/>
    <w:tmpl w:val="C74AD993"/>
    <w:lvl w:ilvl="0" w:tentative="0">
      <w:start w:val="1"/>
      <w:numFmt w:val="decimal"/>
      <w:lvlText w:val="%1."/>
      <w:lvlJc w:val="left"/>
      <w:pPr>
        <w:ind w:left="425" w:hanging="425"/>
      </w:pPr>
      <w:rPr>
        <w:rFonts w:hint="default"/>
      </w:rPr>
    </w:lvl>
  </w:abstractNum>
  <w:abstractNum w:abstractNumId="3">
    <w:nsid w:val="E1447284"/>
    <w:multiLevelType w:val="singleLevel"/>
    <w:tmpl w:val="E1447284"/>
    <w:lvl w:ilvl="0" w:tentative="0">
      <w:start w:val="1"/>
      <w:numFmt w:val="decimal"/>
      <w:lvlText w:val="%1."/>
      <w:lvlJc w:val="left"/>
      <w:pPr>
        <w:ind w:left="425" w:hanging="425"/>
      </w:pPr>
      <w:rPr>
        <w:rFonts w:hint="default"/>
      </w:rPr>
    </w:lvl>
  </w:abstractNum>
  <w:abstractNum w:abstractNumId="4">
    <w:nsid w:val="E8B4277F"/>
    <w:multiLevelType w:val="singleLevel"/>
    <w:tmpl w:val="E8B4277F"/>
    <w:lvl w:ilvl="0" w:tentative="0">
      <w:start w:val="1"/>
      <w:numFmt w:val="decimal"/>
      <w:lvlText w:val="%1."/>
      <w:lvlJc w:val="left"/>
      <w:pPr>
        <w:ind w:left="425" w:hanging="425"/>
      </w:pPr>
      <w:rPr>
        <w:rFonts w:hint="default"/>
      </w:rPr>
    </w:lvl>
  </w:abstractNum>
  <w:abstractNum w:abstractNumId="5">
    <w:nsid w:val="F9539CF3"/>
    <w:multiLevelType w:val="singleLevel"/>
    <w:tmpl w:val="F9539CF3"/>
    <w:lvl w:ilvl="0" w:tentative="0">
      <w:start w:val="1"/>
      <w:numFmt w:val="decimal"/>
      <w:lvlText w:val="%1."/>
      <w:lvlJc w:val="left"/>
      <w:pPr>
        <w:ind w:left="425" w:hanging="425"/>
      </w:pPr>
      <w:rPr>
        <w:rFonts w:hint="default"/>
      </w:rPr>
    </w:lvl>
  </w:abstractNum>
  <w:abstractNum w:abstractNumId="6">
    <w:nsid w:val="13D8067B"/>
    <w:multiLevelType w:val="singleLevel"/>
    <w:tmpl w:val="13D8067B"/>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48F3E8D5"/>
    <w:multiLevelType w:val="singleLevel"/>
    <w:tmpl w:val="48F3E8D5"/>
    <w:lvl w:ilvl="0" w:tentative="0">
      <w:start w:val="1"/>
      <w:numFmt w:val="decimal"/>
      <w:lvlText w:val="%1."/>
      <w:lvlJc w:val="left"/>
      <w:pPr>
        <w:ind w:left="425" w:hanging="425"/>
      </w:pPr>
      <w:rPr>
        <w:rFonts w:hint="default"/>
      </w:rPr>
    </w:lvl>
  </w:abstractNum>
  <w:abstractNum w:abstractNumId="9">
    <w:nsid w:val="5AC9E4D8"/>
    <w:multiLevelType w:val="singleLevel"/>
    <w:tmpl w:val="5AC9E4D8"/>
    <w:lvl w:ilvl="0" w:tentative="0">
      <w:start w:val="1"/>
      <w:numFmt w:val="decimal"/>
      <w:lvlText w:val="%1."/>
      <w:lvlJc w:val="left"/>
      <w:pPr>
        <w:ind w:left="425" w:hanging="425"/>
      </w:pPr>
      <w:rPr>
        <w:rFonts w:hint="default"/>
      </w:rPr>
    </w:lvl>
  </w:abstractNum>
  <w:abstractNum w:abstractNumId="10">
    <w:nsid w:val="5D09305E"/>
    <w:multiLevelType w:val="singleLevel"/>
    <w:tmpl w:val="5D09305E"/>
    <w:lvl w:ilvl="0" w:tentative="0">
      <w:start w:val="1"/>
      <w:numFmt w:val="decimal"/>
      <w:lvlText w:val="%1."/>
      <w:lvlJc w:val="left"/>
      <w:pPr>
        <w:ind w:left="425" w:hanging="425"/>
      </w:pPr>
      <w:rPr>
        <w:rFonts w:hint="default"/>
      </w:rPr>
    </w:lvl>
  </w:abstractNum>
  <w:abstractNum w:abstractNumId="11">
    <w:nsid w:val="6C10DCD7"/>
    <w:multiLevelType w:val="singleLevel"/>
    <w:tmpl w:val="6C10DCD7"/>
    <w:lvl w:ilvl="0" w:tentative="0">
      <w:start w:val="1"/>
      <w:numFmt w:val="decimal"/>
      <w:lvlText w:val="%1."/>
      <w:lvlJc w:val="left"/>
      <w:pPr>
        <w:ind w:left="425" w:hanging="425"/>
      </w:pPr>
      <w:rPr>
        <w:rFonts w:hint="default"/>
      </w:rPr>
    </w:lvl>
  </w:abstractNum>
  <w:abstractNum w:abstractNumId="12">
    <w:nsid w:val="749258C4"/>
    <w:multiLevelType w:val="singleLevel"/>
    <w:tmpl w:val="749258C4"/>
    <w:lvl w:ilvl="0" w:tentative="0">
      <w:start w:val="1"/>
      <w:numFmt w:val="decimal"/>
      <w:lvlText w:val="%1."/>
      <w:lvlJc w:val="left"/>
      <w:pPr>
        <w:ind w:left="425" w:hanging="425"/>
      </w:pPr>
      <w:rPr>
        <w:rFonts w:hint="default"/>
      </w:rPr>
    </w:lvl>
  </w:abstractNum>
  <w:abstractNum w:abstractNumId="13">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6"/>
  </w:num>
  <w:num w:numId="4">
    <w:abstractNumId w:val="1"/>
  </w:num>
  <w:num w:numId="5">
    <w:abstractNumId w:val="10"/>
  </w:num>
  <w:num w:numId="6">
    <w:abstractNumId w:val="2"/>
  </w:num>
  <w:num w:numId="7">
    <w:abstractNumId w:val="12"/>
  </w:num>
  <w:num w:numId="8">
    <w:abstractNumId w:val="7"/>
  </w:num>
  <w:num w:numId="9">
    <w:abstractNumId w:val="8"/>
  </w:num>
  <w:num w:numId="10">
    <w:abstractNumId w:val="13"/>
  </w:num>
  <w:num w:numId="11">
    <w:abstractNumId w:val="3"/>
  </w:num>
  <w:num w:numId="12">
    <w:abstractNumId w:val="4"/>
  </w:num>
  <w:num w:numId="13">
    <w:abstractNumId w:val="11"/>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7D7CB0"/>
    <w:rsid w:val="02502671"/>
    <w:rsid w:val="026659F0"/>
    <w:rsid w:val="0512093A"/>
    <w:rsid w:val="05F31C91"/>
    <w:rsid w:val="068A6F41"/>
    <w:rsid w:val="06A06DC7"/>
    <w:rsid w:val="07CD206E"/>
    <w:rsid w:val="08485B98"/>
    <w:rsid w:val="094620D8"/>
    <w:rsid w:val="0AE147AE"/>
    <w:rsid w:val="0D7D3ED4"/>
    <w:rsid w:val="0EBB2FA3"/>
    <w:rsid w:val="0F672DA8"/>
    <w:rsid w:val="0FCF6C9C"/>
    <w:rsid w:val="0FE10DAC"/>
    <w:rsid w:val="0FE32D76"/>
    <w:rsid w:val="100E0101"/>
    <w:rsid w:val="11EC514B"/>
    <w:rsid w:val="12C43900"/>
    <w:rsid w:val="13166FBF"/>
    <w:rsid w:val="13997294"/>
    <w:rsid w:val="149E54BE"/>
    <w:rsid w:val="14AB17A2"/>
    <w:rsid w:val="158A0071"/>
    <w:rsid w:val="162E2871"/>
    <w:rsid w:val="16953304"/>
    <w:rsid w:val="170000B0"/>
    <w:rsid w:val="17E7717C"/>
    <w:rsid w:val="17F43647"/>
    <w:rsid w:val="18047D2E"/>
    <w:rsid w:val="19C86B39"/>
    <w:rsid w:val="1B2304CB"/>
    <w:rsid w:val="1C071B9A"/>
    <w:rsid w:val="1D9751A0"/>
    <w:rsid w:val="1DE26CE1"/>
    <w:rsid w:val="1E2519B4"/>
    <w:rsid w:val="217A2E0F"/>
    <w:rsid w:val="21A34ECE"/>
    <w:rsid w:val="231352C9"/>
    <w:rsid w:val="23570A45"/>
    <w:rsid w:val="25975FC6"/>
    <w:rsid w:val="27983FEE"/>
    <w:rsid w:val="27C70430"/>
    <w:rsid w:val="28BE77CE"/>
    <w:rsid w:val="28F96D0F"/>
    <w:rsid w:val="29231FDE"/>
    <w:rsid w:val="29D90298"/>
    <w:rsid w:val="2A0616E3"/>
    <w:rsid w:val="2B177920"/>
    <w:rsid w:val="2CAB0320"/>
    <w:rsid w:val="2D1A7254"/>
    <w:rsid w:val="2D3C541C"/>
    <w:rsid w:val="2D450775"/>
    <w:rsid w:val="2DC93154"/>
    <w:rsid w:val="2ED04B1A"/>
    <w:rsid w:val="31E81B7E"/>
    <w:rsid w:val="31FB7654"/>
    <w:rsid w:val="32C51A10"/>
    <w:rsid w:val="335E60EC"/>
    <w:rsid w:val="33843679"/>
    <w:rsid w:val="33E47038"/>
    <w:rsid w:val="352754C6"/>
    <w:rsid w:val="364517E5"/>
    <w:rsid w:val="38647616"/>
    <w:rsid w:val="39810D86"/>
    <w:rsid w:val="3BA81EDE"/>
    <w:rsid w:val="3BA96372"/>
    <w:rsid w:val="3BB16FD5"/>
    <w:rsid w:val="3BCE402B"/>
    <w:rsid w:val="3C8A5D88"/>
    <w:rsid w:val="3D7B3D3F"/>
    <w:rsid w:val="3EE85404"/>
    <w:rsid w:val="3F9D7F9C"/>
    <w:rsid w:val="4061451C"/>
    <w:rsid w:val="41200E85"/>
    <w:rsid w:val="41807B75"/>
    <w:rsid w:val="432C5469"/>
    <w:rsid w:val="43382E86"/>
    <w:rsid w:val="43413334"/>
    <w:rsid w:val="434500D6"/>
    <w:rsid w:val="437B6846"/>
    <w:rsid w:val="437C611B"/>
    <w:rsid w:val="438F22F2"/>
    <w:rsid w:val="45230F44"/>
    <w:rsid w:val="452F78E8"/>
    <w:rsid w:val="467A2DE5"/>
    <w:rsid w:val="47F6293F"/>
    <w:rsid w:val="48541414"/>
    <w:rsid w:val="48E1714C"/>
    <w:rsid w:val="491A440C"/>
    <w:rsid w:val="49492F43"/>
    <w:rsid w:val="496658A3"/>
    <w:rsid w:val="49BE123B"/>
    <w:rsid w:val="49E05655"/>
    <w:rsid w:val="4AAC5537"/>
    <w:rsid w:val="4C6A7509"/>
    <w:rsid w:val="4C6C1422"/>
    <w:rsid w:val="4D553C64"/>
    <w:rsid w:val="4D565C2E"/>
    <w:rsid w:val="4EDA32B7"/>
    <w:rsid w:val="4F4A3571"/>
    <w:rsid w:val="4F7F321A"/>
    <w:rsid w:val="4F8F63DD"/>
    <w:rsid w:val="50731BEF"/>
    <w:rsid w:val="52572AAC"/>
    <w:rsid w:val="53F02939"/>
    <w:rsid w:val="550C37FE"/>
    <w:rsid w:val="57236B81"/>
    <w:rsid w:val="591F15CA"/>
    <w:rsid w:val="597E5267"/>
    <w:rsid w:val="5AF26F96"/>
    <w:rsid w:val="5B7C2D04"/>
    <w:rsid w:val="5B7C4AB2"/>
    <w:rsid w:val="5BCD17B1"/>
    <w:rsid w:val="5DD24E5D"/>
    <w:rsid w:val="5EA04F5B"/>
    <w:rsid w:val="5F6A335E"/>
    <w:rsid w:val="5FC1162D"/>
    <w:rsid w:val="5FE33352"/>
    <w:rsid w:val="60F03498"/>
    <w:rsid w:val="60FA4DF7"/>
    <w:rsid w:val="636429FB"/>
    <w:rsid w:val="65DD0843"/>
    <w:rsid w:val="663366B5"/>
    <w:rsid w:val="67A930D3"/>
    <w:rsid w:val="67F862ED"/>
    <w:rsid w:val="6B3B2294"/>
    <w:rsid w:val="6C272940"/>
    <w:rsid w:val="6D350EF8"/>
    <w:rsid w:val="6E805B45"/>
    <w:rsid w:val="6F8A37EA"/>
    <w:rsid w:val="70076BE8"/>
    <w:rsid w:val="70673B2B"/>
    <w:rsid w:val="70E46F2A"/>
    <w:rsid w:val="70F03B20"/>
    <w:rsid w:val="72386550"/>
    <w:rsid w:val="725B321B"/>
    <w:rsid w:val="738D1064"/>
    <w:rsid w:val="742C1EDE"/>
    <w:rsid w:val="744A79EB"/>
    <w:rsid w:val="75613E65"/>
    <w:rsid w:val="7657019E"/>
    <w:rsid w:val="775274E2"/>
    <w:rsid w:val="78074248"/>
    <w:rsid w:val="783F0EE9"/>
    <w:rsid w:val="7840713B"/>
    <w:rsid w:val="785859A5"/>
    <w:rsid w:val="786F17CF"/>
    <w:rsid w:val="796706F8"/>
    <w:rsid w:val="796B468C"/>
    <w:rsid w:val="79A90D10"/>
    <w:rsid w:val="7A0917AF"/>
    <w:rsid w:val="7A1E34AC"/>
    <w:rsid w:val="7A304F8E"/>
    <w:rsid w:val="7AD16771"/>
    <w:rsid w:val="7CFD0814"/>
    <w:rsid w:val="7DC15CF3"/>
    <w:rsid w:val="7E097F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 w:type="character" w:customStyle="1" w:styleId="43">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8899</Words>
  <Characters>9711</Characters>
  <Lines>0</Lines>
  <Paragraphs>0</Paragraphs>
  <TotalTime>1</TotalTime>
  <ScaleCrop>false</ScaleCrop>
  <LinksUpToDate>false</LinksUpToDate>
  <CharactersWithSpaces>9922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2026-03-09T08:36:37Z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