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AB683">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135"/>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450E42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5221"/>
      <w:r>
        <w:rPr>
          <w:rFonts w:hint="eastAsia"/>
          <w:lang w:val="en-US" w:eastAsia="zh-CN"/>
        </w:rPr>
        <w:t>运维服务能力管理报告</w:t>
      </w:r>
      <w:bookmarkEnd w:id="1"/>
    </w:p>
    <w:p w14:paraId="1CDAC14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6343"/>
      <w:r>
        <w:rPr>
          <w:rFonts w:hint="eastAsia"/>
          <w:lang w:val="en-US" w:eastAsia="zh-CN"/>
        </w:rPr>
        <w:t>（HXDL-ITSS-0304）</w:t>
      </w:r>
      <w:bookmarkEnd w:id="2"/>
    </w:p>
    <w:p w14:paraId="4B97982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D4B5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2C5A7A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58ABB18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r w14:paraId="1CA42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F263A3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A34CB4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r w14:paraId="7BA25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03EE5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642EE8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bl>
    <w:p w14:paraId="7736F4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3C698CE">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6235"/>
      <w:r>
        <w:rPr>
          <w:rFonts w:ascii="宋体" w:hAnsi="宋体" w:eastAsia="宋体" w:cs="宋体"/>
          <w:b/>
          <w:bCs/>
          <w:spacing w:val="-4"/>
          <w:sz w:val="30"/>
          <w:szCs w:val="30"/>
        </w:rPr>
        <w:t>文件编制和变更履历</w:t>
      </w:r>
      <w:bookmarkEnd w:id="3"/>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52"/>
        <w:gridCol w:w="1202"/>
      </w:tblGrid>
      <w:tr w14:paraId="5502DB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84E751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C84396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3C87D9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FC998F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469" w:type="dxa"/>
            <w:gridSpan w:val="2"/>
            <w:tcBorders>
              <w:top w:val="single" w:color="000000" w:sz="10" w:space="0"/>
            </w:tcBorders>
            <w:shd w:val="clear" w:color="auto" w:fill="D9D9D9"/>
          </w:tcPr>
          <w:p w14:paraId="2462ECA6">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202" w:type="dxa"/>
            <w:vMerge w:val="restart"/>
            <w:tcBorders>
              <w:top w:val="single" w:color="000000" w:sz="10" w:space="0"/>
              <w:bottom w:val="nil"/>
              <w:right w:val="single" w:color="000000" w:sz="10" w:space="0"/>
            </w:tcBorders>
            <w:shd w:val="clear" w:color="auto" w:fill="D9D9D9"/>
          </w:tcPr>
          <w:p w14:paraId="270150B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CD62C2C">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575A4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9D15C3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7E00613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A9D93E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34D4E58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5BBB46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E621C0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452" w:type="dxa"/>
            <w:shd w:val="clear" w:color="auto" w:fill="D9D9D9"/>
          </w:tcPr>
          <w:p w14:paraId="1578D6C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202" w:type="dxa"/>
            <w:vMerge w:val="continue"/>
            <w:tcBorders>
              <w:top w:val="nil"/>
              <w:right w:val="single" w:color="000000" w:sz="10" w:space="0"/>
            </w:tcBorders>
          </w:tcPr>
          <w:p w14:paraId="1538F8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5E201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1481D6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4CD9D59">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56DB5E3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rPr>
                <w:rFonts w:hint="default" w:eastAsia="宋体"/>
                <w:lang w:val="en-US" w:eastAsia="zh-CN"/>
              </w:rPr>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957" w:type="dxa"/>
          </w:tcPr>
          <w:p w14:paraId="1341FD6B">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E1FBAA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1017" w:type="dxa"/>
          </w:tcPr>
          <w:p w14:paraId="31932FA4">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452" w:type="dxa"/>
          </w:tcPr>
          <w:p w14:paraId="5A03987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1202" w:type="dxa"/>
            <w:tcBorders>
              <w:right w:val="single" w:color="000000" w:sz="10" w:space="0"/>
            </w:tcBorders>
          </w:tcPr>
          <w:p w14:paraId="6075053F">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9A382E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9EA4C3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97F1AE4">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4FCAA17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22ADCB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427FAA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8F7EDA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452" w:type="dxa"/>
          </w:tcPr>
          <w:p w14:paraId="7F4A2163">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202" w:type="dxa"/>
            <w:tcBorders>
              <w:right w:val="single" w:color="000000" w:sz="10" w:space="0"/>
            </w:tcBorders>
          </w:tcPr>
          <w:p w14:paraId="7BE7E17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5DF972D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AF27CC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B16EAF0">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81A1FA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7F9D739">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B99736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04AFB8D">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452" w:type="dxa"/>
            <w:tcBorders>
              <w:bottom w:val="single" w:color="000000" w:sz="10" w:space="0"/>
            </w:tcBorders>
          </w:tcPr>
          <w:p w14:paraId="11414097">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202" w:type="dxa"/>
            <w:tcBorders>
              <w:bottom w:val="single" w:color="000000" w:sz="10" w:space="0"/>
              <w:right w:val="single" w:color="000000" w:sz="10" w:space="0"/>
            </w:tcBorders>
          </w:tcPr>
          <w:p w14:paraId="434ED92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06091590">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7836324">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01FB08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_Toc2135 </w:instrText>
          </w:r>
          <w:r>
            <w:rPr>
              <w:rFonts w:hint="eastAsia" w:ascii="宋体" w:hAnsi="宋体" w:eastAsia="宋体" w:cs="宋体"/>
              <w:szCs w:val="24"/>
            </w:rPr>
            <w:fldChar w:fldCharType="separate"/>
          </w:r>
          <w:r>
            <w:rPr>
              <w:rFonts w:hint="eastAsia"/>
              <w:lang w:val="en-US" w:eastAsia="zh-CN"/>
            </w:rPr>
            <w:t>天津市华夏电缆有限公司</w:t>
          </w:r>
          <w:r>
            <w:tab/>
          </w:r>
          <w:r>
            <w:fldChar w:fldCharType="begin"/>
          </w:r>
          <w:r>
            <w:instrText xml:space="preserve"> PAGEREF _Toc2135 \h </w:instrText>
          </w:r>
          <w:r>
            <w:fldChar w:fldCharType="separate"/>
          </w:r>
          <w:r>
            <w:t>1</w:t>
          </w:r>
          <w:r>
            <w:fldChar w:fldCharType="end"/>
          </w:r>
          <w:r>
            <w:rPr>
              <w:rFonts w:hint="eastAsia" w:ascii="宋体" w:hAnsi="宋体" w:eastAsia="宋体" w:cs="宋体"/>
              <w:szCs w:val="24"/>
            </w:rPr>
            <w:fldChar w:fldCharType="end"/>
          </w:r>
        </w:p>
        <w:p w14:paraId="3F841EC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_Toc5221 </w:instrText>
          </w:r>
          <w:r>
            <w:rPr>
              <w:rFonts w:hint="eastAsia" w:ascii="宋体" w:hAnsi="宋体" w:eastAsia="宋体" w:cs="宋体"/>
              <w:szCs w:val="24"/>
            </w:rPr>
            <w:fldChar w:fldCharType="separate"/>
          </w:r>
          <w:r>
            <w:rPr>
              <w:rFonts w:hint="eastAsia"/>
              <w:lang w:val="en-US" w:eastAsia="zh-CN"/>
            </w:rPr>
            <w:t>运维服务能力管理报告</w:t>
          </w:r>
          <w:r>
            <w:tab/>
          </w:r>
          <w:r>
            <w:fldChar w:fldCharType="begin"/>
          </w:r>
          <w:r>
            <w:instrText xml:space="preserve"> PAGEREF _Toc5221 \h </w:instrText>
          </w:r>
          <w:r>
            <w:fldChar w:fldCharType="separate"/>
          </w:r>
          <w:r>
            <w:t>1</w:t>
          </w:r>
          <w:r>
            <w:fldChar w:fldCharType="end"/>
          </w:r>
          <w:r>
            <w:rPr>
              <w:rFonts w:hint="eastAsia" w:ascii="宋体" w:hAnsi="宋体" w:eastAsia="宋体" w:cs="宋体"/>
              <w:szCs w:val="24"/>
            </w:rPr>
            <w:fldChar w:fldCharType="end"/>
          </w:r>
        </w:p>
        <w:p w14:paraId="3AA274F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_Toc6343 </w:instrText>
          </w:r>
          <w:r>
            <w:rPr>
              <w:rFonts w:hint="eastAsia" w:ascii="宋体" w:hAnsi="宋体" w:eastAsia="宋体" w:cs="宋体"/>
              <w:szCs w:val="24"/>
            </w:rPr>
            <w:fldChar w:fldCharType="separate"/>
          </w:r>
          <w:r>
            <w:rPr>
              <w:rFonts w:hint="eastAsia"/>
              <w:lang w:val="en-US" w:eastAsia="zh-CN"/>
            </w:rPr>
            <w:t>（HXDL-ITSS-0304）</w:t>
          </w:r>
          <w:r>
            <w:tab/>
          </w:r>
          <w:r>
            <w:fldChar w:fldCharType="begin"/>
          </w:r>
          <w:r>
            <w:instrText xml:space="preserve"> PAGEREF _Toc6343 \h </w:instrText>
          </w:r>
          <w:r>
            <w:fldChar w:fldCharType="separate"/>
          </w:r>
          <w:r>
            <w:t>1</w:t>
          </w:r>
          <w:r>
            <w:fldChar w:fldCharType="end"/>
          </w:r>
          <w:r>
            <w:rPr>
              <w:rFonts w:hint="eastAsia" w:ascii="宋体" w:hAnsi="宋体" w:eastAsia="宋体" w:cs="宋体"/>
              <w:szCs w:val="24"/>
            </w:rPr>
            <w:fldChar w:fldCharType="end"/>
          </w:r>
        </w:p>
        <w:p w14:paraId="6FC9DB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_Toc16235 </w:instrText>
          </w:r>
          <w:r>
            <w:rPr>
              <w:rFonts w:hint="eastAsia" w:ascii="宋体" w:hAnsi="宋体" w:eastAsia="宋体" w:cs="宋体"/>
              <w:szCs w:val="24"/>
            </w:rPr>
            <w:fldChar w:fldCharType="separate"/>
          </w:r>
          <w:r>
            <w:rPr>
              <w:rFonts w:ascii="宋体" w:hAnsi="宋体" w:eastAsia="宋体" w:cs="宋体"/>
              <w:bCs/>
              <w:spacing w:val="-4"/>
              <w:szCs w:val="30"/>
            </w:rPr>
            <w:t>文件编制和变更履历</w:t>
          </w:r>
          <w:r>
            <w:tab/>
          </w:r>
          <w:r>
            <w:fldChar w:fldCharType="begin"/>
          </w:r>
          <w:r>
            <w:instrText xml:space="preserve"> PAGEREF _Toc16235 \h </w:instrText>
          </w:r>
          <w:r>
            <w:fldChar w:fldCharType="separate"/>
          </w:r>
          <w:r>
            <w:t>2</w:t>
          </w:r>
          <w:r>
            <w:fldChar w:fldCharType="end"/>
          </w:r>
          <w:r>
            <w:rPr>
              <w:rFonts w:hint="eastAsia" w:ascii="宋体" w:hAnsi="宋体" w:eastAsia="宋体" w:cs="宋体"/>
              <w:szCs w:val="24"/>
            </w:rPr>
            <w:fldChar w:fldCharType="end"/>
          </w:r>
        </w:p>
        <w:p w14:paraId="2F75FC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_Toc26578 </w:instrText>
          </w:r>
          <w:r>
            <w:rPr>
              <w:rFonts w:hint="eastAsia" w:ascii="宋体" w:hAnsi="宋体" w:eastAsia="宋体" w:cs="宋体"/>
              <w:szCs w:val="24"/>
            </w:rPr>
            <w:fldChar w:fldCharType="separate"/>
          </w:r>
          <w:r>
            <w:rPr>
              <w:rFonts w:hint="default"/>
            </w:rPr>
            <w:t xml:space="preserve">1. </w:t>
          </w:r>
          <w:r>
            <w:rPr>
              <w:rFonts w:hint="eastAsia"/>
              <w:lang w:val="en-US" w:eastAsia="zh-CN"/>
            </w:rPr>
            <w:t>概述</w:t>
          </w:r>
          <w:r>
            <w:tab/>
          </w:r>
          <w:r>
            <w:fldChar w:fldCharType="begin"/>
          </w:r>
          <w:r>
            <w:instrText xml:space="preserve"> PAGEREF _Toc26578 \h </w:instrText>
          </w:r>
          <w:r>
            <w:fldChar w:fldCharType="separate"/>
          </w:r>
          <w:r>
            <w:t>6</w:t>
          </w:r>
          <w:r>
            <w:fldChar w:fldCharType="end"/>
          </w:r>
          <w:r>
            <w:rPr>
              <w:rFonts w:hint="eastAsia" w:ascii="宋体" w:hAnsi="宋体" w:eastAsia="宋体" w:cs="宋体"/>
              <w:szCs w:val="24"/>
            </w:rPr>
            <w:fldChar w:fldCharType="end"/>
          </w:r>
        </w:p>
        <w:p w14:paraId="0BC4DA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_Toc12953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人员管理总结</w:t>
          </w:r>
          <w:r>
            <w:tab/>
          </w:r>
          <w:r>
            <w:fldChar w:fldCharType="begin"/>
          </w:r>
          <w:r>
            <w:instrText xml:space="preserve"> PAGEREF _Toc12953 \h </w:instrText>
          </w:r>
          <w:r>
            <w:fldChar w:fldCharType="separate"/>
          </w:r>
          <w:r>
            <w:t>6</w:t>
          </w:r>
          <w:r>
            <w:fldChar w:fldCharType="end"/>
          </w:r>
          <w:r>
            <w:rPr>
              <w:rFonts w:hint="eastAsia" w:ascii="宋体" w:hAnsi="宋体" w:eastAsia="宋体" w:cs="宋体"/>
              <w:szCs w:val="24"/>
            </w:rPr>
            <w:fldChar w:fldCharType="end"/>
          </w:r>
        </w:p>
        <w:p w14:paraId="742EEE3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_Toc31617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招聘情况说明</w:t>
          </w:r>
          <w:r>
            <w:tab/>
          </w:r>
          <w:r>
            <w:fldChar w:fldCharType="begin"/>
          </w:r>
          <w:r>
            <w:instrText xml:space="preserve"> PAGEREF _Toc31617 \h </w:instrText>
          </w:r>
          <w:r>
            <w:fldChar w:fldCharType="separate"/>
          </w:r>
          <w:r>
            <w:t>6</w:t>
          </w:r>
          <w:r>
            <w:fldChar w:fldCharType="end"/>
          </w:r>
          <w:r>
            <w:rPr>
              <w:rFonts w:hint="eastAsia" w:ascii="宋体" w:hAnsi="宋体" w:eastAsia="宋体" w:cs="宋体"/>
              <w:szCs w:val="24"/>
            </w:rPr>
            <w:fldChar w:fldCharType="end"/>
          </w:r>
        </w:p>
        <w:p w14:paraId="31CCA64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_Toc1409 </w:instrText>
          </w:r>
          <w:r>
            <w:rPr>
              <w:rFonts w:hint="eastAsia" w:ascii="宋体" w:hAnsi="宋体" w:eastAsia="宋体" w:cs="宋体"/>
              <w:szCs w:val="24"/>
            </w:rPr>
            <w:fldChar w:fldCharType="separate"/>
          </w:r>
          <w:r>
            <w:rPr>
              <w:rFonts w:hint="default"/>
            </w:rPr>
            <w:t xml:space="preserve">2.1.1. </w:t>
          </w:r>
          <w:r>
            <w:rPr>
              <w:rFonts w:hint="eastAsia"/>
              <w:lang w:val="en-US" w:eastAsia="zh-CN"/>
            </w:rPr>
            <w:t>招聘计划</w:t>
          </w:r>
          <w:r>
            <w:t>完成情况</w:t>
          </w:r>
          <w:r>
            <w:tab/>
          </w:r>
          <w:r>
            <w:fldChar w:fldCharType="begin"/>
          </w:r>
          <w:r>
            <w:instrText xml:space="preserve"> PAGEREF _Toc1409 \h </w:instrText>
          </w:r>
          <w:r>
            <w:fldChar w:fldCharType="separate"/>
          </w:r>
          <w:r>
            <w:t>6</w:t>
          </w:r>
          <w:r>
            <w:fldChar w:fldCharType="end"/>
          </w:r>
          <w:r>
            <w:rPr>
              <w:rFonts w:hint="eastAsia" w:ascii="宋体" w:hAnsi="宋体" w:eastAsia="宋体" w:cs="宋体"/>
              <w:szCs w:val="24"/>
            </w:rPr>
            <w:fldChar w:fldCharType="end"/>
          </w:r>
        </w:p>
        <w:p w14:paraId="025248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_Toc22538 </w:instrText>
          </w:r>
          <w:r>
            <w:rPr>
              <w:rFonts w:hint="eastAsia" w:ascii="宋体" w:hAnsi="宋体" w:eastAsia="宋体" w:cs="宋体"/>
              <w:szCs w:val="24"/>
            </w:rPr>
            <w:fldChar w:fldCharType="separate"/>
          </w:r>
          <w:r>
            <w:rPr>
              <w:rFonts w:hint="default"/>
            </w:rPr>
            <w:t xml:space="preserve">2.1.2. </w:t>
          </w:r>
          <w:r>
            <w:rPr>
              <w:rFonts w:hint="eastAsia"/>
              <w:lang w:val="en-US" w:eastAsia="zh-CN"/>
            </w:rPr>
            <w:t>招聘指标完成情况</w:t>
          </w:r>
          <w:r>
            <w:tab/>
          </w:r>
          <w:r>
            <w:fldChar w:fldCharType="begin"/>
          </w:r>
          <w:r>
            <w:instrText xml:space="preserve"> PAGEREF _Toc22538 \h </w:instrText>
          </w:r>
          <w:r>
            <w:fldChar w:fldCharType="separate"/>
          </w:r>
          <w:r>
            <w:t>7</w:t>
          </w:r>
          <w:r>
            <w:fldChar w:fldCharType="end"/>
          </w:r>
          <w:r>
            <w:rPr>
              <w:rFonts w:hint="eastAsia" w:ascii="宋体" w:hAnsi="宋体" w:eastAsia="宋体" w:cs="宋体"/>
              <w:szCs w:val="24"/>
            </w:rPr>
            <w:fldChar w:fldCharType="end"/>
          </w:r>
        </w:p>
        <w:p w14:paraId="35A87F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_Toc29382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储备情况说明</w:t>
          </w:r>
          <w:r>
            <w:tab/>
          </w:r>
          <w:r>
            <w:fldChar w:fldCharType="begin"/>
          </w:r>
          <w:r>
            <w:instrText xml:space="preserve"> PAGEREF _Toc29382 \h </w:instrText>
          </w:r>
          <w:r>
            <w:fldChar w:fldCharType="separate"/>
          </w:r>
          <w:r>
            <w:t>7</w:t>
          </w:r>
          <w:r>
            <w:fldChar w:fldCharType="end"/>
          </w:r>
          <w:r>
            <w:rPr>
              <w:rFonts w:hint="eastAsia" w:ascii="宋体" w:hAnsi="宋体" w:eastAsia="宋体" w:cs="宋体"/>
              <w:szCs w:val="24"/>
            </w:rPr>
            <w:fldChar w:fldCharType="end"/>
          </w:r>
        </w:p>
        <w:p w14:paraId="4C45FCE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_Toc32701 </w:instrText>
          </w:r>
          <w:r>
            <w:rPr>
              <w:rFonts w:hint="eastAsia" w:ascii="宋体" w:hAnsi="宋体" w:eastAsia="宋体" w:cs="宋体"/>
              <w:szCs w:val="24"/>
            </w:rPr>
            <w:fldChar w:fldCharType="separate"/>
          </w:r>
          <w:r>
            <w:rPr>
              <w:rFonts w:hint="default"/>
            </w:rPr>
            <w:t xml:space="preserve">2.2.1. </w:t>
          </w:r>
          <w:r>
            <w:rPr>
              <w:rFonts w:hint="eastAsia"/>
              <w:lang w:val="en-US" w:eastAsia="zh-CN"/>
            </w:rPr>
            <w:t>储备计划</w:t>
          </w:r>
          <w:r>
            <w:t>完成情况</w:t>
          </w:r>
          <w:r>
            <w:tab/>
          </w:r>
          <w:r>
            <w:fldChar w:fldCharType="begin"/>
          </w:r>
          <w:r>
            <w:instrText xml:space="preserve"> PAGEREF _Toc32701 \h </w:instrText>
          </w:r>
          <w:r>
            <w:fldChar w:fldCharType="separate"/>
          </w:r>
          <w:r>
            <w:t>7</w:t>
          </w:r>
          <w:r>
            <w:fldChar w:fldCharType="end"/>
          </w:r>
          <w:r>
            <w:rPr>
              <w:rFonts w:hint="eastAsia" w:ascii="宋体" w:hAnsi="宋体" w:eastAsia="宋体" w:cs="宋体"/>
              <w:szCs w:val="24"/>
            </w:rPr>
            <w:fldChar w:fldCharType="end"/>
          </w:r>
        </w:p>
        <w:p w14:paraId="1EFCD5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_Toc17609 </w:instrText>
          </w:r>
          <w:r>
            <w:rPr>
              <w:rFonts w:hint="eastAsia" w:ascii="宋体" w:hAnsi="宋体" w:eastAsia="宋体" w:cs="宋体"/>
              <w:szCs w:val="24"/>
            </w:rPr>
            <w:fldChar w:fldCharType="separate"/>
          </w:r>
          <w:r>
            <w:rPr>
              <w:rFonts w:hint="default"/>
            </w:rPr>
            <w:t xml:space="preserve">2.2.2. </w:t>
          </w:r>
          <w:r>
            <w:rPr>
              <w:rFonts w:hint="eastAsia"/>
              <w:lang w:val="en-US" w:eastAsia="zh-CN"/>
            </w:rPr>
            <w:t>储备指标</w:t>
          </w:r>
          <w:r>
            <w:t>完成情况</w:t>
          </w:r>
          <w:r>
            <w:tab/>
          </w:r>
          <w:r>
            <w:fldChar w:fldCharType="begin"/>
          </w:r>
          <w:r>
            <w:instrText xml:space="preserve"> PAGEREF _Toc17609 \h </w:instrText>
          </w:r>
          <w:r>
            <w:fldChar w:fldCharType="separate"/>
          </w:r>
          <w:r>
            <w:t>8</w:t>
          </w:r>
          <w:r>
            <w:fldChar w:fldCharType="end"/>
          </w:r>
          <w:r>
            <w:rPr>
              <w:rFonts w:hint="eastAsia" w:ascii="宋体" w:hAnsi="宋体" w:eastAsia="宋体" w:cs="宋体"/>
              <w:szCs w:val="24"/>
            </w:rPr>
            <w:fldChar w:fldCharType="end"/>
          </w:r>
        </w:p>
        <w:p w14:paraId="6DF2348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_Toc26495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培训情况说明</w:t>
          </w:r>
          <w:r>
            <w:tab/>
          </w:r>
          <w:r>
            <w:fldChar w:fldCharType="begin"/>
          </w:r>
          <w:r>
            <w:instrText xml:space="preserve"> PAGEREF _Toc26495 \h </w:instrText>
          </w:r>
          <w:r>
            <w:fldChar w:fldCharType="separate"/>
          </w:r>
          <w:r>
            <w:t>8</w:t>
          </w:r>
          <w:r>
            <w:fldChar w:fldCharType="end"/>
          </w:r>
          <w:r>
            <w:rPr>
              <w:rFonts w:hint="eastAsia" w:ascii="宋体" w:hAnsi="宋体" w:eastAsia="宋体" w:cs="宋体"/>
              <w:szCs w:val="24"/>
            </w:rPr>
            <w:fldChar w:fldCharType="end"/>
          </w:r>
        </w:p>
        <w:p w14:paraId="1358B90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_Toc18620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培训计划完成情况</w:t>
          </w:r>
          <w:r>
            <w:tab/>
          </w:r>
          <w:r>
            <w:fldChar w:fldCharType="begin"/>
          </w:r>
          <w:r>
            <w:instrText xml:space="preserve"> PAGEREF _Toc18620 \h </w:instrText>
          </w:r>
          <w:r>
            <w:fldChar w:fldCharType="separate"/>
          </w:r>
          <w:r>
            <w:t>8</w:t>
          </w:r>
          <w:r>
            <w:fldChar w:fldCharType="end"/>
          </w:r>
          <w:r>
            <w:rPr>
              <w:rFonts w:hint="eastAsia" w:ascii="宋体" w:hAnsi="宋体" w:eastAsia="宋体" w:cs="宋体"/>
              <w:szCs w:val="24"/>
            </w:rPr>
            <w:fldChar w:fldCharType="end"/>
          </w:r>
        </w:p>
        <w:p w14:paraId="5CC1FBC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_Toc11287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培训指标完成情况</w:t>
          </w:r>
          <w:r>
            <w:tab/>
          </w:r>
          <w:r>
            <w:fldChar w:fldCharType="begin"/>
          </w:r>
          <w:r>
            <w:instrText xml:space="preserve"> PAGEREF _Toc11287 \h </w:instrText>
          </w:r>
          <w:r>
            <w:fldChar w:fldCharType="separate"/>
          </w:r>
          <w:r>
            <w:t>11</w:t>
          </w:r>
          <w:r>
            <w:fldChar w:fldCharType="end"/>
          </w:r>
          <w:r>
            <w:rPr>
              <w:rFonts w:hint="eastAsia" w:ascii="宋体" w:hAnsi="宋体" w:eastAsia="宋体" w:cs="宋体"/>
              <w:szCs w:val="24"/>
            </w:rPr>
            <w:fldChar w:fldCharType="end"/>
          </w:r>
        </w:p>
        <w:p w14:paraId="46DE298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_Toc832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备份情况说明</w:t>
          </w:r>
          <w:r>
            <w:tab/>
          </w:r>
          <w:r>
            <w:fldChar w:fldCharType="begin"/>
          </w:r>
          <w:r>
            <w:instrText xml:space="preserve"> PAGEREF _Toc832 \h </w:instrText>
          </w:r>
          <w:r>
            <w:fldChar w:fldCharType="separate"/>
          </w:r>
          <w:r>
            <w:t>11</w:t>
          </w:r>
          <w:r>
            <w:fldChar w:fldCharType="end"/>
          </w:r>
          <w:r>
            <w:rPr>
              <w:rFonts w:hint="eastAsia" w:ascii="宋体" w:hAnsi="宋体" w:eastAsia="宋体" w:cs="宋体"/>
              <w:szCs w:val="24"/>
            </w:rPr>
            <w:fldChar w:fldCharType="end"/>
          </w:r>
        </w:p>
        <w:p w14:paraId="113019B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_Toc30415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备份计划完成情况</w:t>
          </w:r>
          <w:r>
            <w:tab/>
          </w:r>
          <w:r>
            <w:fldChar w:fldCharType="begin"/>
          </w:r>
          <w:r>
            <w:instrText xml:space="preserve"> PAGEREF _Toc30415 \h </w:instrText>
          </w:r>
          <w:r>
            <w:fldChar w:fldCharType="separate"/>
          </w:r>
          <w:r>
            <w:t>11</w:t>
          </w:r>
          <w:r>
            <w:fldChar w:fldCharType="end"/>
          </w:r>
          <w:r>
            <w:rPr>
              <w:rFonts w:hint="eastAsia" w:ascii="宋体" w:hAnsi="宋体" w:eastAsia="宋体" w:cs="宋体"/>
              <w:szCs w:val="24"/>
            </w:rPr>
            <w:fldChar w:fldCharType="end"/>
          </w:r>
        </w:p>
        <w:p w14:paraId="73B4B6F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_Toc31476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备份指标完成情况</w:t>
          </w:r>
          <w:r>
            <w:tab/>
          </w:r>
          <w:r>
            <w:fldChar w:fldCharType="begin"/>
          </w:r>
          <w:r>
            <w:instrText xml:space="preserve"> PAGEREF _Toc31476 \h </w:instrText>
          </w:r>
          <w:r>
            <w:fldChar w:fldCharType="separate"/>
          </w:r>
          <w:r>
            <w:t>12</w:t>
          </w:r>
          <w:r>
            <w:fldChar w:fldCharType="end"/>
          </w:r>
          <w:r>
            <w:rPr>
              <w:rFonts w:hint="eastAsia" w:ascii="宋体" w:hAnsi="宋体" w:eastAsia="宋体" w:cs="宋体"/>
              <w:szCs w:val="24"/>
            </w:rPr>
            <w:fldChar w:fldCharType="end"/>
          </w:r>
        </w:p>
        <w:p w14:paraId="48DB1DE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_Toc13371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绩效考核情况说明</w:t>
          </w:r>
          <w:r>
            <w:tab/>
          </w:r>
          <w:r>
            <w:fldChar w:fldCharType="begin"/>
          </w:r>
          <w:r>
            <w:instrText xml:space="preserve"> PAGEREF _Toc13371 \h </w:instrText>
          </w:r>
          <w:r>
            <w:fldChar w:fldCharType="separate"/>
          </w:r>
          <w:r>
            <w:t>12</w:t>
          </w:r>
          <w:r>
            <w:fldChar w:fldCharType="end"/>
          </w:r>
          <w:r>
            <w:rPr>
              <w:rFonts w:hint="eastAsia" w:ascii="宋体" w:hAnsi="宋体" w:eastAsia="宋体" w:cs="宋体"/>
              <w:szCs w:val="24"/>
            </w:rPr>
            <w:fldChar w:fldCharType="end"/>
          </w:r>
        </w:p>
        <w:p w14:paraId="20C611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_Toc20655 </w:instrText>
          </w:r>
          <w:r>
            <w:rPr>
              <w:rFonts w:hint="eastAsia" w:ascii="宋体" w:hAnsi="宋体" w:eastAsia="宋体" w:cs="宋体"/>
              <w:szCs w:val="24"/>
            </w:rPr>
            <w:fldChar w:fldCharType="separate"/>
          </w:r>
          <w:r>
            <w:rPr>
              <w:rFonts w:hint="default"/>
              <w:lang w:val="en-US" w:eastAsia="zh-CN"/>
            </w:rPr>
            <w:t xml:space="preserve">2.5.1. </w:t>
          </w:r>
          <w:r>
            <w:rPr>
              <w:rFonts w:hint="eastAsia"/>
              <w:lang w:val="en-US" w:eastAsia="zh-CN"/>
            </w:rPr>
            <w:t>绩效考核完成情况</w:t>
          </w:r>
          <w:r>
            <w:tab/>
          </w:r>
          <w:r>
            <w:fldChar w:fldCharType="begin"/>
          </w:r>
          <w:r>
            <w:instrText xml:space="preserve"> PAGEREF _Toc20655 \h </w:instrText>
          </w:r>
          <w:r>
            <w:fldChar w:fldCharType="separate"/>
          </w:r>
          <w:r>
            <w:t>12</w:t>
          </w:r>
          <w:r>
            <w:fldChar w:fldCharType="end"/>
          </w:r>
          <w:r>
            <w:rPr>
              <w:rFonts w:hint="eastAsia" w:ascii="宋体" w:hAnsi="宋体" w:eastAsia="宋体" w:cs="宋体"/>
              <w:szCs w:val="24"/>
            </w:rPr>
            <w:fldChar w:fldCharType="end"/>
          </w:r>
        </w:p>
        <w:p w14:paraId="7174489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_Toc5673 </w:instrText>
          </w:r>
          <w:r>
            <w:rPr>
              <w:rFonts w:hint="eastAsia" w:ascii="宋体" w:hAnsi="宋体" w:eastAsia="宋体" w:cs="宋体"/>
              <w:szCs w:val="24"/>
            </w:rPr>
            <w:fldChar w:fldCharType="separate"/>
          </w:r>
          <w:r>
            <w:rPr>
              <w:rFonts w:hint="default"/>
              <w:lang w:val="en-US" w:eastAsia="zh-CN"/>
            </w:rPr>
            <w:t xml:space="preserve">2.5.2. </w:t>
          </w:r>
          <w:r>
            <w:rPr>
              <w:rFonts w:hint="eastAsia"/>
              <w:lang w:val="en-US" w:eastAsia="zh-CN"/>
            </w:rPr>
            <w:t>绩效考核指标达成情况</w:t>
          </w:r>
          <w:r>
            <w:tab/>
          </w:r>
          <w:r>
            <w:fldChar w:fldCharType="begin"/>
          </w:r>
          <w:r>
            <w:instrText xml:space="preserve"> PAGEREF _Toc5673 \h </w:instrText>
          </w:r>
          <w:r>
            <w:fldChar w:fldCharType="separate"/>
          </w:r>
          <w:r>
            <w:t>13</w:t>
          </w:r>
          <w:r>
            <w:fldChar w:fldCharType="end"/>
          </w:r>
          <w:r>
            <w:rPr>
              <w:rFonts w:hint="eastAsia" w:ascii="宋体" w:hAnsi="宋体" w:eastAsia="宋体" w:cs="宋体"/>
              <w:szCs w:val="24"/>
            </w:rPr>
            <w:fldChar w:fldCharType="end"/>
          </w:r>
        </w:p>
        <w:p w14:paraId="4C99806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_Toc23084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能力评价情况说明</w:t>
          </w:r>
          <w:r>
            <w:tab/>
          </w:r>
          <w:r>
            <w:fldChar w:fldCharType="begin"/>
          </w:r>
          <w:r>
            <w:instrText xml:space="preserve"> PAGEREF _Toc23084 \h </w:instrText>
          </w:r>
          <w:r>
            <w:fldChar w:fldCharType="separate"/>
          </w:r>
          <w:r>
            <w:t>13</w:t>
          </w:r>
          <w:r>
            <w:fldChar w:fldCharType="end"/>
          </w:r>
          <w:r>
            <w:rPr>
              <w:rFonts w:hint="eastAsia" w:ascii="宋体" w:hAnsi="宋体" w:eastAsia="宋体" w:cs="宋体"/>
              <w:szCs w:val="24"/>
            </w:rPr>
            <w:fldChar w:fldCharType="end"/>
          </w:r>
        </w:p>
        <w:p w14:paraId="01EE451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_Toc25084 </w:instrText>
          </w:r>
          <w:r>
            <w:rPr>
              <w:rFonts w:hint="eastAsia" w:ascii="宋体" w:hAnsi="宋体" w:eastAsia="宋体" w:cs="宋体"/>
              <w:szCs w:val="24"/>
            </w:rPr>
            <w:fldChar w:fldCharType="separate"/>
          </w:r>
          <w:r>
            <w:rPr>
              <w:rFonts w:hint="default"/>
              <w:lang w:val="en-US" w:eastAsia="zh-CN"/>
            </w:rPr>
            <w:t xml:space="preserve">2.6.1. </w:t>
          </w:r>
          <w:r>
            <w:rPr>
              <w:rFonts w:hint="eastAsia"/>
              <w:lang w:val="en-US" w:eastAsia="zh-CN"/>
            </w:rPr>
            <w:t>技能评价完成情况</w:t>
          </w:r>
          <w:r>
            <w:tab/>
          </w:r>
          <w:r>
            <w:fldChar w:fldCharType="begin"/>
          </w:r>
          <w:r>
            <w:instrText xml:space="preserve"> PAGEREF _Toc25084 \h </w:instrText>
          </w:r>
          <w:r>
            <w:fldChar w:fldCharType="separate"/>
          </w:r>
          <w:r>
            <w:t>13</w:t>
          </w:r>
          <w:r>
            <w:fldChar w:fldCharType="end"/>
          </w:r>
          <w:r>
            <w:rPr>
              <w:rFonts w:hint="eastAsia" w:ascii="宋体" w:hAnsi="宋体" w:eastAsia="宋体" w:cs="宋体"/>
              <w:szCs w:val="24"/>
            </w:rPr>
            <w:fldChar w:fldCharType="end"/>
          </w:r>
        </w:p>
        <w:p w14:paraId="2810867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_Toc23412 </w:instrText>
          </w:r>
          <w:r>
            <w:rPr>
              <w:rFonts w:hint="eastAsia" w:ascii="宋体" w:hAnsi="宋体" w:eastAsia="宋体" w:cs="宋体"/>
              <w:szCs w:val="24"/>
            </w:rPr>
            <w:fldChar w:fldCharType="separate"/>
          </w:r>
          <w:r>
            <w:rPr>
              <w:rFonts w:hint="default"/>
              <w:lang w:val="en-US" w:eastAsia="zh-CN"/>
            </w:rPr>
            <w:t xml:space="preserve">2.6.2. </w:t>
          </w:r>
          <w:r>
            <w:rPr>
              <w:rFonts w:hint="eastAsia"/>
              <w:lang w:val="en-US" w:eastAsia="zh-CN"/>
            </w:rPr>
            <w:t>技能评价指标完成情况</w:t>
          </w:r>
          <w:r>
            <w:tab/>
          </w:r>
          <w:r>
            <w:fldChar w:fldCharType="begin"/>
          </w:r>
          <w:r>
            <w:instrText xml:space="preserve"> PAGEREF _Toc23412 \h </w:instrText>
          </w:r>
          <w:r>
            <w:fldChar w:fldCharType="separate"/>
          </w:r>
          <w:r>
            <w:t>14</w:t>
          </w:r>
          <w:r>
            <w:fldChar w:fldCharType="end"/>
          </w:r>
          <w:r>
            <w:rPr>
              <w:rFonts w:hint="eastAsia" w:ascii="宋体" w:hAnsi="宋体" w:eastAsia="宋体" w:cs="宋体"/>
              <w:szCs w:val="24"/>
            </w:rPr>
            <w:fldChar w:fldCharType="end"/>
          </w:r>
        </w:p>
        <w:p w14:paraId="5C0D588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资源管理总结</w:t>
          </w:r>
          <w:r>
            <w:tab/>
          </w:r>
          <w:r>
            <w:fldChar w:fldCharType="begin"/>
          </w:r>
          <w:r>
            <w:instrText xml:space="preserve"> PAGEREF _Toc22277 \h </w:instrText>
          </w:r>
          <w:r>
            <w:fldChar w:fldCharType="separate"/>
          </w:r>
          <w:r>
            <w:t>14</w:t>
          </w:r>
          <w:r>
            <w:fldChar w:fldCharType="end"/>
          </w:r>
          <w:r>
            <w:rPr>
              <w:rFonts w:hint="eastAsia" w:ascii="宋体" w:hAnsi="宋体" w:eastAsia="宋体" w:cs="宋体"/>
              <w:szCs w:val="24"/>
            </w:rPr>
            <w:fldChar w:fldCharType="end"/>
          </w:r>
        </w:p>
        <w:p w14:paraId="017320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_Toc7250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资源管理情况总结</w:t>
          </w:r>
          <w:r>
            <w:tab/>
          </w:r>
          <w:r>
            <w:fldChar w:fldCharType="begin"/>
          </w:r>
          <w:r>
            <w:instrText xml:space="preserve"> PAGEREF _Toc7250 \h </w:instrText>
          </w:r>
          <w:r>
            <w:fldChar w:fldCharType="separate"/>
          </w:r>
          <w:r>
            <w:t>14</w:t>
          </w:r>
          <w:r>
            <w:fldChar w:fldCharType="end"/>
          </w:r>
          <w:r>
            <w:rPr>
              <w:rFonts w:hint="eastAsia" w:ascii="宋体" w:hAnsi="宋体" w:eastAsia="宋体" w:cs="宋体"/>
              <w:szCs w:val="24"/>
            </w:rPr>
            <w:fldChar w:fldCharType="end"/>
          </w:r>
        </w:p>
        <w:p w14:paraId="463EA7D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_Toc5280 </w:instrText>
          </w:r>
          <w:r>
            <w:rPr>
              <w:rFonts w:hint="eastAsia" w:ascii="宋体" w:hAnsi="宋体" w:eastAsia="宋体" w:cs="宋体"/>
              <w:szCs w:val="24"/>
            </w:rPr>
            <w:fldChar w:fldCharType="separate"/>
          </w:r>
          <w:r>
            <w:rPr>
              <w:rFonts w:hint="default"/>
              <w:lang w:val="en-US" w:eastAsia="zh-CN"/>
            </w:rPr>
            <w:t xml:space="preserve">3.1.1. </w:t>
          </w:r>
          <w:r>
            <w:rPr>
              <w:rFonts w:hint="eastAsia"/>
              <w:lang w:val="en-US" w:eastAsia="zh-CN"/>
            </w:rPr>
            <w:t>运维工具管理情况总结</w:t>
          </w:r>
          <w:r>
            <w:tab/>
          </w:r>
          <w:r>
            <w:fldChar w:fldCharType="begin"/>
          </w:r>
          <w:r>
            <w:instrText xml:space="preserve"> PAGEREF _Toc5280 \h </w:instrText>
          </w:r>
          <w:r>
            <w:fldChar w:fldCharType="separate"/>
          </w:r>
          <w:r>
            <w:t>14</w:t>
          </w:r>
          <w:r>
            <w:fldChar w:fldCharType="end"/>
          </w:r>
          <w:r>
            <w:rPr>
              <w:rFonts w:hint="eastAsia" w:ascii="宋体" w:hAnsi="宋体" w:eastAsia="宋体" w:cs="宋体"/>
              <w:szCs w:val="24"/>
            </w:rPr>
            <w:fldChar w:fldCharType="end"/>
          </w:r>
        </w:p>
        <w:p w14:paraId="2CE0940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_Toc17030 </w:instrText>
          </w:r>
          <w:r>
            <w:rPr>
              <w:rFonts w:hint="eastAsia" w:ascii="宋体" w:hAnsi="宋体" w:eastAsia="宋体" w:cs="宋体"/>
              <w:szCs w:val="24"/>
            </w:rPr>
            <w:fldChar w:fldCharType="separate"/>
          </w:r>
          <w:r>
            <w:rPr>
              <w:rFonts w:hint="default"/>
              <w:lang w:val="en-US" w:eastAsia="zh-CN"/>
            </w:rPr>
            <w:t xml:space="preserve">3.1.2. </w:t>
          </w:r>
          <w:r>
            <w:rPr>
              <w:rFonts w:hint="eastAsia"/>
              <w:lang w:val="en-US" w:eastAsia="zh-CN"/>
            </w:rPr>
            <w:t>服务台管理情况总结</w:t>
          </w:r>
          <w:r>
            <w:tab/>
          </w:r>
          <w:r>
            <w:fldChar w:fldCharType="begin"/>
          </w:r>
          <w:r>
            <w:instrText xml:space="preserve"> PAGEREF _Toc17030 \h </w:instrText>
          </w:r>
          <w:r>
            <w:fldChar w:fldCharType="separate"/>
          </w:r>
          <w:r>
            <w:t>14</w:t>
          </w:r>
          <w:r>
            <w:fldChar w:fldCharType="end"/>
          </w:r>
          <w:r>
            <w:rPr>
              <w:rFonts w:hint="eastAsia" w:ascii="宋体" w:hAnsi="宋体" w:eastAsia="宋体" w:cs="宋体"/>
              <w:szCs w:val="24"/>
            </w:rPr>
            <w:fldChar w:fldCharType="end"/>
          </w:r>
        </w:p>
        <w:p w14:paraId="037359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_Toc26130 </w:instrText>
          </w:r>
          <w:r>
            <w:rPr>
              <w:rFonts w:hint="eastAsia" w:ascii="宋体" w:hAnsi="宋体" w:eastAsia="宋体" w:cs="宋体"/>
              <w:szCs w:val="24"/>
            </w:rPr>
            <w:fldChar w:fldCharType="separate"/>
          </w:r>
          <w:r>
            <w:rPr>
              <w:rFonts w:hint="default"/>
              <w:lang w:val="en-US" w:eastAsia="zh-CN"/>
            </w:rPr>
            <w:t xml:space="preserve">3.1.3. </w:t>
          </w:r>
          <w:r>
            <w:rPr>
              <w:rFonts w:hint="eastAsia"/>
              <w:lang w:val="en-US" w:eastAsia="zh-CN"/>
            </w:rPr>
            <w:t>备件库管理情况总结</w:t>
          </w:r>
          <w:r>
            <w:tab/>
          </w:r>
          <w:r>
            <w:fldChar w:fldCharType="begin"/>
          </w:r>
          <w:r>
            <w:instrText xml:space="preserve"> PAGEREF _Toc26130 \h </w:instrText>
          </w:r>
          <w:r>
            <w:fldChar w:fldCharType="separate"/>
          </w:r>
          <w:r>
            <w:t>14</w:t>
          </w:r>
          <w:r>
            <w:fldChar w:fldCharType="end"/>
          </w:r>
          <w:r>
            <w:rPr>
              <w:rFonts w:hint="eastAsia" w:ascii="宋体" w:hAnsi="宋体" w:eastAsia="宋体" w:cs="宋体"/>
              <w:szCs w:val="24"/>
            </w:rPr>
            <w:fldChar w:fldCharType="end"/>
          </w:r>
        </w:p>
        <w:p w14:paraId="1DF1E14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_Toc24227 </w:instrText>
          </w:r>
          <w:r>
            <w:rPr>
              <w:rFonts w:hint="eastAsia" w:ascii="宋体" w:hAnsi="宋体" w:eastAsia="宋体" w:cs="宋体"/>
              <w:szCs w:val="24"/>
            </w:rPr>
            <w:fldChar w:fldCharType="separate"/>
          </w:r>
          <w:r>
            <w:rPr>
              <w:rFonts w:hint="default"/>
              <w:lang w:val="en-US" w:eastAsia="zh-CN"/>
            </w:rPr>
            <w:t xml:space="preserve">3.1.4. </w:t>
          </w:r>
          <w:r>
            <w:rPr>
              <w:rFonts w:hint="eastAsia"/>
              <w:lang w:val="en-US" w:eastAsia="zh-CN"/>
            </w:rPr>
            <w:t>服务知识管理情况总结</w:t>
          </w:r>
          <w:r>
            <w:tab/>
          </w:r>
          <w:r>
            <w:fldChar w:fldCharType="begin"/>
          </w:r>
          <w:r>
            <w:instrText xml:space="preserve"> PAGEREF _Toc24227 \h </w:instrText>
          </w:r>
          <w:r>
            <w:fldChar w:fldCharType="separate"/>
          </w:r>
          <w:r>
            <w:t>15</w:t>
          </w:r>
          <w:r>
            <w:fldChar w:fldCharType="end"/>
          </w:r>
          <w:r>
            <w:rPr>
              <w:rFonts w:hint="eastAsia" w:ascii="宋体" w:hAnsi="宋体" w:eastAsia="宋体" w:cs="宋体"/>
              <w:szCs w:val="24"/>
            </w:rPr>
            <w:fldChar w:fldCharType="end"/>
          </w:r>
        </w:p>
        <w:p w14:paraId="0C52D3A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_Toc19070 </w:instrText>
          </w:r>
          <w:r>
            <w:rPr>
              <w:rFonts w:hint="eastAsia" w:ascii="宋体" w:hAnsi="宋体" w:eastAsia="宋体" w:cs="宋体"/>
              <w:szCs w:val="24"/>
            </w:rPr>
            <w:fldChar w:fldCharType="separate"/>
          </w:r>
          <w:r>
            <w:rPr>
              <w:rFonts w:hint="default"/>
              <w:lang w:val="en-US" w:eastAsia="zh-CN"/>
            </w:rPr>
            <w:t xml:space="preserve">3.1.5. </w:t>
          </w:r>
          <w:r>
            <w:rPr>
              <w:rFonts w:hint="eastAsia"/>
              <w:lang w:val="en-US" w:eastAsia="zh-CN"/>
            </w:rPr>
            <w:t>最终软件库管理情况总结</w:t>
          </w:r>
          <w:r>
            <w:tab/>
          </w:r>
          <w:r>
            <w:fldChar w:fldCharType="begin"/>
          </w:r>
          <w:r>
            <w:instrText xml:space="preserve"> PAGEREF _Toc19070 \h </w:instrText>
          </w:r>
          <w:r>
            <w:fldChar w:fldCharType="separate"/>
          </w:r>
          <w:r>
            <w:t>15</w:t>
          </w:r>
          <w:r>
            <w:fldChar w:fldCharType="end"/>
          </w:r>
          <w:r>
            <w:rPr>
              <w:rFonts w:hint="eastAsia" w:ascii="宋体" w:hAnsi="宋体" w:eastAsia="宋体" w:cs="宋体"/>
              <w:szCs w:val="24"/>
            </w:rPr>
            <w:fldChar w:fldCharType="end"/>
          </w:r>
        </w:p>
        <w:p w14:paraId="68D4ECF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_Toc18612 </w:instrText>
          </w:r>
          <w:r>
            <w:rPr>
              <w:rFonts w:hint="eastAsia" w:ascii="宋体" w:hAnsi="宋体" w:eastAsia="宋体" w:cs="宋体"/>
              <w:szCs w:val="24"/>
            </w:rPr>
            <w:fldChar w:fldCharType="separate"/>
          </w:r>
          <w:r>
            <w:rPr>
              <w:rFonts w:hint="default"/>
              <w:lang w:val="en-US" w:eastAsia="zh-CN"/>
            </w:rPr>
            <w:t xml:space="preserve">3.1.6. </w:t>
          </w:r>
          <w:r>
            <w:rPr>
              <w:rFonts w:hint="eastAsia"/>
              <w:lang w:val="en-US" w:eastAsia="zh-CN"/>
            </w:rPr>
            <w:t>服务数据管理情况总结</w:t>
          </w:r>
          <w:r>
            <w:tab/>
          </w:r>
          <w:r>
            <w:fldChar w:fldCharType="begin"/>
          </w:r>
          <w:r>
            <w:instrText xml:space="preserve"> PAGEREF _Toc18612 \h </w:instrText>
          </w:r>
          <w:r>
            <w:fldChar w:fldCharType="separate"/>
          </w:r>
          <w:r>
            <w:t>15</w:t>
          </w:r>
          <w:r>
            <w:fldChar w:fldCharType="end"/>
          </w:r>
          <w:r>
            <w:rPr>
              <w:rFonts w:hint="eastAsia" w:ascii="宋体" w:hAnsi="宋体" w:eastAsia="宋体" w:cs="宋体"/>
              <w:szCs w:val="24"/>
            </w:rPr>
            <w:fldChar w:fldCharType="end"/>
          </w:r>
        </w:p>
        <w:p w14:paraId="1039CD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技术管理总结</w:t>
          </w:r>
          <w:r>
            <w:tab/>
          </w:r>
          <w:r>
            <w:fldChar w:fldCharType="begin"/>
          </w:r>
          <w:r>
            <w:instrText xml:space="preserve"> PAGEREF _Toc368 \h </w:instrText>
          </w:r>
          <w:r>
            <w:fldChar w:fldCharType="separate"/>
          </w:r>
          <w:r>
            <w:t>16</w:t>
          </w:r>
          <w:r>
            <w:fldChar w:fldCharType="end"/>
          </w:r>
          <w:r>
            <w:rPr>
              <w:rFonts w:hint="eastAsia" w:ascii="宋体" w:hAnsi="宋体" w:eastAsia="宋体" w:cs="宋体"/>
              <w:szCs w:val="24"/>
            </w:rPr>
            <w:fldChar w:fldCharType="end"/>
          </w:r>
        </w:p>
        <w:p w14:paraId="44026CE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_Toc4884 </w:instrText>
          </w:r>
          <w:r>
            <w:rPr>
              <w:rFonts w:hint="eastAsia" w:ascii="宋体" w:hAnsi="宋体" w:eastAsia="宋体" w:cs="宋体"/>
              <w:szCs w:val="24"/>
            </w:rPr>
            <w:fldChar w:fldCharType="separate"/>
          </w:r>
          <w:r>
            <w:rPr>
              <w:rFonts w:hint="default"/>
            </w:rPr>
            <w:t xml:space="preserve">4.1. </w:t>
          </w:r>
          <w:r>
            <w:t>物管平台-物联标识系统</w:t>
          </w:r>
          <w:r>
            <w:tab/>
          </w:r>
          <w:r>
            <w:fldChar w:fldCharType="begin"/>
          </w:r>
          <w:r>
            <w:instrText xml:space="preserve"> PAGEREF _Toc4884 \h </w:instrText>
          </w:r>
          <w:r>
            <w:fldChar w:fldCharType="separate"/>
          </w:r>
          <w:r>
            <w:t>16</w:t>
          </w:r>
          <w:r>
            <w:fldChar w:fldCharType="end"/>
          </w:r>
          <w:r>
            <w:rPr>
              <w:rFonts w:hint="eastAsia" w:ascii="宋体" w:hAnsi="宋体" w:eastAsia="宋体" w:cs="宋体"/>
              <w:szCs w:val="24"/>
            </w:rPr>
            <w:fldChar w:fldCharType="end"/>
          </w:r>
        </w:p>
        <w:p w14:paraId="32F54C0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_Toc26828 </w:instrText>
          </w:r>
          <w:r>
            <w:rPr>
              <w:rFonts w:hint="eastAsia" w:ascii="宋体" w:hAnsi="宋体" w:eastAsia="宋体" w:cs="宋体"/>
              <w:szCs w:val="24"/>
            </w:rPr>
            <w:fldChar w:fldCharType="separate"/>
          </w:r>
          <w:r>
            <w:rPr>
              <w:rFonts w:hint="default"/>
            </w:rPr>
            <w:t xml:space="preserve">4.1.1. </w:t>
          </w:r>
          <w:r>
            <w:t>项目总体</w:t>
          </w:r>
          <w:r>
            <w:rPr>
              <w:rFonts w:hint="eastAsia"/>
              <w:lang w:val="en-US" w:eastAsia="zh-CN"/>
            </w:rPr>
            <w:t>概况</w:t>
          </w:r>
          <w:r>
            <w:tab/>
          </w:r>
          <w:r>
            <w:fldChar w:fldCharType="begin"/>
          </w:r>
          <w:r>
            <w:instrText xml:space="preserve"> PAGEREF _Toc26828 \h </w:instrText>
          </w:r>
          <w:r>
            <w:fldChar w:fldCharType="separate"/>
          </w:r>
          <w:r>
            <w:t>16</w:t>
          </w:r>
          <w:r>
            <w:fldChar w:fldCharType="end"/>
          </w:r>
          <w:r>
            <w:rPr>
              <w:rFonts w:hint="eastAsia" w:ascii="宋体" w:hAnsi="宋体" w:eastAsia="宋体" w:cs="宋体"/>
              <w:szCs w:val="24"/>
            </w:rPr>
            <w:fldChar w:fldCharType="end"/>
          </w:r>
        </w:p>
        <w:p w14:paraId="4098B5E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_Toc19757 </w:instrText>
          </w:r>
          <w:r>
            <w:rPr>
              <w:rFonts w:hint="eastAsia" w:ascii="宋体" w:hAnsi="宋体" w:eastAsia="宋体" w:cs="宋体"/>
              <w:szCs w:val="24"/>
            </w:rPr>
            <w:fldChar w:fldCharType="separate"/>
          </w:r>
          <w:r>
            <w:rPr>
              <w:rFonts w:hint="default"/>
            </w:rPr>
            <w:t xml:space="preserve">4.1.2. </w:t>
          </w:r>
          <w:r>
            <w:t>整体计划推进表</w:t>
          </w:r>
          <w:r>
            <w:tab/>
          </w:r>
          <w:r>
            <w:fldChar w:fldCharType="begin"/>
          </w:r>
          <w:r>
            <w:instrText xml:space="preserve"> PAGEREF _Toc19757 \h </w:instrText>
          </w:r>
          <w:r>
            <w:fldChar w:fldCharType="separate"/>
          </w:r>
          <w:r>
            <w:t>16</w:t>
          </w:r>
          <w:r>
            <w:fldChar w:fldCharType="end"/>
          </w:r>
          <w:r>
            <w:rPr>
              <w:rFonts w:hint="eastAsia" w:ascii="宋体" w:hAnsi="宋体" w:eastAsia="宋体" w:cs="宋体"/>
              <w:szCs w:val="24"/>
            </w:rPr>
            <w:fldChar w:fldCharType="end"/>
          </w:r>
        </w:p>
        <w:p w14:paraId="5BC7B45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_Toc7968 </w:instrText>
          </w:r>
          <w:r>
            <w:rPr>
              <w:rFonts w:hint="eastAsia" w:ascii="宋体" w:hAnsi="宋体" w:eastAsia="宋体" w:cs="宋体"/>
              <w:szCs w:val="24"/>
            </w:rPr>
            <w:fldChar w:fldCharType="separate"/>
          </w:r>
          <w:r>
            <w:rPr>
              <w:rFonts w:hint="default"/>
            </w:rPr>
            <w:t xml:space="preserve">4.1.3. </w:t>
          </w:r>
          <w:r>
            <w:t>整体功能介绍</w:t>
          </w:r>
          <w:r>
            <w:tab/>
          </w:r>
          <w:r>
            <w:fldChar w:fldCharType="begin"/>
          </w:r>
          <w:r>
            <w:instrText xml:space="preserve"> PAGEREF _Toc7968 \h </w:instrText>
          </w:r>
          <w:r>
            <w:fldChar w:fldCharType="separate"/>
          </w:r>
          <w:r>
            <w:t>17</w:t>
          </w:r>
          <w:r>
            <w:fldChar w:fldCharType="end"/>
          </w:r>
          <w:r>
            <w:rPr>
              <w:rFonts w:hint="eastAsia" w:ascii="宋体" w:hAnsi="宋体" w:eastAsia="宋体" w:cs="宋体"/>
              <w:szCs w:val="24"/>
            </w:rPr>
            <w:fldChar w:fldCharType="end"/>
          </w:r>
        </w:p>
        <w:p w14:paraId="01C17F9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_Toc23793 </w:instrText>
          </w:r>
          <w:r>
            <w:rPr>
              <w:rFonts w:hint="eastAsia" w:ascii="宋体" w:hAnsi="宋体" w:eastAsia="宋体" w:cs="宋体"/>
              <w:szCs w:val="24"/>
            </w:rPr>
            <w:fldChar w:fldCharType="separate"/>
          </w:r>
          <w:r>
            <w:rPr>
              <w:rFonts w:hint="default"/>
            </w:rPr>
            <w:t xml:space="preserve">4.1.4. </w:t>
          </w:r>
          <w:r>
            <w:t>主要模块详情</w:t>
          </w:r>
          <w:r>
            <w:tab/>
          </w:r>
          <w:r>
            <w:fldChar w:fldCharType="begin"/>
          </w:r>
          <w:r>
            <w:instrText xml:space="preserve"> PAGEREF _Toc23793 \h </w:instrText>
          </w:r>
          <w:r>
            <w:fldChar w:fldCharType="separate"/>
          </w:r>
          <w:r>
            <w:t>18</w:t>
          </w:r>
          <w:r>
            <w:fldChar w:fldCharType="end"/>
          </w:r>
          <w:r>
            <w:rPr>
              <w:rFonts w:hint="eastAsia" w:ascii="宋体" w:hAnsi="宋体" w:eastAsia="宋体" w:cs="宋体"/>
              <w:szCs w:val="24"/>
            </w:rPr>
            <w:fldChar w:fldCharType="end"/>
          </w:r>
        </w:p>
        <w:p w14:paraId="623775B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_Toc13746 </w:instrText>
          </w:r>
          <w:r>
            <w:rPr>
              <w:rFonts w:hint="eastAsia" w:ascii="宋体" w:hAnsi="宋体" w:eastAsia="宋体" w:cs="宋体"/>
              <w:szCs w:val="24"/>
            </w:rPr>
            <w:fldChar w:fldCharType="separate"/>
          </w:r>
          <w:r>
            <w:rPr>
              <w:rFonts w:hint="default"/>
            </w:rPr>
            <w:t xml:space="preserve">4.1.5. </w:t>
          </w:r>
          <w:r>
            <w:t>产品功能与实现目标</w:t>
          </w:r>
          <w:r>
            <w:tab/>
          </w:r>
          <w:r>
            <w:fldChar w:fldCharType="begin"/>
          </w:r>
          <w:r>
            <w:instrText xml:space="preserve"> PAGEREF _Toc13746 \h </w:instrText>
          </w:r>
          <w:r>
            <w:fldChar w:fldCharType="separate"/>
          </w:r>
          <w:r>
            <w:t>21</w:t>
          </w:r>
          <w:r>
            <w:fldChar w:fldCharType="end"/>
          </w:r>
          <w:r>
            <w:rPr>
              <w:rFonts w:hint="eastAsia" w:ascii="宋体" w:hAnsi="宋体" w:eastAsia="宋体" w:cs="宋体"/>
              <w:szCs w:val="24"/>
            </w:rPr>
            <w:fldChar w:fldCharType="end"/>
          </w:r>
        </w:p>
        <w:p w14:paraId="7074C6D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_Toc11589 </w:instrText>
          </w:r>
          <w:r>
            <w:rPr>
              <w:rFonts w:hint="eastAsia" w:ascii="宋体" w:hAnsi="宋体" w:eastAsia="宋体" w:cs="宋体"/>
              <w:szCs w:val="24"/>
            </w:rPr>
            <w:fldChar w:fldCharType="separate"/>
          </w:r>
          <w:r>
            <w:rPr>
              <w:rFonts w:hint="default"/>
              <w:lang w:val="en-US" w:eastAsia="zh-CN"/>
            </w:rPr>
            <w:t xml:space="preserve">4.1.6. </w:t>
          </w:r>
          <w:r>
            <w:rPr>
              <w:rFonts w:hint="eastAsia"/>
              <w:lang w:val="en-US" w:eastAsia="zh-CN"/>
            </w:rPr>
            <w:t>实际项目应用</w:t>
          </w:r>
          <w:r>
            <w:tab/>
          </w:r>
          <w:r>
            <w:fldChar w:fldCharType="begin"/>
          </w:r>
          <w:r>
            <w:instrText xml:space="preserve"> PAGEREF _Toc11589 \h </w:instrText>
          </w:r>
          <w:r>
            <w:fldChar w:fldCharType="separate"/>
          </w:r>
          <w:r>
            <w:t>21</w:t>
          </w:r>
          <w:r>
            <w:fldChar w:fldCharType="end"/>
          </w:r>
          <w:r>
            <w:rPr>
              <w:rFonts w:hint="eastAsia" w:ascii="宋体" w:hAnsi="宋体" w:eastAsia="宋体" w:cs="宋体"/>
              <w:szCs w:val="24"/>
            </w:rPr>
            <w:fldChar w:fldCharType="end"/>
          </w:r>
        </w:p>
        <w:p w14:paraId="3D22A93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_Toc22457 </w:instrText>
          </w:r>
          <w:r>
            <w:rPr>
              <w:rFonts w:hint="eastAsia" w:ascii="宋体" w:hAnsi="宋体" w:eastAsia="宋体" w:cs="宋体"/>
              <w:szCs w:val="24"/>
            </w:rPr>
            <w:fldChar w:fldCharType="separate"/>
          </w:r>
          <w:r>
            <w:rPr>
              <w:rFonts w:hint="default"/>
            </w:rPr>
            <w:t xml:space="preserve">4.2. </w:t>
          </w:r>
          <w:r>
            <w:t>隔离装置监控处置工具</w:t>
          </w:r>
          <w:r>
            <w:tab/>
          </w:r>
          <w:r>
            <w:fldChar w:fldCharType="begin"/>
          </w:r>
          <w:r>
            <w:instrText xml:space="preserve"> PAGEREF _Toc22457 \h </w:instrText>
          </w:r>
          <w:r>
            <w:fldChar w:fldCharType="separate"/>
          </w:r>
          <w:r>
            <w:t>22</w:t>
          </w:r>
          <w:r>
            <w:fldChar w:fldCharType="end"/>
          </w:r>
          <w:r>
            <w:rPr>
              <w:rFonts w:hint="eastAsia" w:ascii="宋体" w:hAnsi="宋体" w:eastAsia="宋体" w:cs="宋体"/>
              <w:szCs w:val="24"/>
            </w:rPr>
            <w:fldChar w:fldCharType="end"/>
          </w:r>
        </w:p>
        <w:p w14:paraId="04479B5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_Toc8388 </w:instrText>
          </w:r>
          <w:r>
            <w:rPr>
              <w:rFonts w:hint="eastAsia" w:ascii="宋体" w:hAnsi="宋体" w:eastAsia="宋体" w:cs="宋体"/>
              <w:szCs w:val="24"/>
            </w:rPr>
            <w:fldChar w:fldCharType="separate"/>
          </w:r>
          <w:r>
            <w:rPr>
              <w:rFonts w:hint="default"/>
            </w:rPr>
            <w:t xml:space="preserve">4.2.1. </w:t>
          </w:r>
          <w:r>
            <w:t>项目总体</w:t>
          </w:r>
          <w:r>
            <w:rPr>
              <w:rFonts w:hint="eastAsia"/>
              <w:lang w:val="en-US" w:eastAsia="zh-CN"/>
            </w:rPr>
            <w:t>概况</w:t>
          </w:r>
          <w:r>
            <w:tab/>
          </w:r>
          <w:r>
            <w:fldChar w:fldCharType="begin"/>
          </w:r>
          <w:r>
            <w:instrText xml:space="preserve"> PAGEREF _Toc8388 \h </w:instrText>
          </w:r>
          <w:r>
            <w:fldChar w:fldCharType="separate"/>
          </w:r>
          <w:r>
            <w:t>22</w:t>
          </w:r>
          <w:r>
            <w:fldChar w:fldCharType="end"/>
          </w:r>
          <w:r>
            <w:rPr>
              <w:rFonts w:hint="eastAsia" w:ascii="宋体" w:hAnsi="宋体" w:eastAsia="宋体" w:cs="宋体"/>
              <w:szCs w:val="24"/>
            </w:rPr>
            <w:fldChar w:fldCharType="end"/>
          </w:r>
        </w:p>
        <w:p w14:paraId="1890246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_Toc14498 </w:instrText>
          </w:r>
          <w:r>
            <w:rPr>
              <w:rFonts w:hint="eastAsia" w:ascii="宋体" w:hAnsi="宋体" w:eastAsia="宋体" w:cs="宋体"/>
              <w:szCs w:val="24"/>
            </w:rPr>
            <w:fldChar w:fldCharType="separate"/>
          </w:r>
          <w:r>
            <w:rPr>
              <w:rFonts w:hint="default"/>
            </w:rPr>
            <w:t xml:space="preserve">4.2.2. </w:t>
          </w:r>
          <w:r>
            <w:t>整体功能介绍</w:t>
          </w:r>
          <w:r>
            <w:tab/>
          </w:r>
          <w:r>
            <w:fldChar w:fldCharType="begin"/>
          </w:r>
          <w:r>
            <w:instrText xml:space="preserve"> PAGEREF _Toc14498 \h </w:instrText>
          </w:r>
          <w:r>
            <w:fldChar w:fldCharType="separate"/>
          </w:r>
          <w:r>
            <w:t>22</w:t>
          </w:r>
          <w:r>
            <w:fldChar w:fldCharType="end"/>
          </w:r>
          <w:r>
            <w:rPr>
              <w:rFonts w:hint="eastAsia" w:ascii="宋体" w:hAnsi="宋体" w:eastAsia="宋体" w:cs="宋体"/>
              <w:szCs w:val="24"/>
            </w:rPr>
            <w:fldChar w:fldCharType="end"/>
          </w:r>
        </w:p>
        <w:p w14:paraId="03BFF07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_Toc29558 </w:instrText>
          </w:r>
          <w:r>
            <w:rPr>
              <w:rFonts w:hint="eastAsia" w:ascii="宋体" w:hAnsi="宋体" w:eastAsia="宋体" w:cs="宋体"/>
              <w:szCs w:val="24"/>
            </w:rPr>
            <w:fldChar w:fldCharType="separate"/>
          </w:r>
          <w:r>
            <w:rPr>
              <w:rFonts w:hint="default"/>
            </w:rPr>
            <w:t xml:space="preserve">4.2.3. </w:t>
          </w:r>
          <w:r>
            <w:t>主要模块详情</w:t>
          </w:r>
          <w:r>
            <w:tab/>
          </w:r>
          <w:r>
            <w:fldChar w:fldCharType="begin"/>
          </w:r>
          <w:r>
            <w:instrText xml:space="preserve"> PAGEREF _Toc29558 \h </w:instrText>
          </w:r>
          <w:r>
            <w:fldChar w:fldCharType="separate"/>
          </w:r>
          <w:r>
            <w:t>22</w:t>
          </w:r>
          <w:r>
            <w:fldChar w:fldCharType="end"/>
          </w:r>
          <w:r>
            <w:rPr>
              <w:rFonts w:hint="eastAsia" w:ascii="宋体" w:hAnsi="宋体" w:eastAsia="宋体" w:cs="宋体"/>
              <w:szCs w:val="24"/>
            </w:rPr>
            <w:fldChar w:fldCharType="end"/>
          </w:r>
        </w:p>
        <w:p w14:paraId="3BC552A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_Toc26972 </w:instrText>
          </w:r>
          <w:r>
            <w:rPr>
              <w:rFonts w:hint="eastAsia" w:ascii="宋体" w:hAnsi="宋体" w:eastAsia="宋体" w:cs="宋体"/>
              <w:szCs w:val="24"/>
            </w:rPr>
            <w:fldChar w:fldCharType="separate"/>
          </w:r>
          <w:r>
            <w:rPr>
              <w:rFonts w:hint="default"/>
            </w:rPr>
            <w:t xml:space="preserve">4.2.4. </w:t>
          </w:r>
          <w:r>
            <w:t>产品功能与实现目标</w:t>
          </w:r>
          <w:r>
            <w:tab/>
          </w:r>
          <w:r>
            <w:fldChar w:fldCharType="begin"/>
          </w:r>
          <w:r>
            <w:instrText xml:space="preserve"> PAGEREF _Toc26972 \h </w:instrText>
          </w:r>
          <w:r>
            <w:fldChar w:fldCharType="separate"/>
          </w:r>
          <w:r>
            <w:t>24</w:t>
          </w:r>
          <w:r>
            <w:fldChar w:fldCharType="end"/>
          </w:r>
          <w:r>
            <w:rPr>
              <w:rFonts w:hint="eastAsia" w:ascii="宋体" w:hAnsi="宋体" w:eastAsia="宋体" w:cs="宋体"/>
              <w:szCs w:val="24"/>
            </w:rPr>
            <w:fldChar w:fldCharType="end"/>
          </w:r>
        </w:p>
        <w:p w14:paraId="273976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_Toc19320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实际项目应用</w:t>
          </w:r>
          <w:r>
            <w:tab/>
          </w:r>
          <w:r>
            <w:fldChar w:fldCharType="begin"/>
          </w:r>
          <w:r>
            <w:instrText xml:space="preserve"> PAGEREF _Toc19320 \h </w:instrText>
          </w:r>
          <w:r>
            <w:fldChar w:fldCharType="separate"/>
          </w:r>
          <w:r>
            <w:t>24</w:t>
          </w:r>
          <w:r>
            <w:fldChar w:fldCharType="end"/>
          </w:r>
          <w:r>
            <w:rPr>
              <w:rFonts w:hint="eastAsia" w:ascii="宋体" w:hAnsi="宋体" w:eastAsia="宋体" w:cs="宋体"/>
              <w:szCs w:val="24"/>
            </w:rPr>
            <w:fldChar w:fldCharType="end"/>
          </w:r>
        </w:p>
        <w:p w14:paraId="2ADD05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_Toc29932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运维手册研发成果说明</w:t>
          </w:r>
          <w:r>
            <w:tab/>
          </w:r>
          <w:r>
            <w:fldChar w:fldCharType="begin"/>
          </w:r>
          <w:r>
            <w:instrText xml:space="preserve"> PAGEREF _Toc29932 \h </w:instrText>
          </w:r>
          <w:r>
            <w:fldChar w:fldCharType="separate"/>
          </w:r>
          <w:r>
            <w:t>25</w:t>
          </w:r>
          <w:r>
            <w:fldChar w:fldCharType="end"/>
          </w:r>
          <w:r>
            <w:rPr>
              <w:rFonts w:hint="eastAsia" w:ascii="宋体" w:hAnsi="宋体" w:eastAsia="宋体" w:cs="宋体"/>
              <w:szCs w:val="24"/>
            </w:rPr>
            <w:fldChar w:fldCharType="end"/>
          </w:r>
        </w:p>
        <w:p w14:paraId="06BAF55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_Toc30629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研发投入情况</w:t>
          </w:r>
          <w:r>
            <w:tab/>
          </w:r>
          <w:r>
            <w:fldChar w:fldCharType="begin"/>
          </w:r>
          <w:r>
            <w:instrText xml:space="preserve"> PAGEREF _Toc30629 \h </w:instrText>
          </w:r>
          <w:r>
            <w:fldChar w:fldCharType="separate"/>
          </w:r>
          <w:r>
            <w:t>25</w:t>
          </w:r>
          <w:r>
            <w:fldChar w:fldCharType="end"/>
          </w:r>
          <w:r>
            <w:rPr>
              <w:rFonts w:hint="eastAsia" w:ascii="宋体" w:hAnsi="宋体" w:eastAsia="宋体" w:cs="宋体"/>
              <w:szCs w:val="24"/>
            </w:rPr>
            <w:fldChar w:fldCharType="end"/>
          </w:r>
        </w:p>
        <w:p w14:paraId="391BB8F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_Toc26345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新技术研发</w:t>
          </w:r>
          <w:r>
            <w:tab/>
          </w:r>
          <w:r>
            <w:fldChar w:fldCharType="begin"/>
          </w:r>
          <w:r>
            <w:instrText xml:space="preserve"> PAGEREF _Toc26345 \h </w:instrText>
          </w:r>
          <w:r>
            <w:fldChar w:fldCharType="separate"/>
          </w:r>
          <w:r>
            <w:t>26</w:t>
          </w:r>
          <w:r>
            <w:fldChar w:fldCharType="end"/>
          </w:r>
          <w:r>
            <w:rPr>
              <w:rFonts w:hint="eastAsia" w:ascii="宋体" w:hAnsi="宋体" w:eastAsia="宋体" w:cs="宋体"/>
              <w:szCs w:val="24"/>
            </w:rPr>
            <w:fldChar w:fldCharType="end"/>
          </w:r>
        </w:p>
        <w:p w14:paraId="6567D3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_Toc5310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过程管理总结</w:t>
          </w:r>
          <w:r>
            <w:tab/>
          </w:r>
          <w:r>
            <w:fldChar w:fldCharType="begin"/>
          </w:r>
          <w:r>
            <w:instrText xml:space="preserve"> PAGEREF _Toc5310 \h </w:instrText>
          </w:r>
          <w:r>
            <w:fldChar w:fldCharType="separate"/>
          </w:r>
          <w:r>
            <w:t>26</w:t>
          </w:r>
          <w:r>
            <w:fldChar w:fldCharType="end"/>
          </w:r>
          <w:r>
            <w:rPr>
              <w:rFonts w:hint="eastAsia" w:ascii="宋体" w:hAnsi="宋体" w:eastAsia="宋体" w:cs="宋体"/>
              <w:szCs w:val="24"/>
            </w:rPr>
            <w:fldChar w:fldCharType="end"/>
          </w:r>
        </w:p>
        <w:p w14:paraId="67D827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_Toc12941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过程框架设计管理情况总结</w:t>
          </w:r>
          <w:r>
            <w:tab/>
          </w:r>
          <w:r>
            <w:fldChar w:fldCharType="begin"/>
          </w:r>
          <w:r>
            <w:instrText xml:space="preserve"> PAGEREF _Toc12941 \h </w:instrText>
          </w:r>
          <w:r>
            <w:fldChar w:fldCharType="separate"/>
          </w:r>
          <w:r>
            <w:t>26</w:t>
          </w:r>
          <w:r>
            <w:fldChar w:fldCharType="end"/>
          </w:r>
          <w:r>
            <w:rPr>
              <w:rFonts w:hint="eastAsia" w:ascii="宋体" w:hAnsi="宋体" w:eastAsia="宋体" w:cs="宋体"/>
              <w:szCs w:val="24"/>
            </w:rPr>
            <w:fldChar w:fldCharType="end"/>
          </w:r>
        </w:p>
        <w:p w14:paraId="2D1863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_Toc21671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服务级别管理情况总结</w:t>
          </w:r>
          <w:r>
            <w:tab/>
          </w:r>
          <w:r>
            <w:fldChar w:fldCharType="begin"/>
          </w:r>
          <w:r>
            <w:instrText xml:space="preserve"> PAGEREF _Toc21671 \h </w:instrText>
          </w:r>
          <w:r>
            <w:fldChar w:fldCharType="separate"/>
          </w:r>
          <w:r>
            <w:t>26</w:t>
          </w:r>
          <w:r>
            <w:fldChar w:fldCharType="end"/>
          </w:r>
          <w:r>
            <w:rPr>
              <w:rFonts w:hint="eastAsia" w:ascii="宋体" w:hAnsi="宋体" w:eastAsia="宋体" w:cs="宋体"/>
              <w:szCs w:val="24"/>
            </w:rPr>
            <w:fldChar w:fldCharType="end"/>
          </w:r>
        </w:p>
        <w:p w14:paraId="161F33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_Toc26483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服务报告管理情况总结</w:t>
          </w:r>
          <w:r>
            <w:tab/>
          </w:r>
          <w:r>
            <w:fldChar w:fldCharType="begin"/>
          </w:r>
          <w:r>
            <w:instrText xml:space="preserve"> PAGEREF _Toc26483 \h </w:instrText>
          </w:r>
          <w:r>
            <w:fldChar w:fldCharType="separate"/>
          </w:r>
          <w:r>
            <w:t>27</w:t>
          </w:r>
          <w:r>
            <w:fldChar w:fldCharType="end"/>
          </w:r>
          <w:r>
            <w:rPr>
              <w:rFonts w:hint="eastAsia" w:ascii="宋体" w:hAnsi="宋体" w:eastAsia="宋体" w:cs="宋体"/>
              <w:szCs w:val="24"/>
            </w:rPr>
            <w:fldChar w:fldCharType="end"/>
          </w:r>
        </w:p>
        <w:p w14:paraId="073C25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_Toc16560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事件管理情况总结</w:t>
          </w:r>
          <w:r>
            <w:tab/>
          </w:r>
          <w:r>
            <w:fldChar w:fldCharType="begin"/>
          </w:r>
          <w:r>
            <w:instrText xml:space="preserve"> PAGEREF _Toc16560 \h </w:instrText>
          </w:r>
          <w:r>
            <w:fldChar w:fldCharType="separate"/>
          </w:r>
          <w:r>
            <w:t>27</w:t>
          </w:r>
          <w:r>
            <w:fldChar w:fldCharType="end"/>
          </w:r>
          <w:r>
            <w:rPr>
              <w:rFonts w:hint="eastAsia" w:ascii="宋体" w:hAnsi="宋体" w:eastAsia="宋体" w:cs="宋体"/>
              <w:szCs w:val="24"/>
            </w:rPr>
            <w:fldChar w:fldCharType="end"/>
          </w:r>
        </w:p>
        <w:p w14:paraId="092B7F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_Toc18760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问题管理情况总结</w:t>
          </w:r>
          <w:r>
            <w:tab/>
          </w:r>
          <w:r>
            <w:fldChar w:fldCharType="begin"/>
          </w:r>
          <w:r>
            <w:instrText xml:space="preserve"> PAGEREF _Toc18760 \h </w:instrText>
          </w:r>
          <w:r>
            <w:fldChar w:fldCharType="separate"/>
          </w:r>
          <w:r>
            <w:t>27</w:t>
          </w:r>
          <w:r>
            <w:fldChar w:fldCharType="end"/>
          </w:r>
          <w:r>
            <w:rPr>
              <w:rFonts w:hint="eastAsia" w:ascii="宋体" w:hAnsi="宋体" w:eastAsia="宋体" w:cs="宋体"/>
              <w:szCs w:val="24"/>
            </w:rPr>
            <w:fldChar w:fldCharType="end"/>
          </w:r>
        </w:p>
        <w:p w14:paraId="28A6C71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_Toc22276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变更管理情况总结</w:t>
          </w:r>
          <w:r>
            <w:tab/>
          </w:r>
          <w:r>
            <w:fldChar w:fldCharType="begin"/>
          </w:r>
          <w:r>
            <w:instrText xml:space="preserve"> PAGEREF _Toc22276 \h </w:instrText>
          </w:r>
          <w:r>
            <w:fldChar w:fldCharType="separate"/>
          </w:r>
          <w:r>
            <w:t>28</w:t>
          </w:r>
          <w:r>
            <w:fldChar w:fldCharType="end"/>
          </w:r>
          <w:r>
            <w:rPr>
              <w:rFonts w:hint="eastAsia" w:ascii="宋体" w:hAnsi="宋体" w:eastAsia="宋体" w:cs="宋体"/>
              <w:szCs w:val="24"/>
            </w:rPr>
            <w:fldChar w:fldCharType="end"/>
          </w:r>
        </w:p>
        <w:p w14:paraId="71C5255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_Toc18930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发布管理情况总结</w:t>
          </w:r>
          <w:r>
            <w:tab/>
          </w:r>
          <w:r>
            <w:fldChar w:fldCharType="begin"/>
          </w:r>
          <w:r>
            <w:instrText xml:space="preserve"> PAGEREF _Toc18930 \h </w:instrText>
          </w:r>
          <w:r>
            <w:fldChar w:fldCharType="separate"/>
          </w:r>
          <w:r>
            <w:t>28</w:t>
          </w:r>
          <w:r>
            <w:fldChar w:fldCharType="end"/>
          </w:r>
          <w:r>
            <w:rPr>
              <w:rFonts w:hint="eastAsia" w:ascii="宋体" w:hAnsi="宋体" w:eastAsia="宋体" w:cs="宋体"/>
              <w:szCs w:val="24"/>
            </w:rPr>
            <w:fldChar w:fldCharType="end"/>
          </w:r>
        </w:p>
        <w:p w14:paraId="25E608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_Toc9396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配置管理情况总结</w:t>
          </w:r>
          <w:r>
            <w:tab/>
          </w:r>
          <w:r>
            <w:fldChar w:fldCharType="begin"/>
          </w:r>
          <w:r>
            <w:instrText xml:space="preserve"> PAGEREF _Toc9396 \h </w:instrText>
          </w:r>
          <w:r>
            <w:fldChar w:fldCharType="separate"/>
          </w:r>
          <w:r>
            <w:t>28</w:t>
          </w:r>
          <w:r>
            <w:fldChar w:fldCharType="end"/>
          </w:r>
          <w:r>
            <w:rPr>
              <w:rFonts w:hint="eastAsia" w:ascii="宋体" w:hAnsi="宋体" w:eastAsia="宋体" w:cs="宋体"/>
              <w:szCs w:val="24"/>
            </w:rPr>
            <w:fldChar w:fldCharType="end"/>
          </w:r>
        </w:p>
        <w:p w14:paraId="2E7637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_Toc8697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服务可用性和连续性管理情况总结</w:t>
          </w:r>
          <w:r>
            <w:tab/>
          </w:r>
          <w:r>
            <w:fldChar w:fldCharType="begin"/>
          </w:r>
          <w:r>
            <w:instrText xml:space="preserve"> PAGEREF _Toc8697 \h </w:instrText>
          </w:r>
          <w:r>
            <w:fldChar w:fldCharType="separate"/>
          </w:r>
          <w:r>
            <w:t>29</w:t>
          </w:r>
          <w:r>
            <w:fldChar w:fldCharType="end"/>
          </w:r>
          <w:r>
            <w:rPr>
              <w:rFonts w:hint="eastAsia" w:ascii="宋体" w:hAnsi="宋体" w:eastAsia="宋体" w:cs="宋体"/>
              <w:szCs w:val="24"/>
            </w:rPr>
            <w:fldChar w:fldCharType="end"/>
          </w:r>
        </w:p>
        <w:p w14:paraId="6363FF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_Toc18683 </w:instrText>
          </w:r>
          <w:r>
            <w:rPr>
              <w:rFonts w:hint="eastAsia" w:ascii="宋体" w:hAnsi="宋体" w:eastAsia="宋体" w:cs="宋体"/>
              <w:szCs w:val="24"/>
            </w:rPr>
            <w:fldChar w:fldCharType="separate"/>
          </w:r>
          <w:r>
            <w:rPr>
              <w:rFonts w:hint="default"/>
              <w:lang w:val="en-US" w:eastAsia="zh-CN"/>
            </w:rPr>
            <w:t xml:space="preserve">5.10. </w:t>
          </w:r>
          <w:r>
            <w:rPr>
              <w:rFonts w:hint="eastAsia"/>
              <w:lang w:val="en-US" w:eastAsia="zh-CN"/>
            </w:rPr>
            <w:t>容量管理情况总结</w:t>
          </w:r>
          <w:r>
            <w:tab/>
          </w:r>
          <w:r>
            <w:fldChar w:fldCharType="begin"/>
          </w:r>
          <w:r>
            <w:instrText xml:space="preserve"> PAGEREF _Toc18683 \h </w:instrText>
          </w:r>
          <w:r>
            <w:fldChar w:fldCharType="separate"/>
          </w:r>
          <w:r>
            <w:t>29</w:t>
          </w:r>
          <w:r>
            <w:fldChar w:fldCharType="end"/>
          </w:r>
          <w:r>
            <w:rPr>
              <w:rFonts w:hint="eastAsia" w:ascii="宋体" w:hAnsi="宋体" w:eastAsia="宋体" w:cs="宋体"/>
              <w:szCs w:val="24"/>
            </w:rPr>
            <w:fldChar w:fldCharType="end"/>
          </w:r>
        </w:p>
        <w:p w14:paraId="6A30F5F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_Toc24888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信息安全管理总结</w:t>
          </w:r>
          <w:r>
            <w:tab/>
          </w:r>
          <w:r>
            <w:fldChar w:fldCharType="begin"/>
          </w:r>
          <w:r>
            <w:instrText xml:space="preserve"> PAGEREF _Toc24888 \h </w:instrText>
          </w:r>
          <w:r>
            <w:fldChar w:fldCharType="separate"/>
          </w:r>
          <w:r>
            <w:t>29</w:t>
          </w:r>
          <w:r>
            <w:fldChar w:fldCharType="end"/>
          </w:r>
          <w:r>
            <w:rPr>
              <w:rFonts w:hint="eastAsia" w:ascii="宋体" w:hAnsi="宋体" w:eastAsia="宋体" w:cs="宋体"/>
              <w:szCs w:val="24"/>
            </w:rPr>
            <w:fldChar w:fldCharType="end"/>
          </w:r>
        </w:p>
        <w:p w14:paraId="0FCD7C0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_Toc29604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交付管理情况总结</w:t>
          </w:r>
          <w:r>
            <w:tab/>
          </w:r>
          <w:r>
            <w:fldChar w:fldCharType="begin"/>
          </w:r>
          <w:r>
            <w:instrText xml:space="preserve"> PAGEREF _Toc29604 \h </w:instrText>
          </w:r>
          <w:r>
            <w:fldChar w:fldCharType="separate"/>
          </w:r>
          <w:r>
            <w:t>29</w:t>
          </w:r>
          <w:r>
            <w:fldChar w:fldCharType="end"/>
          </w:r>
          <w:r>
            <w:rPr>
              <w:rFonts w:hint="eastAsia" w:ascii="宋体" w:hAnsi="宋体" w:eastAsia="宋体" w:cs="宋体"/>
              <w:szCs w:val="24"/>
            </w:rPr>
            <w:fldChar w:fldCharType="end"/>
          </w:r>
        </w:p>
        <w:p w14:paraId="63D88E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_Toc25125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应急管理情况总结</w:t>
          </w:r>
          <w:r>
            <w:tab/>
          </w:r>
          <w:r>
            <w:fldChar w:fldCharType="begin"/>
          </w:r>
          <w:r>
            <w:instrText xml:space="preserve"> PAGEREF _Toc25125 \h </w:instrText>
          </w:r>
          <w:r>
            <w:fldChar w:fldCharType="separate"/>
          </w:r>
          <w:r>
            <w:t>30</w:t>
          </w:r>
          <w:r>
            <w:fldChar w:fldCharType="end"/>
          </w:r>
          <w:r>
            <w:rPr>
              <w:rFonts w:hint="eastAsia" w:ascii="宋体" w:hAnsi="宋体" w:eastAsia="宋体" w:cs="宋体"/>
              <w:szCs w:val="24"/>
            </w:rPr>
            <w:fldChar w:fldCharType="end"/>
          </w:r>
        </w:p>
        <w:p w14:paraId="2F7BB22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_Toc16326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质量管理总结</w:t>
          </w:r>
          <w:r>
            <w:tab/>
          </w:r>
          <w:r>
            <w:fldChar w:fldCharType="begin"/>
          </w:r>
          <w:r>
            <w:instrText xml:space="preserve"> PAGEREF _Toc16326 \h </w:instrText>
          </w:r>
          <w:r>
            <w:fldChar w:fldCharType="separate"/>
          </w:r>
          <w:r>
            <w:t>30</w:t>
          </w:r>
          <w:r>
            <w:fldChar w:fldCharType="end"/>
          </w:r>
          <w:r>
            <w:rPr>
              <w:rFonts w:hint="eastAsia" w:ascii="宋体" w:hAnsi="宋体" w:eastAsia="宋体" w:cs="宋体"/>
              <w:szCs w:val="24"/>
            </w:rPr>
            <w:fldChar w:fldCharType="end"/>
          </w:r>
        </w:p>
        <w:p w14:paraId="07F6ED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_Toc7207 </w:instrText>
          </w:r>
          <w:r>
            <w:rPr>
              <w:rFonts w:hint="eastAsia" w:ascii="宋体" w:hAnsi="宋体" w:eastAsia="宋体" w:cs="宋体"/>
              <w:szCs w:val="24"/>
            </w:rPr>
            <w:fldChar w:fldCharType="separate"/>
          </w:r>
          <w:r>
            <w:rPr>
              <w:rFonts w:hint="default"/>
              <w:lang w:val="en-US" w:eastAsia="zh-CN"/>
            </w:rPr>
            <w:t xml:space="preserve">8.1. </w:t>
          </w:r>
          <w:r>
            <w:rPr>
              <w:rFonts w:hint="eastAsia"/>
              <w:lang w:val="en-US" w:eastAsia="zh-CN"/>
            </w:rPr>
            <w:t>运维服务质量内部审核情况总结</w:t>
          </w:r>
          <w:r>
            <w:tab/>
          </w:r>
          <w:r>
            <w:fldChar w:fldCharType="begin"/>
          </w:r>
          <w:r>
            <w:instrText xml:space="preserve"> PAGEREF _Toc7207 \h </w:instrText>
          </w:r>
          <w:r>
            <w:fldChar w:fldCharType="separate"/>
          </w:r>
          <w:r>
            <w:t>30</w:t>
          </w:r>
          <w:r>
            <w:fldChar w:fldCharType="end"/>
          </w:r>
          <w:r>
            <w:rPr>
              <w:rFonts w:hint="eastAsia" w:ascii="宋体" w:hAnsi="宋体" w:eastAsia="宋体" w:cs="宋体"/>
              <w:szCs w:val="24"/>
            </w:rPr>
            <w:fldChar w:fldCharType="end"/>
          </w:r>
        </w:p>
        <w:p w14:paraId="317A312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_Toc5420 </w:instrText>
          </w:r>
          <w:r>
            <w:rPr>
              <w:rFonts w:hint="eastAsia" w:ascii="宋体" w:hAnsi="宋体" w:eastAsia="宋体" w:cs="宋体"/>
              <w:szCs w:val="24"/>
            </w:rPr>
            <w:fldChar w:fldCharType="separate"/>
          </w:r>
          <w:r>
            <w:rPr>
              <w:rFonts w:hint="default"/>
              <w:lang w:val="en-US" w:eastAsia="zh-CN"/>
            </w:rPr>
            <w:t xml:space="preserve">8.2. </w:t>
          </w:r>
          <w:r>
            <w:rPr>
              <w:rFonts w:hint="eastAsia"/>
              <w:lang w:val="en-US" w:eastAsia="zh-CN"/>
            </w:rPr>
            <w:t>运维服务质量管理评审情况总结</w:t>
          </w:r>
          <w:r>
            <w:tab/>
          </w:r>
          <w:r>
            <w:fldChar w:fldCharType="begin"/>
          </w:r>
          <w:r>
            <w:instrText xml:space="preserve"> PAGEREF _Toc5420 \h </w:instrText>
          </w:r>
          <w:r>
            <w:fldChar w:fldCharType="separate"/>
          </w:r>
          <w:r>
            <w:t>30</w:t>
          </w:r>
          <w:r>
            <w:fldChar w:fldCharType="end"/>
          </w:r>
          <w:r>
            <w:rPr>
              <w:rFonts w:hint="eastAsia" w:ascii="宋体" w:hAnsi="宋体" w:eastAsia="宋体" w:cs="宋体"/>
              <w:szCs w:val="24"/>
            </w:rPr>
            <w:fldChar w:fldCharType="end"/>
          </w:r>
        </w:p>
        <w:p w14:paraId="13EB08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_Toc30165 </w:instrText>
          </w:r>
          <w:r>
            <w:rPr>
              <w:rFonts w:hint="eastAsia" w:ascii="宋体" w:hAnsi="宋体" w:eastAsia="宋体" w:cs="宋体"/>
              <w:szCs w:val="24"/>
            </w:rPr>
            <w:fldChar w:fldCharType="separate"/>
          </w:r>
          <w:r>
            <w:rPr>
              <w:rFonts w:hint="default"/>
              <w:lang w:val="en-US" w:eastAsia="zh-CN"/>
            </w:rPr>
            <w:t xml:space="preserve">8.3. </w:t>
          </w:r>
          <w:r>
            <w:rPr>
              <w:rFonts w:hint="eastAsia"/>
              <w:lang w:val="en-US" w:eastAsia="zh-CN"/>
            </w:rPr>
            <w:t>客户满意度调查及分析情况总结</w:t>
          </w:r>
          <w:r>
            <w:tab/>
          </w:r>
          <w:r>
            <w:fldChar w:fldCharType="begin"/>
          </w:r>
          <w:r>
            <w:instrText xml:space="preserve"> PAGEREF _Toc30165 \h </w:instrText>
          </w:r>
          <w:r>
            <w:fldChar w:fldCharType="separate"/>
          </w:r>
          <w:r>
            <w:t>30</w:t>
          </w:r>
          <w:r>
            <w:fldChar w:fldCharType="end"/>
          </w:r>
          <w:r>
            <w:rPr>
              <w:rFonts w:hint="eastAsia" w:ascii="宋体" w:hAnsi="宋体" w:eastAsia="宋体" w:cs="宋体"/>
              <w:szCs w:val="24"/>
            </w:rPr>
            <w:fldChar w:fldCharType="end"/>
          </w:r>
        </w:p>
        <w:p w14:paraId="37A842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_Toc19999 </w:instrText>
          </w:r>
          <w:r>
            <w:rPr>
              <w:rFonts w:hint="eastAsia" w:ascii="宋体" w:hAnsi="宋体" w:eastAsia="宋体" w:cs="宋体"/>
              <w:szCs w:val="24"/>
            </w:rPr>
            <w:fldChar w:fldCharType="separate"/>
          </w:r>
          <w:r>
            <w:rPr>
              <w:rFonts w:hint="default"/>
              <w:lang w:val="en-US" w:eastAsia="zh-CN"/>
            </w:rPr>
            <w:t xml:space="preserve">8.4. </w:t>
          </w:r>
          <w:r>
            <w:rPr>
              <w:rFonts w:hint="eastAsia"/>
              <w:lang w:val="en-US" w:eastAsia="zh-CN"/>
            </w:rPr>
            <w:t>SLA达成率情况分析</w:t>
          </w:r>
          <w:r>
            <w:tab/>
          </w:r>
          <w:r>
            <w:fldChar w:fldCharType="begin"/>
          </w:r>
          <w:r>
            <w:instrText xml:space="preserve"> PAGEREF _Toc19999 \h </w:instrText>
          </w:r>
          <w:r>
            <w:fldChar w:fldCharType="separate"/>
          </w:r>
          <w:r>
            <w:t>30</w:t>
          </w:r>
          <w:r>
            <w:fldChar w:fldCharType="end"/>
          </w:r>
          <w:r>
            <w:rPr>
              <w:rFonts w:hint="eastAsia" w:ascii="宋体" w:hAnsi="宋体" w:eastAsia="宋体" w:cs="宋体"/>
              <w:szCs w:val="24"/>
            </w:rPr>
            <w:fldChar w:fldCharType="end"/>
          </w:r>
        </w:p>
        <w:p w14:paraId="64962C5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_Toc32288 </w:instrText>
          </w:r>
          <w:r>
            <w:rPr>
              <w:rFonts w:hint="eastAsia" w:ascii="宋体" w:hAnsi="宋体" w:eastAsia="宋体" w:cs="宋体"/>
              <w:szCs w:val="24"/>
            </w:rPr>
            <w:fldChar w:fldCharType="separate"/>
          </w:r>
          <w:r>
            <w:rPr>
              <w:rFonts w:hint="default"/>
              <w:lang w:val="en-US" w:eastAsia="zh-CN"/>
            </w:rPr>
            <w:t xml:space="preserve">9. </w:t>
          </w:r>
          <w:r>
            <w:rPr>
              <w:rFonts w:hint="eastAsia"/>
              <w:lang w:val="en-US" w:eastAsia="zh-CN"/>
            </w:rPr>
            <w:t>服务能力改进情况总结</w:t>
          </w:r>
          <w:r>
            <w:tab/>
          </w:r>
          <w:r>
            <w:fldChar w:fldCharType="begin"/>
          </w:r>
          <w:r>
            <w:instrText xml:space="preserve"> PAGEREF _Toc32288 \h </w:instrText>
          </w:r>
          <w:r>
            <w:fldChar w:fldCharType="separate"/>
          </w:r>
          <w:r>
            <w:t>30</w:t>
          </w:r>
          <w:r>
            <w:fldChar w:fldCharType="end"/>
          </w:r>
          <w:r>
            <w:rPr>
              <w:rFonts w:hint="eastAsia" w:ascii="宋体" w:hAnsi="宋体" w:eastAsia="宋体" w:cs="宋体"/>
              <w:szCs w:val="24"/>
            </w:rPr>
            <w:fldChar w:fldCharType="end"/>
          </w:r>
        </w:p>
        <w:p w14:paraId="611BC9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_Toc3187 </w:instrText>
          </w:r>
          <w:r>
            <w:rPr>
              <w:rFonts w:hint="eastAsia" w:ascii="宋体" w:hAnsi="宋体" w:eastAsia="宋体" w:cs="宋体"/>
              <w:szCs w:val="24"/>
            </w:rPr>
            <w:fldChar w:fldCharType="separate"/>
          </w:r>
          <w:r>
            <w:rPr>
              <w:rFonts w:hint="default" w:eastAsia="宋体"/>
              <w:lang w:val="en-US" w:eastAsia="zh-CN"/>
            </w:rPr>
            <w:t xml:space="preserve">10. </w:t>
          </w:r>
          <w:r>
            <w:rPr>
              <w:rFonts w:hint="eastAsia" w:eastAsia="宋体"/>
              <w:lang w:val="en-US" w:eastAsia="zh-CN"/>
            </w:rPr>
            <w:t>附则</w:t>
          </w:r>
          <w:r>
            <w:tab/>
          </w:r>
          <w:r>
            <w:fldChar w:fldCharType="begin"/>
          </w:r>
          <w:r>
            <w:instrText xml:space="preserve"> PAGEREF _Toc3187 \h </w:instrText>
          </w:r>
          <w:r>
            <w:fldChar w:fldCharType="separate"/>
          </w:r>
          <w:r>
            <w:t>31</w:t>
          </w:r>
          <w:r>
            <w:fldChar w:fldCharType="end"/>
          </w:r>
          <w:r>
            <w:rPr>
              <w:rFonts w:hint="eastAsia" w:ascii="宋体" w:hAnsi="宋体" w:eastAsia="宋体" w:cs="宋体"/>
              <w:szCs w:val="24"/>
            </w:rPr>
            <w:fldChar w:fldCharType="end"/>
          </w:r>
        </w:p>
        <w:p w14:paraId="6FFD4240">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E81AB1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7114C2A">
      <w:pPr>
        <w:pStyle w:val="28"/>
        <w:keepNext w:val="0"/>
        <w:keepLines w:val="0"/>
        <w:pageBreakBefore w:val="0"/>
        <w:widowControl w:val="0"/>
        <w:kinsoku w:val="0"/>
        <w:wordWrap/>
        <w:overflowPunct/>
        <w:autoSpaceDE w:val="0"/>
        <w:autoSpaceDN w:val="0"/>
        <w:bidi w:val="0"/>
        <w:adjustRightInd w:val="0"/>
        <w:snapToGrid w:val="0"/>
        <w:textAlignment w:val="baseline"/>
      </w:pPr>
      <w:bookmarkStart w:id="4" w:name="_Toc26578"/>
      <w:r>
        <w:rPr>
          <w:rFonts w:hint="eastAsia"/>
          <w:lang w:val="en-US" w:eastAsia="zh-CN"/>
        </w:rPr>
        <w:t>概述</w:t>
      </w:r>
      <w:bookmarkEnd w:id="4"/>
    </w:p>
    <w:p w14:paraId="183C63D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w:t>
      </w:r>
      <w:r>
        <w:rPr>
          <w:rFonts w:hint="eastAsia"/>
          <w:lang w:val="en-US" w:eastAsia="zh-CN"/>
        </w:rPr>
        <w:t>年7月-2026年6月</w:t>
      </w:r>
      <w:r>
        <w:rPr>
          <w:rFonts w:hint="default"/>
        </w:rPr>
        <w:t>，公司设定全年运维服务收入目标为510万元。</w:t>
      </w:r>
      <w:r>
        <w:rPr>
          <w:rFonts w:hint="eastAsia"/>
          <w:lang w:val="en-US" w:eastAsia="zh-CN"/>
        </w:rPr>
        <w:t>截止目前</w:t>
      </w:r>
      <w:r>
        <w:rPr>
          <w:rFonts w:hint="default"/>
        </w:rPr>
        <w:t>运维业务持续快速发展，公司始终秉持以客户满意为核心的服务导向，通过加强人才队伍建设、持续提升服务水平、加大研发支持力度，不断优化最终软件库管理，并增强各团队服务能力，为客户提供更加优质高效的运维服务支持。截至202</w:t>
      </w:r>
      <w:r>
        <w:rPr>
          <w:rFonts w:hint="eastAsia"/>
          <w:lang w:val="en-US" w:eastAsia="zh-CN"/>
        </w:rPr>
        <w:t>6</w:t>
      </w:r>
      <w:r>
        <w:rPr>
          <w:rFonts w:hint="default"/>
        </w:rPr>
        <w:t>年</w:t>
      </w:r>
      <w:r>
        <w:rPr>
          <w:rFonts w:hint="eastAsia"/>
          <w:lang w:val="en-US" w:eastAsia="zh-CN"/>
        </w:rPr>
        <w:t>1</w:t>
      </w:r>
      <w:r>
        <w:rPr>
          <w:rFonts w:hint="default"/>
        </w:rPr>
        <w:t>月，运维业务实现收入</w:t>
      </w:r>
      <w:r>
        <w:rPr>
          <w:rFonts w:hint="eastAsia"/>
          <w:lang w:val="en-US" w:eastAsia="zh-CN"/>
        </w:rPr>
        <w:t>300余</w:t>
      </w:r>
      <w:r>
        <w:rPr>
          <w:rFonts w:hint="default"/>
        </w:rPr>
        <w:t>万元，完成全年目标的</w:t>
      </w:r>
      <w:r>
        <w:rPr>
          <w:rFonts w:hint="eastAsia"/>
          <w:lang w:val="en-US" w:eastAsia="zh-CN"/>
        </w:rPr>
        <w:t>58</w:t>
      </w:r>
      <w:r>
        <w:rPr>
          <w:rFonts w:hint="default"/>
        </w:rPr>
        <w:t>%，进度符合预期。</w:t>
      </w:r>
    </w:p>
    <w:p w14:paraId="0E5E5DB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为规范运维服务流程、提升服务品质与客户满意度，公司于2025年</w:t>
      </w:r>
      <w:r>
        <w:rPr>
          <w:rFonts w:hint="eastAsia"/>
          <w:lang w:val="en-US" w:eastAsia="zh-CN"/>
        </w:rPr>
        <w:t>7</w:t>
      </w:r>
      <w:r>
        <w:rPr>
          <w:rFonts w:hint="default"/>
        </w:rPr>
        <w:t>月正式建立符合ITSS（信息技术服务标准）要求的运维服务能力管理体系，并全面推行实施。为充分发挥ITSS体系效能，公司制定了系统的运维服务能力管理规划，在过去半年中对各项运维能力目标的达成情况持续跟踪监督，并依据ITSS标准开展了内部符合性评估。从阶段性运行结果及内部评估情况来看，公司基本达成了年初制定的运维服务能力建设目标，体系运行总体有效。</w:t>
      </w:r>
    </w:p>
    <w:p w14:paraId="4277CF70">
      <w:pPr>
        <w:pStyle w:val="30"/>
        <w:bidi w:val="0"/>
        <w:rPr>
          <w:rFonts w:hint="default"/>
          <w:lang w:val="en-US" w:eastAsia="zh-CN"/>
        </w:rPr>
      </w:pPr>
      <w:r>
        <w:rPr>
          <w:rFonts w:hint="eastAsia"/>
          <w:lang w:val="en-US" w:eastAsia="zh-CN"/>
        </w:rPr>
        <w:t>运维现状</w:t>
      </w:r>
    </w:p>
    <w:p w14:paraId="724CA563">
      <w:pPr>
        <w:pStyle w:val="29"/>
        <w:bidi w:val="0"/>
        <w:rPr>
          <w:rFonts w:hint="default"/>
          <w:lang w:val="en-US" w:eastAsia="zh-CN"/>
        </w:rPr>
      </w:pPr>
      <w:r>
        <w:rPr>
          <w:rFonts w:hint="eastAsia"/>
          <w:lang w:val="en-US" w:eastAsia="zh-CN"/>
        </w:rPr>
        <w:t>截止2026年1月</w:t>
      </w:r>
      <w:r>
        <w:t>，公司紧紧围绕从传统电缆电线运维向电力行业综合服务提供商转型的战略方向，重点构建面向电力电缆及通道运维、电力监控系统网络安全等领域的专业技术能力。物联标识系统、隔离装置监控处置工具已在国网天津电力成功试点应用，为开拓电力市场奠定了坚实基础。</w:t>
      </w:r>
    </w:p>
    <w:p w14:paraId="1DF67631">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 w:name="_Toc12953"/>
      <w:r>
        <w:rPr>
          <w:rFonts w:hint="eastAsia"/>
          <w:lang w:val="en-US" w:eastAsia="zh-CN"/>
        </w:rPr>
        <w:t>人员管理总结</w:t>
      </w:r>
      <w:bookmarkEnd w:id="5"/>
    </w:p>
    <w:p w14:paraId="48D8232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31617"/>
      <w:r>
        <w:rPr>
          <w:rFonts w:hint="eastAsia"/>
          <w:lang w:val="en-US" w:eastAsia="zh-CN"/>
        </w:rPr>
        <w:t>招聘情况说明</w:t>
      </w:r>
      <w:bookmarkEnd w:id="6"/>
    </w:p>
    <w:p w14:paraId="6136B4DF">
      <w:pPr>
        <w:pStyle w:val="31"/>
        <w:keepNext w:val="0"/>
        <w:keepLines w:val="0"/>
        <w:pageBreakBefore w:val="0"/>
        <w:widowControl w:val="0"/>
        <w:kinsoku w:val="0"/>
        <w:wordWrap/>
        <w:overflowPunct/>
        <w:autoSpaceDE w:val="0"/>
        <w:autoSpaceDN w:val="0"/>
        <w:bidi w:val="0"/>
        <w:adjustRightInd w:val="0"/>
        <w:snapToGrid w:val="0"/>
        <w:textAlignment w:val="baseline"/>
      </w:pPr>
      <w:bookmarkStart w:id="7" w:name="_Toc13741"/>
      <w:bookmarkStart w:id="8" w:name="heading_3"/>
      <w:bookmarkStart w:id="9" w:name="_Toc1409"/>
      <w:r>
        <w:rPr>
          <w:rFonts w:hint="eastAsia"/>
          <w:lang w:val="en-US" w:eastAsia="zh-CN"/>
        </w:rPr>
        <w:t>招聘计划</w:t>
      </w:r>
      <w:r>
        <w:t>完成情况</w:t>
      </w:r>
      <w:bookmarkEnd w:id="7"/>
      <w:bookmarkEnd w:id="8"/>
      <w:bookmarkEnd w:id="9"/>
    </w:p>
    <w:p w14:paraId="4916067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截止</w:t>
      </w:r>
      <w:r>
        <w:rPr>
          <w:rFonts w:hint="eastAsia"/>
          <w:lang w:val="en-US" w:eastAsia="zh-CN"/>
        </w:rPr>
        <w:t>2026年1</w:t>
      </w:r>
      <w:r>
        <w:t>月，累计开展线上+现场面试活动10余场，面试15余人次，完成阶段性招聘任务：实际到岗</w:t>
      </w:r>
      <w:r>
        <w:rPr>
          <w:rFonts w:hint="eastAsia"/>
          <w:lang w:val="en-US" w:eastAsia="zh-CN"/>
        </w:rPr>
        <w:t>6</w:t>
      </w:r>
      <w:r>
        <w:t>人，支付招聘费用8000元（为全年广告投入）。具体到岗信息如下：</w:t>
      </w:r>
    </w:p>
    <w:tbl>
      <w:tblPr>
        <w:tblStyle w:val="20"/>
        <w:tblW w:w="93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5"/>
        <w:gridCol w:w="676"/>
        <w:gridCol w:w="1360"/>
        <w:gridCol w:w="1020"/>
        <w:gridCol w:w="3020"/>
        <w:gridCol w:w="1020"/>
        <w:gridCol w:w="1460"/>
      </w:tblGrid>
      <w:tr w14:paraId="3B26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FC4EE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2E8577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1360" w:type="dxa"/>
            <w:noWrap w:val="0"/>
            <w:tcMar>
              <w:top w:w="60" w:type="dxa"/>
              <w:left w:w="120" w:type="dxa"/>
              <w:bottom w:w="30" w:type="dxa"/>
              <w:right w:w="120" w:type="dxa"/>
            </w:tcMar>
            <w:vAlign w:val="center"/>
          </w:tcPr>
          <w:p w14:paraId="3E42B6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3C58798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19375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2F6A01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3039C2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5BFB4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1322E4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3CE27B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1360" w:type="dxa"/>
            <w:noWrap w:val="0"/>
            <w:tcMar>
              <w:top w:w="60" w:type="dxa"/>
              <w:left w:w="120" w:type="dxa"/>
              <w:bottom w:w="30" w:type="dxa"/>
              <w:right w:w="120" w:type="dxa"/>
            </w:tcMar>
            <w:vAlign w:val="center"/>
          </w:tcPr>
          <w:p w14:paraId="35ABFC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eastAsia="等线" w:cs="Arial"/>
                <w:sz w:val="22"/>
                <w:lang w:val="en-US" w:eastAsia="zh-CN"/>
              </w:rPr>
              <w:t>基础环境运维工程师</w:t>
            </w:r>
          </w:p>
        </w:tc>
        <w:tc>
          <w:tcPr>
            <w:tcW w:w="1020" w:type="dxa"/>
            <w:noWrap w:val="0"/>
            <w:tcMar>
              <w:top w:w="60" w:type="dxa"/>
              <w:left w:w="120" w:type="dxa"/>
              <w:bottom w:w="30" w:type="dxa"/>
              <w:right w:w="120" w:type="dxa"/>
            </w:tcMar>
            <w:vAlign w:val="center"/>
          </w:tcPr>
          <w:p w14:paraId="3BA1056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85DC8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093D63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0FDCDE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7C77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4F77A4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706A3D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1360" w:type="dxa"/>
            <w:noWrap w:val="0"/>
            <w:tcMar>
              <w:top w:w="60" w:type="dxa"/>
              <w:left w:w="120" w:type="dxa"/>
              <w:bottom w:w="30" w:type="dxa"/>
              <w:right w:w="120" w:type="dxa"/>
            </w:tcMar>
            <w:vAlign w:val="center"/>
          </w:tcPr>
          <w:p w14:paraId="7E430DF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eastAsia="等线" w:cs="Arial"/>
                <w:sz w:val="22"/>
                <w:lang w:val="en-US" w:eastAsia="zh-CN"/>
              </w:rPr>
              <w:t>硬件运维工程师</w:t>
            </w:r>
          </w:p>
        </w:tc>
        <w:tc>
          <w:tcPr>
            <w:tcW w:w="1020" w:type="dxa"/>
            <w:noWrap w:val="0"/>
            <w:tcMar>
              <w:top w:w="60" w:type="dxa"/>
              <w:left w:w="120" w:type="dxa"/>
              <w:bottom w:w="30" w:type="dxa"/>
              <w:right w:w="120" w:type="dxa"/>
            </w:tcMar>
            <w:vAlign w:val="center"/>
          </w:tcPr>
          <w:p w14:paraId="12D452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EA12D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15A7E9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81F46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5CF9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55FDF6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57C564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noWrap w:val="0"/>
            <w:tcMar>
              <w:top w:w="60" w:type="dxa"/>
              <w:left w:w="120" w:type="dxa"/>
              <w:bottom w:w="30" w:type="dxa"/>
              <w:right w:w="120" w:type="dxa"/>
            </w:tcMar>
            <w:vAlign w:val="center"/>
          </w:tcPr>
          <w:p w14:paraId="658EACC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69A3D8F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01A218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28C3E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02592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4DE9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41A79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306DC6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1360" w:type="dxa"/>
            <w:vMerge w:val="restart"/>
            <w:noWrap w:val="0"/>
            <w:tcMar>
              <w:top w:w="60" w:type="dxa"/>
              <w:left w:w="120" w:type="dxa"/>
              <w:bottom w:w="30" w:type="dxa"/>
              <w:right w:w="120" w:type="dxa"/>
            </w:tcMar>
            <w:vAlign w:val="center"/>
          </w:tcPr>
          <w:p w14:paraId="00DE5E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4AE700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312C2A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3DC59F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73A3B4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7C0AB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A3A47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1976AB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vMerge w:val="continue"/>
            <w:noWrap w:val="0"/>
            <w:tcMar>
              <w:top w:w="60" w:type="dxa"/>
              <w:left w:w="120" w:type="dxa"/>
              <w:bottom w:w="30" w:type="dxa"/>
              <w:right w:w="120" w:type="dxa"/>
            </w:tcMar>
            <w:vAlign w:val="center"/>
          </w:tcPr>
          <w:p w14:paraId="0538CC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1A186D5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7028FC9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2481AF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5D43CA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3215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821" w:type="dxa"/>
            <w:gridSpan w:val="3"/>
            <w:noWrap w:val="0"/>
            <w:tcMar>
              <w:top w:w="60" w:type="dxa"/>
              <w:left w:w="120" w:type="dxa"/>
              <w:bottom w:w="30" w:type="dxa"/>
              <w:right w:w="120" w:type="dxa"/>
            </w:tcMar>
            <w:vAlign w:val="center"/>
          </w:tcPr>
          <w:p w14:paraId="185361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5190268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6F8051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75DB30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5322AD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20BDCA3A">
      <w:pPr>
        <w:pStyle w:val="31"/>
        <w:keepNext w:val="0"/>
        <w:keepLines w:val="0"/>
        <w:pageBreakBefore w:val="0"/>
        <w:widowControl w:val="0"/>
        <w:kinsoku w:val="0"/>
        <w:wordWrap/>
        <w:overflowPunct/>
        <w:autoSpaceDE w:val="0"/>
        <w:autoSpaceDN w:val="0"/>
        <w:bidi w:val="0"/>
        <w:adjustRightInd w:val="0"/>
        <w:snapToGrid w:val="0"/>
        <w:textAlignment w:val="baseline"/>
      </w:pPr>
      <w:bookmarkStart w:id="10" w:name="_Toc5186"/>
      <w:bookmarkStart w:id="11" w:name="_Toc22538"/>
      <w:r>
        <w:rPr>
          <w:rFonts w:hint="eastAsia"/>
          <w:lang w:val="en-US" w:eastAsia="zh-CN"/>
        </w:rPr>
        <w:t>招聘指标完成情况</w:t>
      </w:r>
      <w:bookmarkEnd w:id="10"/>
      <w:bookmarkEnd w:id="11"/>
    </w:p>
    <w:p w14:paraId="14CC14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根据招聘管理制度相关规定，招聘的指标为</w:t>
      </w:r>
      <w:r>
        <w:rPr>
          <w:rFonts w:hint="eastAsia"/>
          <w:spacing w:val="-3"/>
          <w:sz w:val="24"/>
          <w:szCs w:val="24"/>
          <w:lang w:val="en-US" w:eastAsia="zh-CN"/>
        </w:rPr>
        <w:t>招聘计划完成率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实际招聘人数/计划招聘人数*100%</w:t>
      </w:r>
      <w:r>
        <w:rPr>
          <w:rFonts w:hint="eastAsia"/>
          <w:spacing w:val="-2"/>
          <w:sz w:val="24"/>
          <w:szCs w:val="24"/>
          <w:lang w:val="en-US" w:eastAsia="zh-CN"/>
        </w:rPr>
        <w:t>，考核频次为年度考核。通过跟踪招聘完成情况得知，计划招聘6人，截止2026年1月完成招聘6人，招聘计划完成率为100%。满足招聘计划完成率≥95%的要求。</w:t>
      </w:r>
    </w:p>
    <w:p w14:paraId="09EEF38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29382"/>
      <w:r>
        <w:rPr>
          <w:rFonts w:hint="eastAsia"/>
          <w:lang w:val="en-US" w:eastAsia="zh-CN"/>
        </w:rPr>
        <w:t>储备情况说明</w:t>
      </w:r>
      <w:bookmarkEnd w:id="12"/>
    </w:p>
    <w:p w14:paraId="185887FA">
      <w:pPr>
        <w:pStyle w:val="31"/>
        <w:keepNext w:val="0"/>
        <w:keepLines w:val="0"/>
        <w:pageBreakBefore w:val="0"/>
        <w:widowControl w:val="0"/>
        <w:kinsoku w:val="0"/>
        <w:wordWrap/>
        <w:overflowPunct/>
        <w:autoSpaceDE w:val="0"/>
        <w:autoSpaceDN w:val="0"/>
        <w:bidi w:val="0"/>
        <w:adjustRightInd w:val="0"/>
        <w:snapToGrid w:val="0"/>
        <w:textAlignment w:val="baseline"/>
      </w:pPr>
      <w:bookmarkStart w:id="13" w:name="_Toc25874"/>
      <w:bookmarkStart w:id="14" w:name="_Toc32701"/>
      <w:r>
        <w:rPr>
          <w:rFonts w:hint="eastAsia"/>
          <w:lang w:val="en-US" w:eastAsia="zh-CN"/>
        </w:rPr>
        <w:t>储备计划</w:t>
      </w:r>
      <w:r>
        <w:t>完成情况</w:t>
      </w:r>
      <w:bookmarkEnd w:id="13"/>
      <w:bookmarkEnd w:id="14"/>
    </w:p>
    <w:p w14:paraId="732CB593">
      <w:pPr>
        <w:pStyle w:val="39"/>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lang w:val="en-US" w:eastAsia="zh-CN"/>
        </w:rPr>
      </w:pPr>
      <w:bookmarkStart w:id="15" w:name="_Toc18996"/>
      <w:r>
        <w:rPr>
          <w:rFonts w:hint="eastAsia"/>
          <w:lang w:val="en-US" w:eastAsia="zh-CN"/>
        </w:rPr>
        <w:t>外部储备</w:t>
      </w:r>
      <w:bookmarkEnd w:id="15"/>
    </w:p>
    <w:p w14:paraId="79EF11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截止2026年1月，外部招聘储备6人全部按计划到岗，达成储备目标。详情查看本章节第一小节“招聘情况说明”。</w:t>
      </w:r>
    </w:p>
    <w:p w14:paraId="29559FED">
      <w:pPr>
        <w:pStyle w:val="39"/>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lang w:val="en-US" w:eastAsia="zh-CN"/>
        </w:rPr>
      </w:pPr>
      <w:bookmarkStart w:id="16" w:name="_Toc31048"/>
      <w:r>
        <w:rPr>
          <w:rFonts w:hint="eastAsia"/>
          <w:lang w:val="en-US" w:eastAsia="zh-CN"/>
        </w:rPr>
        <w:t>内部储备</w:t>
      </w:r>
      <w:bookmarkEnd w:id="16"/>
    </w:p>
    <w:p w14:paraId="4D435C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2025年7月至2026年6月计划储备5人。截止2026年1月，计划储备3人，实际储备3人，达成储备目标。涉及项目经理、基础环境运维工程师</w:t>
      </w:r>
      <w:bookmarkStart w:id="100" w:name="_GoBack"/>
      <w:bookmarkEnd w:id="100"/>
      <w:r>
        <w:rPr>
          <w:rFonts w:hint="eastAsia"/>
          <w:lang w:val="en-US" w:eastAsia="zh-CN"/>
        </w:rPr>
        <w:t>等关键岗位。具体完成情况如下:</w:t>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034"/>
        <w:gridCol w:w="1036"/>
        <w:gridCol w:w="2239"/>
        <w:gridCol w:w="1551"/>
        <w:gridCol w:w="1551"/>
        <w:gridCol w:w="1111"/>
      </w:tblGrid>
      <w:tr w14:paraId="612DD09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03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6D586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03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D11E6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部门名称</w:t>
            </w:r>
          </w:p>
        </w:tc>
        <w:tc>
          <w:tcPr>
            <w:tcW w:w="22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57CECB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5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2B93D7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计划储备人数</w:t>
            </w:r>
          </w:p>
        </w:tc>
        <w:tc>
          <w:tcPr>
            <w:tcW w:w="15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3FACE1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计划储备时间</w:t>
            </w:r>
          </w:p>
        </w:tc>
        <w:tc>
          <w:tcPr>
            <w:tcW w:w="111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9C7A9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b/>
                <w:sz w:val="22"/>
                <w:lang w:val="en-US" w:eastAsia="zh-CN"/>
              </w:rPr>
            </w:pPr>
            <w:r>
              <w:rPr>
                <w:rFonts w:hint="eastAsia" w:ascii="Arial" w:eastAsia="等线" w:cs="Arial"/>
                <w:b/>
                <w:sz w:val="22"/>
                <w:lang w:val="en-US" w:eastAsia="zh-CN"/>
              </w:rPr>
              <w:t>完成情况</w:t>
            </w:r>
          </w:p>
        </w:tc>
      </w:tr>
      <w:tr w14:paraId="1CAD00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DBDB98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0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8077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693F2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项目经理</w:t>
            </w:r>
          </w:p>
        </w:tc>
        <w:tc>
          <w:tcPr>
            <w:tcW w:w="15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B0CC14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5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7CF18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w:t>
            </w:r>
            <w:r>
              <w:rPr>
                <w:rFonts w:ascii="Arial" w:hAnsi="Arial" w:eastAsia="等线" w:cs="Arial"/>
                <w:sz w:val="22"/>
              </w:rPr>
              <w:t>7月</w:t>
            </w:r>
          </w:p>
        </w:tc>
        <w:tc>
          <w:tcPr>
            <w:tcW w:w="11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FFAFE2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完成</w:t>
            </w:r>
          </w:p>
        </w:tc>
      </w:tr>
      <w:tr w14:paraId="3826579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24F7855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6BE588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BBBB2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eastAsia="等线" w:cs="Arial"/>
                <w:sz w:val="22"/>
                <w:lang w:val="en-US" w:eastAsia="zh-CN"/>
              </w:rPr>
              <w:t>基础环境运维工程师</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CC59E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619D3A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w:t>
            </w:r>
            <w:r>
              <w:rPr>
                <w:rFonts w:hint="eastAsia" w:eastAsia="等线" w:cs="Arial"/>
                <w:sz w:val="22"/>
                <w:lang w:val="en-US" w:eastAsia="zh-CN"/>
              </w:rPr>
              <w:t>5</w:t>
            </w:r>
            <w:r>
              <w:rPr>
                <w:rFonts w:hint="eastAsia" w:ascii="Arial" w:eastAsia="等线" w:cs="Arial"/>
                <w:sz w:val="22"/>
                <w:lang w:val="en-US" w:eastAsia="zh-CN"/>
              </w:rPr>
              <w:t>年</w:t>
            </w:r>
            <w:r>
              <w:rPr>
                <w:rFonts w:ascii="Arial" w:hAnsi="Arial" w:eastAsia="等线" w:cs="Arial"/>
                <w:sz w:val="22"/>
              </w:rPr>
              <w:t>1</w:t>
            </w:r>
            <w:r>
              <w:rPr>
                <w:rFonts w:hint="eastAsia" w:ascii="Arial" w:eastAsia="等线" w:cs="Arial"/>
                <w:sz w:val="22"/>
                <w:lang w:val="en-US" w:eastAsia="zh-CN"/>
              </w:rPr>
              <w:t>0</w:t>
            </w:r>
            <w:r>
              <w:rPr>
                <w:rFonts w:ascii="Arial" w:hAnsi="Arial" w:eastAsia="等线" w:cs="Arial"/>
                <w:sz w:val="22"/>
              </w:rPr>
              <w:t>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2FD64F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napToGrid w:val="0"/>
                <w:color w:val="000000"/>
                <w:kern w:val="0"/>
                <w:sz w:val="22"/>
                <w:szCs w:val="21"/>
                <w:lang w:val="en-US" w:eastAsia="zh-CN" w:bidi="ar-SA"/>
              </w:rPr>
              <w:t>完成</w:t>
            </w:r>
          </w:p>
        </w:tc>
      </w:tr>
      <w:tr w14:paraId="1805D01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58FEEA9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C36D7D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03F1865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eastAsia="等线" w:cs="Arial"/>
                <w:sz w:val="22"/>
                <w:lang w:val="en-US" w:eastAsia="zh-CN"/>
              </w:rPr>
              <w:t>硬件运维工程师</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523BBF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482D670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3月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72AF765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未开始</w:t>
            </w:r>
          </w:p>
        </w:tc>
      </w:tr>
      <w:tr w14:paraId="6DFE8E8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1485F9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ascii="Arial" w:hAnsi="Arial" w:eastAsia="等线" w:cs="Arial"/>
                <w:sz w:val="22"/>
              </w:rPr>
              <w:t>技术岗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1B5669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4B23D7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项目经理</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04C1DCC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462012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6月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2CAA12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未开始</w:t>
            </w:r>
          </w:p>
        </w:tc>
      </w:tr>
      <w:tr w14:paraId="61716D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2239" w:type="dxa"/>
            <w:gridSpan w:val="3"/>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A4CC23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小计</w:t>
            </w:r>
          </w:p>
        </w:tc>
        <w:tc>
          <w:tcPr>
            <w:tcW w:w="15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F3E339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eastAsia="等线"/>
                <w:b/>
                <w:sz w:val="22"/>
                <w:lang w:eastAsia="zh-CN"/>
              </w:rPr>
            </w:pPr>
            <w:r>
              <w:rPr>
                <w:rFonts w:hint="eastAsia" w:ascii="Arial" w:eastAsia="等线" w:cs="Arial"/>
                <w:b/>
                <w:sz w:val="22"/>
                <w:lang w:val="en-US" w:eastAsia="zh-CN"/>
              </w:rPr>
              <w:t>5</w:t>
            </w:r>
          </w:p>
        </w:tc>
        <w:tc>
          <w:tcPr>
            <w:tcW w:w="15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14470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11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07A95C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19897791">
      <w:pPr>
        <w:pStyle w:val="31"/>
        <w:keepNext w:val="0"/>
        <w:keepLines w:val="0"/>
        <w:pageBreakBefore w:val="0"/>
        <w:widowControl w:val="0"/>
        <w:kinsoku w:val="0"/>
        <w:wordWrap/>
        <w:overflowPunct/>
        <w:autoSpaceDE w:val="0"/>
        <w:autoSpaceDN w:val="0"/>
        <w:bidi w:val="0"/>
        <w:adjustRightInd w:val="0"/>
        <w:snapToGrid w:val="0"/>
        <w:textAlignment w:val="baseline"/>
      </w:pPr>
      <w:bookmarkStart w:id="17" w:name="_Toc17609"/>
      <w:bookmarkStart w:id="18" w:name="_Toc9809"/>
      <w:r>
        <w:rPr>
          <w:rFonts w:hint="eastAsia"/>
          <w:lang w:val="en-US" w:eastAsia="zh-CN"/>
        </w:rPr>
        <w:t>储备指标</w:t>
      </w:r>
      <w:r>
        <w:t>完成情况</w:t>
      </w:r>
      <w:bookmarkEnd w:id="17"/>
      <w:bookmarkEnd w:id="18"/>
    </w:p>
    <w:p w14:paraId="1A4F6D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pacing w:val="-2"/>
          <w:sz w:val="24"/>
          <w:szCs w:val="24"/>
          <w:lang w:val="en-US" w:eastAsia="zh-CN"/>
        </w:rPr>
      </w:pPr>
      <w:r>
        <w:rPr>
          <w:rFonts w:hint="eastAsia"/>
          <w:lang w:val="en-US" w:eastAsia="zh-CN"/>
        </w:rPr>
        <w:t>根据储备管理制度相关规定，储备的指标为</w:t>
      </w:r>
      <w:r>
        <w:rPr>
          <w:spacing w:val="-3"/>
          <w:sz w:val="24"/>
          <w:szCs w:val="24"/>
        </w:rPr>
        <w:t>储备计划完成率</w:t>
      </w:r>
      <w:r>
        <w:rPr>
          <w:rFonts w:hint="eastAsia"/>
          <w:spacing w:val="-3"/>
          <w:sz w:val="24"/>
          <w:szCs w:val="24"/>
          <w:lang w:eastAsia="zh-CN"/>
        </w:rPr>
        <w:t>，</w:t>
      </w:r>
      <w:r>
        <w:rPr>
          <w:rFonts w:hint="eastAsia"/>
          <w:spacing w:val="-3"/>
          <w:sz w:val="24"/>
          <w:szCs w:val="24"/>
          <w:lang w:val="en-US" w:eastAsia="zh-CN"/>
        </w:rPr>
        <w:t>计算方式为</w:t>
      </w:r>
      <w:r>
        <w:rPr>
          <w:spacing w:val="-3"/>
          <w:sz w:val="24"/>
          <w:szCs w:val="24"/>
        </w:rPr>
        <w:t>实际储备人数/计</w:t>
      </w:r>
      <w:r>
        <w:rPr>
          <w:spacing w:val="-2"/>
          <w:sz w:val="24"/>
          <w:szCs w:val="24"/>
        </w:rPr>
        <w:t>划储</w:t>
      </w:r>
      <w:r>
        <w:rPr>
          <w:rFonts w:hint="eastAsia"/>
          <w:spacing w:val="-2"/>
          <w:sz w:val="24"/>
          <w:szCs w:val="24"/>
          <w:lang w:val="en-US" w:eastAsia="zh-CN"/>
        </w:rPr>
        <w:t>备人数*100%，考核频次为年度考核，储备计划按计划进行中，预计于2026年6月完成硬件运维工程师和项目经理的储备。</w:t>
      </w:r>
    </w:p>
    <w:p w14:paraId="0ED92BE5">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26495"/>
      <w:r>
        <w:rPr>
          <w:rFonts w:hint="eastAsia"/>
          <w:lang w:val="en-US" w:eastAsia="zh-CN"/>
        </w:rPr>
        <w:t>培训情况说明</w:t>
      </w:r>
      <w:bookmarkEnd w:id="19"/>
    </w:p>
    <w:p w14:paraId="46A80E0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0" w:name="_Toc18620"/>
      <w:bookmarkStart w:id="21" w:name="_Toc25058"/>
      <w:r>
        <w:rPr>
          <w:rFonts w:hint="eastAsia"/>
          <w:lang w:val="en-US" w:eastAsia="zh-CN"/>
        </w:rPr>
        <w:t>培训计划完成情况</w:t>
      </w:r>
      <w:bookmarkEnd w:id="20"/>
      <w:bookmarkEnd w:id="21"/>
    </w:p>
    <w:p w14:paraId="3C61BD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2025年7月-2026年6月</w:t>
      </w:r>
      <w:r>
        <w:t>计划开展31场培训（含3场新员工培训），累计74课时；截止</w:t>
      </w:r>
      <w:r>
        <w:rPr>
          <w:rFonts w:hint="eastAsia"/>
          <w:lang w:val="en-US" w:eastAsia="zh-CN"/>
        </w:rPr>
        <w:t>2026年1</w:t>
      </w:r>
      <w:r>
        <w:t>月，</w:t>
      </w:r>
      <w:r>
        <w:rPr>
          <w:rFonts w:hint="eastAsia"/>
          <w:lang w:val="en-US" w:eastAsia="zh-CN"/>
        </w:rPr>
        <w:t>已完成19</w:t>
      </w:r>
      <w:r>
        <w:t>场培训，共计</w:t>
      </w:r>
      <w:r>
        <w:rPr>
          <w:rFonts w:hint="eastAsia"/>
          <w:lang w:val="en-US" w:eastAsia="zh-CN"/>
        </w:rPr>
        <w:t>51</w:t>
      </w:r>
      <w:r>
        <w:t>课时，其中内部讲师授课</w:t>
      </w:r>
      <w:r>
        <w:rPr>
          <w:rFonts w:hint="eastAsia"/>
          <w:lang w:val="en-US" w:eastAsia="zh-CN"/>
        </w:rPr>
        <w:t>10</w:t>
      </w:r>
      <w:r>
        <w:t>场，外部讲师</w:t>
      </w:r>
      <w:r>
        <w:rPr>
          <w:rFonts w:hint="eastAsia"/>
          <w:lang w:val="en-US" w:eastAsia="zh-CN"/>
        </w:rPr>
        <w:t>8</w:t>
      </w:r>
      <w:r>
        <w:t>场</w:t>
      </w:r>
      <w:r>
        <w:rPr>
          <w:rFonts w:hint="eastAsia"/>
          <w:lang w:eastAsia="zh-CN"/>
        </w:rPr>
        <w:t>，</w:t>
      </w:r>
      <w:r>
        <w:rPr>
          <w:rFonts w:hint="eastAsia"/>
          <w:lang w:val="en-US" w:eastAsia="zh-CN"/>
        </w:rPr>
        <w:t>外派1场</w:t>
      </w:r>
      <w:r>
        <w:t>。培训内容涵盖管理类（4D卓越团队、情景领导</w:t>
      </w:r>
      <w:r>
        <w:rPr>
          <w:rFonts w:hint="eastAsia"/>
          <w:lang w:eastAsia="zh-CN"/>
        </w:rPr>
        <w:t>、</w:t>
      </w:r>
      <w:r>
        <w:t>目标设定与沟通</w:t>
      </w:r>
      <w:r>
        <w:rPr>
          <w:rFonts w:hint="eastAsia"/>
          <w:lang w:eastAsia="zh-CN"/>
        </w:rPr>
        <w:t>、</w:t>
      </w:r>
      <w:r>
        <w:t>团队变革领导力</w:t>
      </w:r>
      <w:r>
        <w:t>等）、规范类（ITSS运维服务体系等）、技术类（Oracle数据库优化、系统监控工具使用等），实现培训过程签到、课件存档及讲师评价全流程管理。</w:t>
      </w:r>
      <w:r>
        <w:rPr>
          <w:rFonts w:hint="eastAsia"/>
          <w:lang w:val="en-US" w:eastAsia="zh-CN"/>
        </w:rPr>
        <w:t>完成情况如下</w:t>
      </w:r>
    </w:p>
    <w:p w14:paraId="682939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7616EA93">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tbl>
      <w:tblPr>
        <w:tblStyle w:val="20"/>
        <w:tblW w:w="86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gridCol w:w="759"/>
      </w:tblGrid>
      <w:tr w14:paraId="640C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c>
          <w:tcPr>
            <w:tcW w:w="759" w:type="dxa"/>
            <w:tcMar>
              <w:top w:w="60" w:type="dxa"/>
              <w:left w:w="120" w:type="dxa"/>
              <w:bottom w:w="30" w:type="dxa"/>
              <w:right w:w="120" w:type="dxa"/>
            </w:tcMar>
          </w:tcPr>
          <w:p w14:paraId="55D10B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完成情况</w:t>
            </w:r>
          </w:p>
        </w:tc>
      </w:tr>
      <w:tr w14:paraId="16ED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EC801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C673D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510131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69C70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4C10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68AC7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c>
          <w:tcPr>
            <w:tcW w:w="759" w:type="dxa"/>
            <w:shd w:val="clear" w:color="auto" w:fill="auto"/>
            <w:tcMar>
              <w:top w:w="60" w:type="dxa"/>
              <w:left w:w="120" w:type="dxa"/>
              <w:bottom w:w="30" w:type="dxa"/>
              <w:right w:w="120" w:type="dxa"/>
            </w:tcMar>
            <w:vAlign w:val="top"/>
          </w:tcPr>
          <w:p w14:paraId="3EED19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2"/>
                <w:szCs w:val="21"/>
                <w:lang w:val="en-US" w:eastAsia="zh-CN" w:bidi="ar-SA"/>
              </w:rPr>
            </w:pPr>
            <w:r>
              <w:rPr>
                <w:rFonts w:hint="eastAsia" w:eastAsia="等线" w:cs="Arial"/>
                <w:snapToGrid w:val="0"/>
                <w:color w:val="000000"/>
                <w:kern w:val="0"/>
                <w:sz w:val="22"/>
                <w:szCs w:val="21"/>
                <w:lang w:val="en-US" w:eastAsia="zh-CN" w:bidi="ar-SA"/>
              </w:rPr>
              <w:t>完成</w:t>
            </w:r>
          </w:p>
        </w:tc>
      </w:tr>
      <w:tr w14:paraId="5FAE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453849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6E4DC5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完成</w:t>
            </w:r>
          </w:p>
        </w:tc>
      </w:tr>
      <w:tr w14:paraId="2730D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43D23D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4CD5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tcPr>
          <w:p w14:paraId="70AEE3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FFA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94681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等线" w:cs="Arial"/>
                <w:sz w:val="22"/>
                <w:lang w:val="en-US" w:eastAsia="zh-CN"/>
              </w:rPr>
            </w:pPr>
            <w:r>
              <w:rPr>
                <w:rFonts w:hint="eastAsia" w:eastAsia="等线" w:cs="Arial"/>
                <w:sz w:val="22"/>
                <w:lang w:val="en-US" w:eastAsia="zh-CN"/>
              </w:rPr>
              <w:t>未开始</w:t>
            </w:r>
          </w:p>
        </w:tc>
      </w:tr>
      <w:tr w14:paraId="61A0A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034BAB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527D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6633C9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5FE46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F3DF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6544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c>
          <w:tcPr>
            <w:tcW w:w="759" w:type="dxa"/>
            <w:shd w:val="clear" w:color="auto" w:fill="auto"/>
            <w:tcMar>
              <w:top w:w="60" w:type="dxa"/>
              <w:left w:w="120" w:type="dxa"/>
              <w:bottom w:w="30" w:type="dxa"/>
              <w:right w:w="120" w:type="dxa"/>
            </w:tcMar>
            <w:vAlign w:val="top"/>
          </w:tcPr>
          <w:p w14:paraId="135DBB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6EBB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5238CD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3CC21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759" w:type="dxa"/>
            <w:tcMar>
              <w:top w:w="60" w:type="dxa"/>
              <w:left w:w="120" w:type="dxa"/>
              <w:bottom w:w="30" w:type="dxa"/>
              <w:right w:w="120" w:type="dxa"/>
            </w:tcMar>
          </w:tcPr>
          <w:p w14:paraId="5B7229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3548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31AFE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11F6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D6509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6942A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759" w:type="dxa"/>
            <w:tcMar>
              <w:top w:w="60" w:type="dxa"/>
              <w:left w:w="120" w:type="dxa"/>
              <w:bottom w:w="30" w:type="dxa"/>
              <w:right w:w="120" w:type="dxa"/>
            </w:tcMar>
          </w:tcPr>
          <w:p w14:paraId="01F7EC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6503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03C718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C09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2CD6B3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D91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4B127B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04EE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236C31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28B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BF6F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53154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7E68C2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220E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D3C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3922B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电缆故障测巡与诊断培训</w:t>
            </w:r>
          </w:p>
        </w:tc>
        <w:tc>
          <w:tcPr>
            <w:tcW w:w="1209" w:type="dxa"/>
            <w:shd w:val="clear" w:color="auto" w:fill="auto"/>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5426C2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649D3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0EB173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28CE7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2B50FA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06243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759" w:type="dxa"/>
            <w:tcMar>
              <w:top w:w="60" w:type="dxa"/>
              <w:left w:w="120" w:type="dxa"/>
              <w:bottom w:w="30" w:type="dxa"/>
              <w:right w:w="120" w:type="dxa"/>
            </w:tcMar>
          </w:tcPr>
          <w:p w14:paraId="3B926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8EDC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759" w:type="dxa"/>
            <w:tcMar>
              <w:top w:w="60" w:type="dxa"/>
              <w:left w:w="120" w:type="dxa"/>
              <w:bottom w:w="30" w:type="dxa"/>
              <w:right w:w="120" w:type="dxa"/>
            </w:tcMar>
          </w:tcPr>
          <w:p w14:paraId="6702D5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7752D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3A8F32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249A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18029A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053B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6E47A8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43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189027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5B5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0C12BD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bl>
    <w:p w14:paraId="39832BF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11287"/>
      <w:bookmarkStart w:id="23" w:name="_Toc19869"/>
      <w:r>
        <w:rPr>
          <w:rFonts w:hint="eastAsia"/>
          <w:lang w:val="en-US" w:eastAsia="zh-CN"/>
        </w:rPr>
        <w:t>培训指标完成情况</w:t>
      </w:r>
      <w:bookmarkEnd w:id="22"/>
      <w:bookmarkEnd w:id="23"/>
    </w:p>
    <w:p w14:paraId="68B6DB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根据培训管理制度相关规定，培训的指标为培训</w:t>
      </w:r>
      <w:r>
        <w:rPr>
          <w:spacing w:val="-3"/>
          <w:sz w:val="24"/>
          <w:szCs w:val="24"/>
        </w:rPr>
        <w:t>计划完成率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实际培训次数/计划培训次数*100%</w:t>
      </w:r>
      <w:r>
        <w:rPr>
          <w:rFonts w:hint="eastAsia"/>
          <w:spacing w:val="-2"/>
          <w:sz w:val="24"/>
          <w:szCs w:val="24"/>
          <w:lang w:val="en-US" w:eastAsia="zh-CN"/>
        </w:rPr>
        <w:t>，考核频次为年度考核。通过跟踪培训完成情况得知，截止2026年1月，已经进行培训19场，共计51课时。培训计划正在有序进行中，计划于2026年6月完成所有培训。</w:t>
      </w:r>
    </w:p>
    <w:p w14:paraId="2BC2FAB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832"/>
      <w:r>
        <w:rPr>
          <w:rFonts w:hint="eastAsia"/>
          <w:lang w:val="en-US" w:eastAsia="zh-CN"/>
        </w:rPr>
        <w:t>备份情况说明</w:t>
      </w:r>
      <w:bookmarkEnd w:id="24"/>
    </w:p>
    <w:p w14:paraId="1B72941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30415"/>
      <w:bookmarkStart w:id="26" w:name="_Toc32369"/>
      <w:r>
        <w:rPr>
          <w:rFonts w:hint="eastAsia"/>
          <w:lang w:val="en-US" w:eastAsia="zh-CN"/>
        </w:rPr>
        <w:t>备份计划完成情况</w:t>
      </w:r>
      <w:bookmarkEnd w:id="25"/>
      <w:bookmarkEnd w:id="26"/>
    </w:p>
    <w:p w14:paraId="46E038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截止2026年1月按计划完成基础环境运维工程师、软件研发工程师的备份，保证了各项目的平稳运行。</w:t>
      </w:r>
    </w:p>
    <w:tbl>
      <w:tblPr>
        <w:tblStyle w:val="20"/>
        <w:tblW w:w="87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397"/>
        <w:gridCol w:w="1397"/>
      </w:tblGrid>
      <w:tr w14:paraId="48887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65C17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11BEFF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18130B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060167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712625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397" w:type="dxa"/>
            <w:tcMar>
              <w:top w:w="60" w:type="dxa"/>
              <w:left w:w="120" w:type="dxa"/>
              <w:bottom w:w="30" w:type="dxa"/>
              <w:right w:w="120" w:type="dxa"/>
            </w:tcMar>
          </w:tcPr>
          <w:p w14:paraId="07201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c>
          <w:tcPr>
            <w:tcW w:w="1397" w:type="dxa"/>
            <w:tcMar>
              <w:top w:w="60" w:type="dxa"/>
              <w:left w:w="120" w:type="dxa"/>
              <w:bottom w:w="30" w:type="dxa"/>
              <w:right w:w="120" w:type="dxa"/>
            </w:tcMar>
          </w:tcPr>
          <w:p w14:paraId="06423C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完成情况</w:t>
            </w:r>
          </w:p>
        </w:tc>
      </w:tr>
      <w:tr w14:paraId="4070C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17C87F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52215C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16F74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59457B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4F37A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项目经理</w:t>
            </w:r>
          </w:p>
        </w:tc>
        <w:tc>
          <w:tcPr>
            <w:tcW w:w="1397" w:type="dxa"/>
            <w:tcMar>
              <w:top w:w="60" w:type="dxa"/>
              <w:left w:w="120" w:type="dxa"/>
              <w:bottom w:w="30" w:type="dxa"/>
              <w:right w:w="120" w:type="dxa"/>
            </w:tcMar>
          </w:tcPr>
          <w:p w14:paraId="2B420A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2026年3月</w:t>
            </w:r>
          </w:p>
        </w:tc>
        <w:tc>
          <w:tcPr>
            <w:tcW w:w="1397" w:type="dxa"/>
            <w:tcMar>
              <w:top w:w="60" w:type="dxa"/>
              <w:left w:w="120" w:type="dxa"/>
              <w:bottom w:w="30" w:type="dxa"/>
              <w:right w:w="120" w:type="dxa"/>
            </w:tcMar>
          </w:tcPr>
          <w:p w14:paraId="76D01E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未开始</w:t>
            </w:r>
          </w:p>
        </w:tc>
      </w:tr>
      <w:tr w14:paraId="64DF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090E1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14DF40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5CFCB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609895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5E0EAE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397" w:type="dxa"/>
            <w:tcMar>
              <w:top w:w="60" w:type="dxa"/>
              <w:left w:w="120" w:type="dxa"/>
              <w:bottom w:w="30" w:type="dxa"/>
              <w:right w:w="120" w:type="dxa"/>
            </w:tcMar>
          </w:tcPr>
          <w:p w14:paraId="3BAED7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2026年3月</w:t>
            </w:r>
          </w:p>
        </w:tc>
        <w:tc>
          <w:tcPr>
            <w:tcW w:w="1397" w:type="dxa"/>
            <w:tcMar>
              <w:top w:w="60" w:type="dxa"/>
              <w:left w:w="120" w:type="dxa"/>
              <w:bottom w:w="30" w:type="dxa"/>
              <w:right w:w="120" w:type="dxa"/>
            </w:tcMar>
          </w:tcPr>
          <w:p w14:paraId="659264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未开始</w:t>
            </w:r>
          </w:p>
        </w:tc>
      </w:tr>
      <w:tr w14:paraId="2B0F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4701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3E3BFC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1AD285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71E2C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vAlign w:val="center"/>
          </w:tcPr>
          <w:p w14:paraId="71DB3B0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pPr>
            <w:r>
              <w:rPr>
                <w:rFonts w:hint="eastAsia" w:ascii="Arial" w:eastAsia="等线"/>
                <w:sz w:val="22"/>
                <w:lang w:val="en-US" w:eastAsia="zh-CN"/>
              </w:rPr>
              <w:t>硬件运维工程师</w:t>
            </w:r>
          </w:p>
        </w:tc>
        <w:tc>
          <w:tcPr>
            <w:tcW w:w="1397" w:type="dxa"/>
            <w:tcMar>
              <w:top w:w="60" w:type="dxa"/>
              <w:left w:w="120" w:type="dxa"/>
              <w:bottom w:w="30" w:type="dxa"/>
              <w:right w:w="120" w:type="dxa"/>
            </w:tcMar>
          </w:tcPr>
          <w:p w14:paraId="127A6D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c>
          <w:tcPr>
            <w:tcW w:w="1397" w:type="dxa"/>
            <w:tcMar>
              <w:top w:w="60" w:type="dxa"/>
              <w:left w:w="120" w:type="dxa"/>
              <w:bottom w:w="30" w:type="dxa"/>
              <w:right w:w="120" w:type="dxa"/>
            </w:tcMar>
          </w:tcPr>
          <w:p w14:paraId="4D30E7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r w14:paraId="72AB8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7F66B5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1B59D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073582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8576B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vAlign w:val="center"/>
          </w:tcPr>
          <w:p w14:paraId="35E3AB9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pPr>
            <w:r>
              <w:rPr>
                <w:rFonts w:hint="eastAsia" w:ascii="Arial" w:eastAsia="等线"/>
                <w:sz w:val="22"/>
                <w:lang w:val="en-US" w:eastAsia="zh-CN"/>
              </w:rPr>
              <w:t>硬件运维工程师</w:t>
            </w:r>
          </w:p>
        </w:tc>
        <w:tc>
          <w:tcPr>
            <w:tcW w:w="1397" w:type="dxa"/>
            <w:tcMar>
              <w:top w:w="60" w:type="dxa"/>
              <w:left w:w="120" w:type="dxa"/>
              <w:bottom w:w="30" w:type="dxa"/>
              <w:right w:w="120" w:type="dxa"/>
            </w:tcMar>
          </w:tcPr>
          <w:p w14:paraId="65819B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c>
          <w:tcPr>
            <w:tcW w:w="1397" w:type="dxa"/>
            <w:tcMar>
              <w:top w:w="60" w:type="dxa"/>
              <w:left w:w="120" w:type="dxa"/>
              <w:bottom w:w="30" w:type="dxa"/>
              <w:right w:w="120" w:type="dxa"/>
            </w:tcMar>
          </w:tcPr>
          <w:p w14:paraId="4FFFDA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r w14:paraId="6BCD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6CC75E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35B395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404C1A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4A49B7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481866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397" w:type="dxa"/>
            <w:tcMar>
              <w:top w:w="60" w:type="dxa"/>
              <w:left w:w="120" w:type="dxa"/>
              <w:bottom w:w="30" w:type="dxa"/>
              <w:right w:w="120" w:type="dxa"/>
            </w:tcMar>
          </w:tcPr>
          <w:p w14:paraId="343B11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c>
          <w:tcPr>
            <w:tcW w:w="1397" w:type="dxa"/>
            <w:tcMar>
              <w:top w:w="60" w:type="dxa"/>
              <w:left w:w="120" w:type="dxa"/>
              <w:bottom w:w="30" w:type="dxa"/>
              <w:right w:w="120" w:type="dxa"/>
            </w:tcMar>
          </w:tcPr>
          <w:p w14:paraId="6F69EC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bl>
    <w:p w14:paraId="0D4DF8E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31476"/>
      <w:bookmarkStart w:id="28" w:name="_Toc6633"/>
      <w:r>
        <w:rPr>
          <w:rFonts w:hint="eastAsia"/>
          <w:lang w:val="en-US" w:eastAsia="zh-CN"/>
        </w:rPr>
        <w:t>备份指标完成情况</w:t>
      </w:r>
      <w:bookmarkEnd w:id="27"/>
      <w:bookmarkEnd w:id="28"/>
    </w:p>
    <w:p w14:paraId="5903F3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根据备份管理制度相关规定，备份的指标为</w:t>
      </w:r>
      <w:r>
        <w:rPr>
          <w:rFonts w:hint="eastAsia"/>
          <w:spacing w:val="-3"/>
          <w:sz w:val="24"/>
          <w:szCs w:val="24"/>
          <w:lang w:val="en-US" w:eastAsia="zh-CN"/>
        </w:rPr>
        <w:t>备份</w:t>
      </w:r>
      <w:r>
        <w:rPr>
          <w:spacing w:val="-3"/>
          <w:sz w:val="24"/>
          <w:szCs w:val="24"/>
        </w:rPr>
        <w:t>计划完成率</w:t>
      </w:r>
      <w:r>
        <w:rPr>
          <w:rFonts w:hint="eastAsia"/>
          <w:spacing w:val="-3"/>
          <w:sz w:val="24"/>
          <w:szCs w:val="24"/>
          <w:lang w:eastAsia="zh-CN"/>
        </w:rPr>
        <w:t>，</w:t>
      </w:r>
      <w:r>
        <w:rPr>
          <w:rFonts w:hint="eastAsia"/>
          <w:spacing w:val="-3"/>
          <w:sz w:val="24"/>
          <w:szCs w:val="24"/>
          <w:lang w:val="en-US" w:eastAsia="zh-CN"/>
        </w:rPr>
        <w:t>计算方式为</w:t>
      </w:r>
      <w:r>
        <w:rPr>
          <w:rFonts w:hint="eastAsia" w:cs="宋体"/>
          <w:snapToGrid w:val="0"/>
          <w:color w:val="000000"/>
          <w:kern w:val="0"/>
          <w:sz w:val="24"/>
          <w:szCs w:val="24"/>
          <w:lang w:val="en-US" w:eastAsia="zh-CN" w:bidi="ar-SA"/>
        </w:rPr>
        <w:t>实际备份人数/计划备份人数*100%</w:t>
      </w:r>
      <w:r>
        <w:rPr>
          <w:rFonts w:hint="eastAsia"/>
          <w:spacing w:val="-2"/>
          <w:sz w:val="24"/>
          <w:szCs w:val="24"/>
          <w:lang w:val="en-US" w:eastAsia="zh-CN"/>
        </w:rPr>
        <w:t>，考核频次为年度考核。通过跟踪备份完成情况得知，截止2026年1月按照计划时间完成备份任务，备份计划完成率为100%，满足备份计划完成率≥90%的指标要求</w:t>
      </w:r>
    </w:p>
    <w:p w14:paraId="708AEE6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3371"/>
      <w:r>
        <w:rPr>
          <w:rFonts w:hint="eastAsia"/>
          <w:lang w:val="en-US" w:eastAsia="zh-CN"/>
        </w:rPr>
        <w:t>绩效考核情况说明</w:t>
      </w:r>
      <w:bookmarkEnd w:id="29"/>
    </w:p>
    <w:p w14:paraId="37DDEF0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29393"/>
      <w:bookmarkStart w:id="31" w:name="_Toc20655"/>
      <w:r>
        <w:rPr>
          <w:rFonts w:hint="eastAsia"/>
          <w:lang w:val="en-US" w:eastAsia="zh-CN"/>
        </w:rPr>
        <w:t>绩效考核完成情况</w:t>
      </w:r>
      <w:bookmarkEnd w:id="30"/>
      <w:bookmarkEnd w:id="31"/>
    </w:p>
    <w:p w14:paraId="4129A7DC">
      <w:pPr>
        <w:pStyle w:val="3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bookmarkStart w:id="32" w:name="heading_11"/>
      <w:bookmarkStart w:id="33" w:name="_Toc20572"/>
      <w:r>
        <w:t>考核实施</w:t>
      </w:r>
      <w:bookmarkEnd w:id="32"/>
      <w:bookmarkEnd w:id="33"/>
    </w:p>
    <w:p w14:paraId="29FCAD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总经部牵头完成</w:t>
      </w:r>
      <w:r>
        <w:rPr>
          <w:rFonts w:hint="eastAsia"/>
          <w:lang w:val="en-US" w:eastAsia="zh-CN"/>
        </w:rPr>
        <w:t>2025年第三和四</w:t>
      </w:r>
      <w:r>
        <w:t>季度考核，覆盖</w:t>
      </w:r>
      <w:r>
        <w:rPr>
          <w:rFonts w:hint="eastAsia"/>
          <w:lang w:val="en-US" w:eastAsia="zh-CN"/>
        </w:rPr>
        <w:t>运维相关部门</w:t>
      </w:r>
      <w:r>
        <w:t>，涉及管理岗、技术岗、操作岗，考核指标按岗位差异化设置，依据《绩效考核制度》执行。</w:t>
      </w:r>
    </w:p>
    <w:p w14:paraId="7CA4D209">
      <w:pPr>
        <w:pStyle w:val="3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bookmarkStart w:id="34" w:name="_Toc10755"/>
      <w:bookmarkStart w:id="35" w:name="heading_12"/>
      <w:r>
        <w:t>考核结果</w:t>
      </w:r>
      <w:bookmarkEnd w:id="34"/>
      <w:bookmarkEnd w:id="35"/>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2380"/>
        <w:gridCol w:w="3071"/>
        <w:gridCol w:w="3071"/>
      </w:tblGrid>
      <w:tr w14:paraId="552E1A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12" w:space="0"/>
              <w:left w:val="single" w:color="auto" w:sz="12" w:space="0"/>
              <w:bottom w:val="nil"/>
              <w:right w:val="nil"/>
            </w:tcBorders>
            <w:noWrap w:val="0"/>
            <w:tcMar>
              <w:top w:w="60" w:type="dxa"/>
              <w:left w:w="120" w:type="dxa"/>
              <w:bottom w:w="30" w:type="dxa"/>
              <w:right w:w="120" w:type="dxa"/>
            </w:tcMar>
            <w:vAlign w:val="top"/>
          </w:tcPr>
          <w:p w14:paraId="60C64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考核等级</w:t>
            </w:r>
          </w:p>
        </w:tc>
        <w:tc>
          <w:tcPr>
            <w:tcW w:w="3071" w:type="dxa"/>
            <w:tcBorders>
              <w:top w:val="single" w:color="auto" w:sz="12" w:space="0"/>
              <w:left w:val="single" w:color="auto" w:sz="4" w:space="0"/>
              <w:bottom w:val="nil"/>
              <w:right w:val="nil"/>
            </w:tcBorders>
            <w:noWrap w:val="0"/>
            <w:tcMar>
              <w:top w:w="60" w:type="dxa"/>
              <w:left w:w="120" w:type="dxa"/>
              <w:bottom w:w="30" w:type="dxa"/>
              <w:right w:w="120" w:type="dxa"/>
            </w:tcMar>
            <w:vAlign w:val="top"/>
          </w:tcPr>
          <w:p w14:paraId="64E286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第</w:t>
            </w:r>
            <w:r>
              <w:rPr>
                <w:rFonts w:hint="eastAsia" w:eastAsia="等线" w:cs="Arial"/>
                <w:sz w:val="22"/>
                <w:lang w:val="en-US" w:eastAsia="zh-CN"/>
              </w:rPr>
              <w:t>三</w:t>
            </w:r>
            <w:r>
              <w:rPr>
                <w:rFonts w:ascii="Arial" w:hAnsi="Arial" w:eastAsia="等线" w:cs="Arial"/>
                <w:sz w:val="22"/>
              </w:rPr>
              <w:t>季度（</w:t>
            </w:r>
            <w:r>
              <w:rPr>
                <w:rFonts w:hint="eastAsia" w:eastAsia="等线" w:cs="Arial"/>
                <w:sz w:val="22"/>
                <w:lang w:val="en-US" w:eastAsia="zh-CN"/>
              </w:rPr>
              <w:t>11</w:t>
            </w:r>
            <w:r>
              <w:rPr>
                <w:rFonts w:ascii="Arial" w:hAnsi="Arial" w:eastAsia="等线" w:cs="Arial"/>
                <w:sz w:val="22"/>
              </w:rPr>
              <w:t>人）</w:t>
            </w:r>
          </w:p>
        </w:tc>
        <w:tc>
          <w:tcPr>
            <w:tcW w:w="307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top"/>
          </w:tcPr>
          <w:p w14:paraId="52FC62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第</w:t>
            </w:r>
            <w:r>
              <w:rPr>
                <w:rFonts w:hint="eastAsia" w:eastAsia="等线" w:cs="Arial"/>
                <w:sz w:val="22"/>
                <w:lang w:val="en-US" w:eastAsia="zh-CN"/>
              </w:rPr>
              <w:t>四</w:t>
            </w:r>
            <w:r>
              <w:rPr>
                <w:rFonts w:ascii="Arial" w:hAnsi="Arial" w:eastAsia="等线" w:cs="Arial"/>
                <w:sz w:val="22"/>
              </w:rPr>
              <w:t>季度（</w:t>
            </w:r>
            <w:r>
              <w:rPr>
                <w:rFonts w:hint="eastAsia" w:eastAsia="等线" w:cs="Arial"/>
                <w:sz w:val="22"/>
                <w:lang w:val="en-US" w:eastAsia="zh-CN"/>
              </w:rPr>
              <w:t>14</w:t>
            </w:r>
            <w:r>
              <w:rPr>
                <w:rFonts w:ascii="Arial" w:hAnsi="Arial" w:eastAsia="等线" w:cs="Arial"/>
                <w:sz w:val="22"/>
              </w:rPr>
              <w:t>人）</w:t>
            </w:r>
          </w:p>
        </w:tc>
      </w:tr>
      <w:tr w14:paraId="35620EF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400ECF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优秀（&gt;90分）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137F6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26804F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r>
      <w:tr w14:paraId="104ABF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285C6A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合格（80-90分）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05ECB0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11</w:t>
            </w:r>
            <w:r>
              <w:rPr>
                <w:rFonts w:ascii="Arial" w:hAnsi="Arial" w:eastAsia="等线" w:cs="Arial"/>
                <w:sz w:val="22"/>
              </w:rPr>
              <w:t>人，占比</w:t>
            </w:r>
            <w:r>
              <w:rPr>
                <w:rFonts w:hint="eastAsia" w:eastAsia="等线" w:cs="Arial"/>
                <w:sz w:val="22"/>
                <w:lang w:val="en-US" w:eastAsia="zh-CN"/>
              </w:rPr>
              <w:t>100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06B4AB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14</w:t>
            </w:r>
            <w:r>
              <w:rPr>
                <w:rFonts w:ascii="Arial" w:hAnsi="Arial" w:eastAsia="等线" w:cs="Arial"/>
                <w:sz w:val="22"/>
              </w:rPr>
              <w:t>人，占比</w:t>
            </w:r>
            <w:r>
              <w:rPr>
                <w:rFonts w:hint="eastAsia" w:eastAsia="等线" w:cs="Arial"/>
                <w:sz w:val="22"/>
                <w:lang w:val="en-US" w:eastAsia="zh-CN"/>
              </w:rPr>
              <w:t>100</w:t>
            </w:r>
            <w:r>
              <w:rPr>
                <w:rFonts w:ascii="Arial" w:hAnsi="Arial" w:eastAsia="等线" w:cs="Arial"/>
                <w:sz w:val="22"/>
              </w:rPr>
              <w:t>%</w:t>
            </w:r>
          </w:p>
        </w:tc>
      </w:tr>
      <w:tr w14:paraId="3BACF84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3F55B7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需改进（70-80分）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7AD032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678584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r>
      <w:tr w14:paraId="170A356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top"/>
          </w:tcPr>
          <w:p w14:paraId="31520E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不合格（&lt;70分）</w:t>
            </w:r>
          </w:p>
        </w:tc>
        <w:tc>
          <w:tcPr>
            <w:tcW w:w="307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top"/>
          </w:tcPr>
          <w:p w14:paraId="132B2A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0人，占比0%</w:t>
            </w:r>
          </w:p>
        </w:tc>
        <w:tc>
          <w:tcPr>
            <w:tcW w:w="307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top"/>
          </w:tcPr>
          <w:p w14:paraId="6A4454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ascii="Arial" w:hAnsi="Arial" w:eastAsia="等线" w:cs="Arial"/>
                <w:sz w:val="22"/>
              </w:rPr>
              <w:t>0人，占比0%</w:t>
            </w:r>
          </w:p>
        </w:tc>
      </w:tr>
    </w:tbl>
    <w:p w14:paraId="78C3DC7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6" w:name="_Toc22123"/>
      <w:bookmarkStart w:id="37" w:name="_Toc5673"/>
      <w:r>
        <w:rPr>
          <w:rFonts w:hint="eastAsia"/>
          <w:lang w:val="en-US" w:eastAsia="zh-CN"/>
        </w:rPr>
        <w:t>绩效考核指标达成情况</w:t>
      </w:r>
      <w:bookmarkEnd w:id="36"/>
      <w:bookmarkEnd w:id="37"/>
    </w:p>
    <w:p w14:paraId="5332E4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根据绩效考核相关规定，绩效考核的指标为</w:t>
      </w:r>
      <w:r>
        <w:rPr>
          <w:spacing w:val="-3"/>
          <w:sz w:val="24"/>
          <w:szCs w:val="24"/>
        </w:rPr>
        <w:t>绩效考核覆盖率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参与绩效考核运维人员/运维人员总数</w:t>
      </w:r>
      <w:r>
        <w:rPr>
          <w:rFonts w:hint="eastAsia"/>
          <w:spacing w:val="-2"/>
          <w:sz w:val="24"/>
          <w:szCs w:val="24"/>
          <w:lang w:val="en-US" w:eastAsia="zh-CN"/>
        </w:rPr>
        <w:t>*100%，考核频次为季度考核。通过跟踪绩效考核记录得出，2025年第三和四季度所有运维服务人员均参加绩效考核，满足绩效考核覆盖率100%的要求。</w:t>
      </w:r>
    </w:p>
    <w:p w14:paraId="6543582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8" w:name="_Toc23084"/>
      <w:r>
        <w:rPr>
          <w:rFonts w:hint="eastAsia"/>
          <w:lang w:val="en-US" w:eastAsia="zh-CN"/>
        </w:rPr>
        <w:t>能力评价情况说明</w:t>
      </w:r>
      <w:bookmarkEnd w:id="38"/>
    </w:p>
    <w:p w14:paraId="36B5B508">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9" w:name="_Toc25084"/>
      <w:bookmarkStart w:id="40" w:name="_Toc28166"/>
      <w:r>
        <w:rPr>
          <w:rFonts w:hint="eastAsia"/>
          <w:lang w:val="en-US" w:eastAsia="zh-CN"/>
        </w:rPr>
        <w:t>技能评价完成情况</w:t>
      </w:r>
      <w:bookmarkEnd w:id="39"/>
      <w:bookmarkEnd w:id="40"/>
    </w:p>
    <w:p w14:paraId="64A840E7">
      <w:pPr>
        <w:pStyle w:val="3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pPr>
      <w:bookmarkStart w:id="41" w:name="_Toc19603"/>
      <w:bookmarkStart w:id="42" w:name="heading_14"/>
      <w:r>
        <w:t>评价范围</w:t>
      </w:r>
      <w:bookmarkEnd w:id="41"/>
      <w:bookmarkEnd w:id="42"/>
    </w:p>
    <w:p w14:paraId="30636C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截止</w:t>
      </w:r>
      <w:r>
        <w:rPr>
          <w:rFonts w:hint="eastAsia"/>
          <w:lang w:val="en-US" w:eastAsia="zh-CN"/>
        </w:rPr>
        <w:t>2026年1</w:t>
      </w:r>
      <w:r>
        <w:t>月，完成</w:t>
      </w:r>
      <w:r>
        <w:rPr>
          <w:rFonts w:hint="eastAsia"/>
          <w:lang w:val="en-US" w:eastAsia="zh-CN"/>
        </w:rPr>
        <w:t>6</w:t>
      </w:r>
      <w:r>
        <w:t>名新招聘员工技能评价及储备调岗员工技能再评价，</w:t>
      </w:r>
      <w:r>
        <w:rPr>
          <w:rFonts w:hint="eastAsia"/>
          <w:lang w:val="en-US" w:eastAsia="zh-CN"/>
        </w:rPr>
        <w:t>招聘员工</w:t>
      </w:r>
      <w:r>
        <w:t>按流程办理入职。</w:t>
      </w:r>
      <w:r>
        <w:rPr>
          <w:rFonts w:hint="eastAsia"/>
          <w:lang w:val="en-US" w:eastAsia="zh-CN"/>
        </w:rPr>
        <w:t>其他员工的评价计划在2026年6月份进行。</w:t>
      </w:r>
    </w:p>
    <w:p w14:paraId="31E47906">
      <w:pPr>
        <w:pStyle w:val="3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pPr>
      <w:bookmarkStart w:id="43" w:name="_Toc10682"/>
      <w:r>
        <w:t>评价结果</w:t>
      </w:r>
      <w:bookmarkEnd w:id="43"/>
    </w:p>
    <w:p w14:paraId="2F09F2D3">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新员工</w:t>
      </w:r>
    </w:p>
    <w:p w14:paraId="74FB1A5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基础环境</w:t>
      </w:r>
      <w:r>
        <w:t>运维工程师（中级工程师，岗级标准55）、</w:t>
      </w:r>
      <w:r>
        <w:rPr>
          <w:rFonts w:hint="eastAsia"/>
          <w:lang w:val="en-US" w:eastAsia="zh-CN"/>
        </w:rPr>
        <w:t>硬件运维工程师</w:t>
      </w:r>
      <w:r>
        <w:t>（高级工程师，</w:t>
      </w:r>
      <w:r>
        <w:rPr>
          <w:rFonts w:hint="eastAsia"/>
          <w:lang w:val="en-US" w:eastAsia="zh-CN"/>
        </w:rPr>
        <w:t>岗位标准</w:t>
      </w:r>
      <w:r>
        <w:t>65</w:t>
      </w:r>
      <w:r>
        <w:rPr>
          <w:rFonts w:hint="eastAsia"/>
          <w:lang w:eastAsia="zh-CN"/>
        </w:rPr>
        <w:t>、</w:t>
      </w:r>
      <w:r>
        <w:rPr>
          <w:rFonts w:hint="eastAsia"/>
          <w:lang w:val="en-US" w:eastAsia="zh-CN"/>
        </w:rPr>
        <w:t>65</w:t>
      </w:r>
      <w:r>
        <w:t>）</w:t>
      </w:r>
      <w:r>
        <w:rPr>
          <w:rFonts w:hint="eastAsia"/>
          <w:lang w:eastAsia="zh-CN"/>
        </w:rPr>
        <w:t>、</w:t>
      </w:r>
      <w:r>
        <w:rPr>
          <w:rFonts w:hint="eastAsia"/>
          <w:lang w:val="en-US" w:eastAsia="zh-CN"/>
        </w:rPr>
        <w:t>软件研发工程师（中级工程师，岗位标准55、55）、服务台专员（初级专员，岗位标准90）</w:t>
      </w:r>
      <w:r>
        <w:t>。</w:t>
      </w:r>
    </w:p>
    <w:p w14:paraId="782C002D">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储备人员</w:t>
      </w:r>
    </w:p>
    <w:p w14:paraId="1682ABED">
      <w:pPr>
        <w:pStyle w:val="39"/>
        <w:keepNext w:val="0"/>
        <w:keepLines w:val="0"/>
        <w:pageBreakBefore w:val="0"/>
        <w:widowControl w:val="0"/>
        <w:numPr>
          <w:ilvl w:val="0"/>
          <w:numId w:val="0"/>
        </w:numPr>
        <w:kinsoku w:val="0"/>
        <w:wordWrap/>
        <w:overflowPunct/>
        <w:autoSpaceDE w:val="0"/>
        <w:autoSpaceDN w:val="0"/>
        <w:bidi w:val="0"/>
        <w:adjustRightInd w:val="0"/>
        <w:snapToGrid w:val="0"/>
        <w:ind w:leftChars="0"/>
        <w:textAlignment w:val="baseline"/>
      </w:pPr>
      <w:r>
        <w:rPr>
          <w:rFonts w:hint="eastAsia"/>
          <w:lang w:val="en-US" w:eastAsia="zh-CN"/>
        </w:rPr>
        <w:t>项目</w:t>
      </w:r>
      <w:r>
        <w:t>经理（中级</w:t>
      </w:r>
      <w:r>
        <w:rPr>
          <w:rFonts w:hint="eastAsia"/>
          <w:lang w:val="en-US" w:eastAsia="zh-CN"/>
        </w:rPr>
        <w:t>项目经理</w:t>
      </w:r>
      <w:r>
        <w:t>，</w:t>
      </w:r>
      <w:r>
        <w:rPr>
          <w:rFonts w:hint="eastAsia"/>
          <w:lang w:val="en-US" w:eastAsia="zh-CN"/>
        </w:rPr>
        <w:t>岗位标准</w:t>
      </w:r>
      <w:r>
        <w:t>75、75）</w:t>
      </w:r>
      <w:r>
        <w:rPr>
          <w:rFonts w:hint="eastAsia"/>
          <w:lang w:eastAsia="zh-CN"/>
        </w:rPr>
        <w:t>、</w:t>
      </w:r>
      <w:r>
        <w:rPr>
          <w:rFonts w:hint="eastAsia"/>
          <w:lang w:val="en-US" w:eastAsia="zh-CN"/>
        </w:rPr>
        <w:t>基础环境运维工程师（岗位标准65）</w:t>
      </w:r>
      <w:r>
        <w:t>。</w:t>
      </w:r>
    </w:p>
    <w:p w14:paraId="3294915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4" w:name="_Toc16522"/>
      <w:bookmarkStart w:id="45" w:name="_Toc23412"/>
      <w:r>
        <w:rPr>
          <w:rFonts w:hint="eastAsia"/>
          <w:lang w:val="en-US" w:eastAsia="zh-CN"/>
        </w:rPr>
        <w:t>技能评价指标完成情况</w:t>
      </w:r>
      <w:bookmarkEnd w:id="44"/>
      <w:bookmarkEnd w:id="45"/>
    </w:p>
    <w:p w14:paraId="0EB87C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根据技能评价管理制度相关规定，技能评价的指标为技能评定覆盖率</w:t>
      </w:r>
      <w:r>
        <w:rPr>
          <w:rFonts w:hint="eastAsia"/>
          <w:spacing w:val="-3"/>
          <w:sz w:val="24"/>
          <w:szCs w:val="24"/>
          <w:lang w:eastAsia="zh-CN"/>
        </w:rPr>
        <w:t>，</w:t>
      </w:r>
      <w:r>
        <w:rPr>
          <w:rFonts w:hint="eastAsia"/>
          <w:spacing w:val="-3"/>
          <w:sz w:val="24"/>
          <w:szCs w:val="24"/>
          <w:lang w:val="en-US" w:eastAsia="zh-CN"/>
        </w:rPr>
        <w:t>计算方式为</w:t>
      </w:r>
      <w:r>
        <w:rPr>
          <w:rFonts w:hint="eastAsia"/>
          <w:spacing w:val="-2"/>
          <w:sz w:val="24"/>
          <w:szCs w:val="24"/>
          <w:lang w:val="en-US" w:eastAsia="zh-CN"/>
        </w:rPr>
        <w:t>参与技能评定运维人员/运维人员总数</w:t>
      </w:r>
      <w:r>
        <w:rPr>
          <w:spacing w:val="-3"/>
          <w:sz w:val="24"/>
          <w:szCs w:val="24"/>
        </w:rPr>
        <w:t>*100%</w:t>
      </w:r>
      <w:r>
        <w:rPr>
          <w:rFonts w:hint="eastAsia"/>
          <w:spacing w:val="-2"/>
          <w:sz w:val="24"/>
          <w:szCs w:val="24"/>
          <w:lang w:val="en-US" w:eastAsia="zh-CN"/>
        </w:rPr>
        <w:t>，考核频次为年度考核。通过跟踪技能评价完成情况得知，截止2026年1月，完成了对6名新入职员工和调岗储备员工的技能评价，其他员工技能评价计划于2026年6月份完成。</w:t>
      </w:r>
    </w:p>
    <w:p w14:paraId="208056DE">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6" w:name="_Toc22277"/>
      <w:r>
        <w:rPr>
          <w:rFonts w:hint="eastAsia"/>
          <w:lang w:val="en-US" w:eastAsia="zh-CN"/>
        </w:rPr>
        <w:t>资源管理总结</w:t>
      </w:r>
      <w:bookmarkEnd w:id="46"/>
    </w:p>
    <w:p w14:paraId="62E9B7B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7" w:name="_Toc7250"/>
      <w:r>
        <w:rPr>
          <w:rFonts w:hint="eastAsia"/>
          <w:lang w:val="en-US" w:eastAsia="zh-CN"/>
        </w:rPr>
        <w:t>资源管理情况总结</w:t>
      </w:r>
      <w:bookmarkEnd w:id="47"/>
    </w:p>
    <w:p w14:paraId="6D7D8BD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8" w:name="_Toc5280"/>
      <w:r>
        <w:rPr>
          <w:rFonts w:hint="eastAsia"/>
          <w:lang w:val="en-US" w:eastAsia="zh-CN"/>
        </w:rPr>
        <w:t>运维工具管理情况总结</w:t>
      </w:r>
      <w:bookmarkEnd w:id="48"/>
    </w:p>
    <w:p w14:paraId="52A140F8">
      <w:pPr>
        <w:pStyle w:val="29"/>
        <w:keepNext w:val="0"/>
        <w:keepLines w:val="0"/>
        <w:pageBreakBefore w:val="0"/>
        <w:widowControl w:val="0"/>
        <w:kinsoku w:val="0"/>
        <w:wordWrap/>
        <w:overflowPunct/>
        <w:autoSpaceDE w:val="0"/>
        <w:autoSpaceDN w:val="0"/>
        <w:bidi w:val="0"/>
        <w:adjustRightInd w:val="0"/>
        <w:snapToGrid w:val="0"/>
        <w:textAlignment w:val="baseline"/>
      </w:pPr>
      <w:r>
        <w:t>建立运维服务</w:t>
      </w:r>
      <w:r>
        <w:rPr>
          <w:rFonts w:hint="eastAsia"/>
          <w:lang w:val="en-US" w:eastAsia="zh-CN"/>
        </w:rPr>
        <w:t>能力</w:t>
      </w:r>
      <w:r>
        <w:t>管理体系制度，各项管理初步实现通过运维工具进行管理。</w:t>
      </w:r>
    </w:p>
    <w:p w14:paraId="68918D60">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t>加强了流程管理工具的改进工作：收集使用意见，对工具进行了部分改进，提高了工具的实用性；</w:t>
      </w:r>
    </w:p>
    <w:p w14:paraId="02DD41B4">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t>加强了自动化管理工具的应用 ：对主要的运维工程师加强了自动化管理工具的培训，提升了操作能力。</w:t>
      </w:r>
    </w:p>
    <w:p w14:paraId="506995E5">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运维工具考核指标为自评估次数，要求每年最少进行1次自评估。截止2026年1月对运维工具进行了一次自评估，达到设定目标要求。</w:t>
      </w:r>
    </w:p>
    <w:p w14:paraId="713DD42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9" w:name="_Toc17030"/>
      <w:r>
        <w:rPr>
          <w:rFonts w:hint="eastAsia"/>
          <w:lang w:val="en-US" w:eastAsia="zh-CN"/>
        </w:rPr>
        <w:t>服务台管理情况总结</w:t>
      </w:r>
      <w:bookmarkEnd w:id="49"/>
    </w:p>
    <w:p w14:paraId="0604D18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服务台专员严格执行《服务台管理制度》，作为一线人员及时对客户疑问进行解答，极大的提高了客户满意度，经过满意度调查得知，截止2026年1月，客户满意度得分为95分，达到客户满意度指标要求的95分。</w:t>
      </w:r>
    </w:p>
    <w:p w14:paraId="481B863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截止2026年1月份的服务台事件共320件，回访320件，回访率达到100%，满足KPI指标要求的服务台回访率≥95%的指标。</w:t>
      </w:r>
    </w:p>
    <w:p w14:paraId="20700A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统计2025年第三和四季度的服务台派单成功率得出，派单成功率分别是95%和100%。满足KPI指标要求的每季度</w:t>
      </w:r>
      <w:r>
        <w:rPr>
          <w:spacing w:val="-3"/>
          <w:sz w:val="24"/>
          <w:szCs w:val="24"/>
        </w:rPr>
        <w:t>服务台派单成功</w:t>
      </w:r>
      <w:r>
        <w:rPr>
          <w:sz w:val="24"/>
          <w:szCs w:val="24"/>
        </w:rPr>
        <w:t>率</w:t>
      </w:r>
      <w:r>
        <w:rPr>
          <w:rFonts w:hint="eastAsia"/>
          <w:lang w:val="en-US" w:eastAsia="zh-CN"/>
        </w:rPr>
        <w:t>≥95%的指标并且呈上升趋势。</w:t>
      </w:r>
    </w:p>
    <w:p w14:paraId="6989317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0" w:name="_Toc26130"/>
      <w:r>
        <w:rPr>
          <w:rFonts w:hint="eastAsia"/>
          <w:lang w:val="en-US" w:eastAsia="zh-CN"/>
        </w:rPr>
        <w:t>备件库管理情况总结</w:t>
      </w:r>
      <w:bookmarkEnd w:id="50"/>
    </w:p>
    <w:p w14:paraId="747DFE9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截止2026年1月</w:t>
      </w:r>
      <w:r>
        <w:t>，公司持续加强备件库的规范化管理，将其作为保障运维服务连续性与响应效率的重要基础。通过完善库存管理制度、推行定期盘点机制及强化流程执行，</w:t>
      </w:r>
      <w:r>
        <w:rPr>
          <w:rFonts w:hint="eastAsia"/>
          <w:lang w:val="en-US" w:eastAsia="zh-CN"/>
        </w:rPr>
        <w:t>2025年第三和四</w:t>
      </w:r>
      <w:r>
        <w:t>季度备件</w:t>
      </w:r>
      <w:r>
        <w:rPr>
          <w:rFonts w:hint="eastAsia"/>
          <w:lang w:val="en-US" w:eastAsia="zh-CN"/>
        </w:rPr>
        <w:t>可用率</w:t>
      </w:r>
      <w:r>
        <w:t>均保持在95%以上，达到既定质量目标，有效支持了一线运维工作的顺利开展。</w:t>
      </w:r>
    </w:p>
    <w:p w14:paraId="695023D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1" w:name="_Toc24227"/>
      <w:r>
        <w:rPr>
          <w:rFonts w:hint="eastAsia"/>
          <w:lang w:val="en-US" w:eastAsia="zh-CN"/>
        </w:rPr>
        <w:t>服务知识管理情况总结</w:t>
      </w:r>
      <w:bookmarkEnd w:id="51"/>
    </w:p>
    <w:p w14:paraId="6F551D9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w:t>
      </w:r>
      <w:r>
        <w:rPr>
          <w:rFonts w:hint="eastAsia"/>
          <w:lang w:val="en-US" w:eastAsia="zh-CN"/>
        </w:rPr>
        <w:t>服务知识</w:t>
      </w:r>
      <w:r>
        <w:t>管理工作：</w:t>
      </w:r>
    </w:p>
    <w:p w14:paraId="3A5CE31A">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pPr>
      <w:r>
        <w:t>补充内容，提升质量：组织各个项目组对知识库的信息架构进行梳理，提升结构的合理性，对于通用知识，组织进行集中录入，规范入库管理和知识审核；</w:t>
      </w:r>
    </w:p>
    <w:p w14:paraId="404C3700">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t>建立了</w:t>
      </w:r>
      <w:r>
        <w:rPr>
          <w:rFonts w:hint="eastAsia"/>
          <w:lang w:eastAsia="zh-CN"/>
        </w:rPr>
        <w:t>《</w:t>
      </w:r>
      <w:r>
        <w:rPr>
          <w:rFonts w:hint="eastAsia"/>
          <w:lang w:val="en-US" w:eastAsia="zh-CN"/>
        </w:rPr>
        <w:t>服务知识管理制度</w:t>
      </w:r>
      <w:r>
        <w:rPr>
          <w:rFonts w:hint="eastAsia"/>
          <w:lang w:eastAsia="zh-CN"/>
        </w:rPr>
        <w:t>》</w:t>
      </w:r>
      <w:r>
        <w:t>，加强对知识库的管理工作；</w:t>
      </w:r>
    </w:p>
    <w:p w14:paraId="30C17DBD">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2025年第三和四季度分别录入知识40条和38条，满足KPI指标要求的服务知识录入条数≥20条。</w:t>
      </w:r>
    </w:p>
    <w:p w14:paraId="4288B35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2" w:name="_Toc19070"/>
      <w:r>
        <w:rPr>
          <w:rFonts w:hint="eastAsia"/>
          <w:lang w:val="en-US" w:eastAsia="zh-CN"/>
        </w:rPr>
        <w:t>最终软件库管理情况总结</w:t>
      </w:r>
      <w:bookmarkEnd w:id="52"/>
    </w:p>
    <w:p w14:paraId="4F6E2DDF">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重点加强了最终软件库管理工作：</w:t>
      </w:r>
    </w:p>
    <w:p w14:paraId="27AF4C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最终软件库管理制度，实现了代码管理的</w:t>
      </w:r>
      <w:r>
        <w:t>标准化及制度化，</w:t>
      </w:r>
      <w:r>
        <w:rPr>
          <w:rFonts w:hint="eastAsia"/>
          <w:lang w:val="en-US" w:eastAsia="zh-CN"/>
        </w:rPr>
        <w:t>提高</w:t>
      </w:r>
      <w:r>
        <w:t>运维人员</w:t>
      </w:r>
      <w:r>
        <w:rPr>
          <w:rFonts w:hint="eastAsia"/>
          <w:lang w:val="en-US" w:eastAsia="zh-CN"/>
        </w:rPr>
        <w:t>功率效率，极大的降低了版本出错情况</w:t>
      </w:r>
      <w:r>
        <w:t>，因此</w:t>
      </w:r>
      <w:r>
        <w:rPr>
          <w:rFonts w:hint="eastAsia"/>
          <w:lang w:val="en-US" w:eastAsia="zh-CN"/>
        </w:rPr>
        <w:t>软件版本正确</w:t>
      </w:r>
      <w:r>
        <w:t>率逐年提升，2025年设定的</w:t>
      </w:r>
      <w:r>
        <w:rPr>
          <w:rFonts w:hint="eastAsia"/>
          <w:lang w:val="en-US" w:eastAsia="zh-CN"/>
        </w:rPr>
        <w:t>软件入库合格率</w:t>
      </w:r>
      <w:r>
        <w:t>均为9</w:t>
      </w:r>
      <w:r>
        <w:rPr>
          <w:rFonts w:hint="eastAsia"/>
          <w:lang w:val="en-US" w:eastAsia="zh-CN"/>
        </w:rPr>
        <w:t>8</w:t>
      </w:r>
      <w:r>
        <w:t>%，经</w:t>
      </w:r>
      <w:r>
        <w:rPr>
          <w:rFonts w:hint="eastAsia"/>
          <w:lang w:val="en-US" w:eastAsia="zh-CN"/>
        </w:rPr>
        <w:t>考核</w:t>
      </w:r>
      <w:r>
        <w:t>，2025年</w:t>
      </w:r>
      <w:r>
        <w:rPr>
          <w:rFonts w:hint="eastAsia"/>
          <w:lang w:val="en-US" w:eastAsia="zh-CN"/>
        </w:rPr>
        <w:t>第三和四季度软件入库合格率均为95%和100%</w:t>
      </w:r>
      <w:r>
        <w:t>。</w:t>
      </w:r>
      <w:r>
        <w:rPr>
          <w:rFonts w:hint="eastAsia"/>
          <w:lang w:val="en-US" w:eastAsia="zh-CN"/>
        </w:rPr>
        <w:t>其中第三季度没有达到指标要求。</w:t>
      </w:r>
    </w:p>
    <w:p w14:paraId="5F2C774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根据需要需要组织研发部及相关人员学习最终软件库管理制度，争取达到考核目标值。</w:t>
      </w:r>
    </w:p>
    <w:p w14:paraId="1F6A964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3" w:name="_Toc18612"/>
      <w:r>
        <w:rPr>
          <w:rFonts w:hint="eastAsia"/>
          <w:lang w:val="en-US" w:eastAsia="zh-CN"/>
        </w:rPr>
        <w:t>服务数据管理情况总结</w:t>
      </w:r>
      <w:bookmarkEnd w:id="53"/>
    </w:p>
    <w:p w14:paraId="0CA1FC79">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重点加强了服务数据管理工作：</w:t>
      </w:r>
    </w:p>
    <w:p w14:paraId="36CC3904">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pPr>
      <w:r>
        <w:t>规范采集源头：制定统一的《</w:t>
      </w:r>
      <w:r>
        <w:rPr>
          <w:rFonts w:hint="eastAsia"/>
          <w:lang w:val="en-US" w:eastAsia="zh-CN"/>
        </w:rPr>
        <w:t>服务数据管理制度</w:t>
      </w:r>
      <w:r>
        <w:t>》，明确监控数据、故障记录、工单处理等各类数据的录入格式、必填字段。</w:t>
      </w:r>
    </w:p>
    <w:p w14:paraId="46FD822F">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pPr>
      <w:r>
        <w:t>对运维</w:t>
      </w:r>
      <w:r>
        <w:rPr>
          <w:rFonts w:hint="eastAsia"/>
          <w:lang w:val="en-US" w:eastAsia="zh-CN"/>
        </w:rPr>
        <w:t>服务</w:t>
      </w:r>
      <w:r>
        <w:t>人员开展了专项培训，结合实际案例讲解标准要求，考核合格后方可参与数据采集，从源头减少错误。</w:t>
      </w:r>
    </w:p>
    <w:p w14:paraId="7A94407B">
      <w:pPr>
        <w:keepNext w:val="0"/>
        <w:keepLines w:val="0"/>
        <w:pageBreakBefore w:val="0"/>
        <w:widowControl w:val="0"/>
        <w:numPr>
          <w:ilvl w:val="0"/>
          <w:numId w:val="9"/>
        </w:numPr>
        <w:kinsoku w:val="0"/>
        <w:wordWrap/>
        <w:overflowPunct/>
        <w:autoSpaceDE w:val="0"/>
        <w:autoSpaceDN w:val="0"/>
        <w:bidi w:val="0"/>
        <w:adjustRightInd w:val="0"/>
        <w:snapToGrid w:val="0"/>
        <w:spacing w:before="78" w:line="362" w:lineRule="auto"/>
        <w:ind w:left="425" w:leftChars="0" w:right="123" w:hanging="425" w:firstLineChars="0"/>
        <w:textAlignment w:val="baseline"/>
        <w:rPr>
          <w:rFonts w:ascii="宋体" w:hAnsi="宋体" w:eastAsia="宋体" w:cs="宋体"/>
          <w:sz w:val="24"/>
          <w:szCs w:val="24"/>
        </w:rPr>
      </w:pPr>
      <w:r>
        <w:rPr>
          <w:rFonts w:hint="eastAsia" w:ascii="宋体" w:hAnsi="宋体" w:eastAsia="宋体" w:cs="宋体"/>
          <w:spacing w:val="3"/>
          <w:sz w:val="24"/>
          <w:szCs w:val="24"/>
        </w:rPr>
        <w:t>2025年度运维服务能力管理指标体系</w:t>
      </w:r>
      <w:r>
        <w:rPr>
          <w:rFonts w:hint="eastAsia" w:ascii="宋体" w:hAnsi="宋体" w:eastAsia="宋体" w:cs="宋体"/>
          <w:spacing w:val="3"/>
          <w:sz w:val="24"/>
          <w:szCs w:val="24"/>
          <w:lang w:val="en-US" w:eastAsia="zh-CN"/>
        </w:rPr>
        <w:t>中要求服务数据的季度分析利用次数≥2次</w:t>
      </w:r>
      <w:r>
        <w:rPr>
          <w:rFonts w:ascii="宋体" w:hAnsi="宋体" w:eastAsia="宋体" w:cs="宋体"/>
          <w:spacing w:val="2"/>
          <w:sz w:val="24"/>
          <w:szCs w:val="24"/>
        </w:rPr>
        <w:t>，</w:t>
      </w:r>
      <w:r>
        <w:rPr>
          <w:rFonts w:hint="eastAsia" w:ascii="宋体" w:hAnsi="宋体" w:eastAsia="宋体" w:cs="宋体"/>
          <w:spacing w:val="2"/>
          <w:sz w:val="24"/>
          <w:szCs w:val="24"/>
          <w:lang w:val="en-US" w:eastAsia="zh-CN"/>
        </w:rPr>
        <w:t>2025年第</w:t>
      </w:r>
      <w:r>
        <w:rPr>
          <w:rFonts w:hint="eastAsia" w:ascii="宋体" w:hAnsi="宋体" w:cs="宋体"/>
          <w:spacing w:val="2"/>
          <w:sz w:val="24"/>
          <w:szCs w:val="24"/>
          <w:lang w:val="en-US" w:eastAsia="zh-CN"/>
        </w:rPr>
        <w:t>三</w:t>
      </w:r>
      <w:r>
        <w:rPr>
          <w:rFonts w:hint="eastAsia" w:ascii="宋体" w:hAnsi="宋体" w:eastAsia="宋体" w:cs="宋体"/>
          <w:spacing w:val="2"/>
          <w:sz w:val="24"/>
          <w:szCs w:val="24"/>
          <w:lang w:val="en-US" w:eastAsia="zh-CN"/>
        </w:rPr>
        <w:t>和</w:t>
      </w:r>
      <w:r>
        <w:rPr>
          <w:rFonts w:hint="eastAsia" w:ascii="宋体" w:hAnsi="宋体" w:cs="宋体"/>
          <w:spacing w:val="2"/>
          <w:sz w:val="24"/>
          <w:szCs w:val="24"/>
          <w:lang w:val="en-US" w:eastAsia="zh-CN"/>
        </w:rPr>
        <w:t>四</w:t>
      </w:r>
      <w:r>
        <w:rPr>
          <w:rFonts w:hint="eastAsia" w:ascii="宋体" w:hAnsi="宋体" w:eastAsia="宋体" w:cs="宋体"/>
          <w:spacing w:val="2"/>
          <w:sz w:val="24"/>
          <w:szCs w:val="24"/>
          <w:lang w:val="en-US" w:eastAsia="zh-CN"/>
        </w:rPr>
        <w:t>季度服务数据分析利用次数分别为2次</w:t>
      </w:r>
      <w:r>
        <w:rPr>
          <w:rFonts w:hint="eastAsia" w:ascii="宋体" w:hAnsi="宋体" w:cs="宋体"/>
          <w:spacing w:val="2"/>
          <w:sz w:val="24"/>
          <w:szCs w:val="24"/>
          <w:lang w:val="en-US" w:eastAsia="zh-CN"/>
        </w:rPr>
        <w:t>和</w:t>
      </w:r>
      <w:r>
        <w:rPr>
          <w:rFonts w:hint="eastAsia" w:ascii="宋体" w:hAnsi="宋体" w:eastAsia="宋体" w:cs="宋体"/>
          <w:spacing w:val="2"/>
          <w:sz w:val="24"/>
          <w:szCs w:val="24"/>
          <w:lang w:val="en-US" w:eastAsia="zh-CN"/>
        </w:rPr>
        <w:t>3次</w:t>
      </w:r>
      <w:r>
        <w:rPr>
          <w:rFonts w:ascii="宋体" w:hAnsi="宋体" w:eastAsia="宋体" w:cs="宋体"/>
          <w:spacing w:val="-4"/>
          <w:sz w:val="24"/>
          <w:szCs w:val="24"/>
        </w:rPr>
        <w:t>。目前公司服务数据管理情况良好，但仍有提升的空间。</w:t>
      </w:r>
    </w:p>
    <w:p w14:paraId="209AB155">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4" w:name="_Toc368"/>
      <w:r>
        <w:rPr>
          <w:rFonts w:hint="eastAsia"/>
          <w:lang w:val="en-US" w:eastAsia="zh-CN"/>
        </w:rPr>
        <w:t>技术管理总结</w:t>
      </w:r>
      <w:bookmarkEnd w:id="54"/>
    </w:p>
    <w:p w14:paraId="291D8AA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5"/>
      <w:bookmarkStart w:id="56" w:name="_Toc4884"/>
      <w:r>
        <w:t>物管平台-物联标识系统</w:t>
      </w:r>
      <w:bookmarkEnd w:id="55"/>
      <w:bookmarkEnd w:id="56"/>
    </w:p>
    <w:p w14:paraId="047A1F7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6"/>
      <w:bookmarkStart w:id="58" w:name="_Toc26828"/>
      <w:r>
        <w:t>项目总体</w:t>
      </w:r>
      <w:bookmarkEnd w:id="57"/>
      <w:r>
        <w:rPr>
          <w:rFonts w:hint="eastAsia"/>
          <w:lang w:val="en-US" w:eastAsia="zh-CN"/>
        </w:rPr>
        <w:t>概况</w:t>
      </w:r>
      <w:bookmarkEnd w:id="58"/>
    </w:p>
    <w:tbl>
      <w:tblPr>
        <w:tblStyle w:val="20"/>
        <w:tblW w:w="84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5425"/>
      </w:tblGrid>
      <w:tr w14:paraId="019F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6542E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内容分类</w:t>
            </w:r>
          </w:p>
        </w:tc>
        <w:tc>
          <w:tcPr>
            <w:tcW w:w="5425" w:type="dxa"/>
            <w:tcMar>
              <w:top w:w="60" w:type="dxa"/>
              <w:left w:w="120" w:type="dxa"/>
              <w:bottom w:w="30" w:type="dxa"/>
              <w:right w:w="120" w:type="dxa"/>
            </w:tcMar>
          </w:tcPr>
          <w:p w14:paraId="292018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详细说明</w:t>
            </w:r>
          </w:p>
        </w:tc>
      </w:tr>
      <w:tr w14:paraId="1F11E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B6CB9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总体目标</w:t>
            </w:r>
          </w:p>
        </w:tc>
        <w:tc>
          <w:tcPr>
            <w:tcW w:w="5425" w:type="dxa"/>
            <w:tcMar>
              <w:top w:w="60" w:type="dxa"/>
              <w:left w:w="120" w:type="dxa"/>
              <w:bottom w:w="30" w:type="dxa"/>
              <w:right w:w="120" w:type="dxa"/>
            </w:tcMar>
          </w:tcPr>
          <w:p w14:paraId="51240EA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建设基于物联网技术的物联标识系统，实现物联网设备的注册、审核、解析、标识管理，深化物联网设备信息应用；</w:t>
            </w:r>
          </w:p>
          <w:p w14:paraId="36285878">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打造统一设备标识管理体系，为设备新增、应用深化、数据共享及与业务系统深度融合提供技术基础。</w:t>
            </w:r>
          </w:p>
        </w:tc>
      </w:tr>
      <w:tr w14:paraId="47F74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EE720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总体计划</w:t>
            </w:r>
          </w:p>
        </w:tc>
        <w:tc>
          <w:tcPr>
            <w:tcW w:w="5425" w:type="dxa"/>
            <w:tcMar>
              <w:top w:w="60" w:type="dxa"/>
              <w:left w:w="120" w:type="dxa"/>
              <w:bottom w:w="30" w:type="dxa"/>
              <w:right w:w="120" w:type="dxa"/>
            </w:tcMar>
          </w:tcPr>
          <w:p w14:paraId="438D2E4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7</w:t>
            </w:r>
            <w:r>
              <w:rPr>
                <w:rFonts w:ascii="Arial" w:hAnsi="Arial" w:eastAsia="等线" w:cs="Arial"/>
                <w:sz w:val="22"/>
              </w:rPr>
              <w:t>月：完成需求调研、需求说明书编制、原型设计、数据库表设计及数据来源梳理；</w:t>
            </w:r>
          </w:p>
          <w:p w14:paraId="61B70DA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8</w:t>
            </w:r>
            <w:r>
              <w:rPr>
                <w:rFonts w:ascii="Arial" w:hAnsi="Arial" w:eastAsia="等线" w:cs="Arial"/>
                <w:sz w:val="22"/>
              </w:rPr>
              <w:t>-</w:t>
            </w:r>
            <w:r>
              <w:rPr>
                <w:rFonts w:hint="eastAsia" w:eastAsia="等线" w:cs="Arial"/>
                <w:sz w:val="22"/>
                <w:lang w:val="en-US" w:eastAsia="zh-CN"/>
              </w:rPr>
              <w:t>11</w:t>
            </w:r>
            <w:r>
              <w:rPr>
                <w:rFonts w:ascii="Arial" w:hAnsi="Arial" w:eastAsia="等线" w:cs="Arial"/>
                <w:sz w:val="22"/>
              </w:rPr>
              <w:t>月：完成UI设计、前端开发、后端开发、接口开发及数据联调；</w:t>
            </w:r>
          </w:p>
          <w:p w14:paraId="03BE15AA">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12</w:t>
            </w:r>
            <w:r>
              <w:rPr>
                <w:rFonts w:ascii="Arial" w:hAnsi="Arial" w:eastAsia="等线" w:cs="Arial"/>
                <w:sz w:val="22"/>
              </w:rPr>
              <w:t>月：完成系统联调及问题整改，达到上线标准；</w:t>
            </w:r>
          </w:p>
          <w:p w14:paraId="3DA07735">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6</w:t>
            </w:r>
            <w:r>
              <w:rPr>
                <w:rFonts w:ascii="Arial" w:hAnsi="Arial" w:eastAsia="等线" w:cs="Arial"/>
                <w:sz w:val="22"/>
              </w:rPr>
              <w:t>年</w:t>
            </w:r>
            <w:r>
              <w:rPr>
                <w:rFonts w:hint="eastAsia" w:eastAsia="等线" w:cs="Arial"/>
                <w:sz w:val="22"/>
                <w:lang w:val="en-US" w:eastAsia="zh-CN"/>
              </w:rPr>
              <w:t>1</w:t>
            </w:r>
            <w:r>
              <w:rPr>
                <w:rFonts w:ascii="Arial" w:hAnsi="Arial" w:eastAsia="等线" w:cs="Arial"/>
                <w:sz w:val="22"/>
              </w:rPr>
              <w:t>月：完成上线准备及部署。</w:t>
            </w:r>
          </w:p>
        </w:tc>
      </w:tr>
      <w:tr w14:paraId="7CC11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F959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当前进度</w:t>
            </w:r>
          </w:p>
        </w:tc>
        <w:tc>
          <w:tcPr>
            <w:tcW w:w="5425" w:type="dxa"/>
            <w:tcMar>
              <w:top w:w="60" w:type="dxa"/>
              <w:left w:w="120" w:type="dxa"/>
              <w:bottom w:w="30" w:type="dxa"/>
              <w:right w:w="120" w:type="dxa"/>
            </w:tcMar>
          </w:tcPr>
          <w:p w14:paraId="414F097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完成所有功能开发，进入试运行阶段</w:t>
            </w:r>
          </w:p>
        </w:tc>
      </w:tr>
    </w:tbl>
    <w:p w14:paraId="65BD166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_Toc19757"/>
      <w:r>
        <w:t>整体计划推进表</w:t>
      </w:r>
      <w:bookmarkEnd w:id="59"/>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1637"/>
        <w:gridCol w:w="3576"/>
        <w:gridCol w:w="2555"/>
      </w:tblGrid>
      <w:tr w14:paraId="1B34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194F959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任务阶段</w:t>
            </w:r>
          </w:p>
        </w:tc>
        <w:tc>
          <w:tcPr>
            <w:tcW w:w="1637" w:type="dxa"/>
          </w:tcPr>
          <w:p w14:paraId="470EA5E4">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时间节点</w:t>
            </w:r>
          </w:p>
        </w:tc>
        <w:tc>
          <w:tcPr>
            <w:tcW w:w="3576" w:type="dxa"/>
          </w:tcPr>
          <w:p w14:paraId="0F7FF8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vertAlign w:val="baseline"/>
                <w:lang w:val="en-US" w:eastAsia="zh-CN"/>
              </w:rPr>
            </w:pPr>
            <w:r>
              <w:rPr>
                <w:rFonts w:hint="eastAsia"/>
                <w:vertAlign w:val="baseline"/>
                <w:lang w:val="en-US" w:eastAsia="zh-CN"/>
              </w:rPr>
              <w:t>工作内容</w:t>
            </w:r>
          </w:p>
        </w:tc>
        <w:tc>
          <w:tcPr>
            <w:tcW w:w="2555" w:type="dxa"/>
          </w:tcPr>
          <w:p w14:paraId="5BB6C2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完成情况</w:t>
            </w:r>
          </w:p>
        </w:tc>
      </w:tr>
      <w:tr w14:paraId="42C1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586D222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需求调研</w:t>
            </w:r>
          </w:p>
        </w:tc>
        <w:tc>
          <w:tcPr>
            <w:tcW w:w="1637" w:type="dxa"/>
          </w:tcPr>
          <w:p w14:paraId="42491CF1">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2025年7月</w:t>
            </w:r>
          </w:p>
        </w:tc>
        <w:tc>
          <w:tcPr>
            <w:tcW w:w="3576" w:type="dxa"/>
          </w:tcPr>
          <w:p w14:paraId="4E16A36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完成需求调研，编制需求说明书，进行原型设计，完成数据库表设计和数据来源梳理</w:t>
            </w:r>
          </w:p>
        </w:tc>
        <w:tc>
          <w:tcPr>
            <w:tcW w:w="2555" w:type="dxa"/>
          </w:tcPr>
          <w:p w14:paraId="77357AA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111C2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jc w:val="center"/>
        </w:trPr>
        <w:tc>
          <w:tcPr>
            <w:tcW w:w="752" w:type="dxa"/>
          </w:tcPr>
          <w:p w14:paraId="187914B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开发</w:t>
            </w:r>
          </w:p>
        </w:tc>
        <w:tc>
          <w:tcPr>
            <w:tcW w:w="1637" w:type="dxa"/>
          </w:tcPr>
          <w:p w14:paraId="736C325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vertAlign w:val="baseline"/>
              </w:rPr>
            </w:pPr>
            <w:r>
              <w:rPr>
                <w:rFonts w:hint="eastAsia"/>
                <w:vertAlign w:val="baseline"/>
                <w:lang w:val="en-US" w:eastAsia="zh-CN"/>
              </w:rPr>
              <w:t>2025年8-11月</w:t>
            </w:r>
          </w:p>
        </w:tc>
        <w:tc>
          <w:tcPr>
            <w:tcW w:w="3576" w:type="dxa"/>
          </w:tcPr>
          <w:p w14:paraId="133B95D5">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完成前端页面开发和后台接口调试</w:t>
            </w:r>
          </w:p>
        </w:tc>
        <w:tc>
          <w:tcPr>
            <w:tcW w:w="2555" w:type="dxa"/>
          </w:tcPr>
          <w:p w14:paraId="2E683D9C">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2B8E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6D2BE5D8">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上线准备</w:t>
            </w:r>
          </w:p>
        </w:tc>
        <w:tc>
          <w:tcPr>
            <w:tcW w:w="1637" w:type="dxa"/>
          </w:tcPr>
          <w:p w14:paraId="5F07FEA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2025年12月</w:t>
            </w:r>
          </w:p>
        </w:tc>
        <w:tc>
          <w:tcPr>
            <w:tcW w:w="3576" w:type="dxa"/>
          </w:tcPr>
          <w:p w14:paraId="6E14DED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进行联调，解决已知问题，达到上线标准</w:t>
            </w:r>
          </w:p>
        </w:tc>
        <w:tc>
          <w:tcPr>
            <w:tcW w:w="2555" w:type="dxa"/>
          </w:tcPr>
          <w:p w14:paraId="330A037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4479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67D7B64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系统上线</w:t>
            </w:r>
          </w:p>
        </w:tc>
        <w:tc>
          <w:tcPr>
            <w:tcW w:w="1637" w:type="dxa"/>
          </w:tcPr>
          <w:p w14:paraId="11C1357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2026年1月</w:t>
            </w:r>
          </w:p>
        </w:tc>
        <w:tc>
          <w:tcPr>
            <w:tcW w:w="3576" w:type="dxa"/>
          </w:tcPr>
          <w:p w14:paraId="5618344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完成系统上线</w:t>
            </w:r>
          </w:p>
        </w:tc>
        <w:tc>
          <w:tcPr>
            <w:tcW w:w="2555" w:type="dxa"/>
          </w:tcPr>
          <w:p w14:paraId="0CBFC28D">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bl>
    <w:p w14:paraId="0F934EE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7968"/>
      <w:r>
        <w:t>整体功能介绍</w:t>
      </w:r>
      <w:bookmarkEnd w:id="60"/>
    </w:p>
    <w:p w14:paraId="209F281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rPr>
          <w:rFonts w:hint="eastAsia"/>
          <w:lang w:val="en-US" w:eastAsia="zh-CN"/>
        </w:rPr>
      </w:pPr>
      <w:r>
        <w:t>系统核心模块包括标识管理、标识数据统计、数据同步、系统管理（用户/组织/菜单/角色管理）及移动应用，实现物联网设备全生命周期管理与数据服务。</w:t>
      </w:r>
      <w:r>
        <w:rPr>
          <w:rFonts w:hint="eastAsia"/>
          <w:lang w:val="en-US" w:eastAsia="zh-CN"/>
        </w:rPr>
        <w:t>如图1所示</w:t>
      </w:r>
    </w:p>
    <w:p w14:paraId="615515F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drawing>
          <wp:inline distT="0" distB="0" distL="114300" distR="114300">
            <wp:extent cx="5268595" cy="2981325"/>
            <wp:effectExtent l="0" t="0" r="4445" b="571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8"/>
                    <a:stretch>
                      <a:fillRect/>
                    </a:stretch>
                  </pic:blipFill>
                  <pic:spPr>
                    <a:xfrm>
                      <a:off x="0" y="0"/>
                      <a:ext cx="5268595" cy="2981325"/>
                    </a:xfrm>
                    <a:prstGeom prst="rect">
                      <a:avLst/>
                    </a:prstGeom>
                    <a:noFill/>
                    <a:ln>
                      <a:noFill/>
                    </a:ln>
                  </pic:spPr>
                </pic:pic>
              </a:graphicData>
            </a:graphic>
          </wp:inline>
        </w:drawing>
      </w:r>
    </w:p>
    <w:p w14:paraId="46E96098">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标识管理模块支持批量二维码生成、Excel导出、二维码下载及标识置为无效等功能，满足设备标识批量操作需求。</w:t>
      </w:r>
      <w:r>
        <w:rPr>
          <w:rFonts w:hint="eastAsia"/>
          <w:lang w:val="en-US" w:eastAsia="zh-CN"/>
        </w:rPr>
        <w:t>如图2所示</w:t>
      </w:r>
    </w:p>
    <w:p w14:paraId="5209E3F1">
      <w:pPr>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both"/>
        <w:textAlignment w:val="baseline"/>
      </w:pPr>
      <w:r>
        <w:drawing>
          <wp:inline distT="0" distB="0" distL="114300" distR="114300">
            <wp:extent cx="5264785" cy="2874010"/>
            <wp:effectExtent l="0" t="0" r="12065"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9"/>
                    <a:stretch>
                      <a:fillRect/>
                    </a:stretch>
                  </pic:blipFill>
                  <pic:spPr>
                    <a:xfrm>
                      <a:off x="0" y="0"/>
                      <a:ext cx="5264785" cy="2874010"/>
                    </a:xfrm>
                    <a:prstGeom prst="rect">
                      <a:avLst/>
                    </a:prstGeom>
                    <a:noFill/>
                    <a:ln>
                      <a:noFill/>
                    </a:ln>
                  </pic:spPr>
                </pic:pic>
              </a:graphicData>
            </a:graphic>
          </wp:inline>
        </w:drawing>
      </w:r>
    </w:p>
    <w:p w14:paraId="473F33F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23793"/>
      <w:r>
        <w:t>主要模块详情</w:t>
      </w:r>
      <w:bookmarkEnd w:id="61"/>
    </w:p>
    <w:p w14:paraId="4BEAD5DE">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数据统计</w:t>
      </w:r>
    </w:p>
    <w:p w14:paraId="132144B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Style w:val="42"/>
        </w:rPr>
        <w:t>以单位、设备类型为统计维度，采用柱状图可视化展示数据，支持全局及明细数据查看，助力设备分布与数量分析。</w:t>
      </w:r>
      <w:r>
        <w:drawing>
          <wp:inline distT="0" distB="0" distL="114300" distR="114300">
            <wp:extent cx="5269865" cy="2148840"/>
            <wp:effectExtent l="0" t="0" r="3175"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0"/>
                    <a:stretch>
                      <a:fillRect/>
                    </a:stretch>
                  </pic:blipFill>
                  <pic:spPr>
                    <a:xfrm>
                      <a:off x="0" y="0"/>
                      <a:ext cx="5269865" cy="2148840"/>
                    </a:xfrm>
                    <a:prstGeom prst="rect">
                      <a:avLst/>
                    </a:prstGeom>
                    <a:noFill/>
                    <a:ln>
                      <a:noFill/>
                    </a:ln>
                  </pic:spPr>
                </pic:pic>
              </a:graphicData>
            </a:graphic>
          </wp:inline>
        </w:drawing>
      </w:r>
    </w:p>
    <w:p w14:paraId="41E8C431">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72405" cy="2384425"/>
            <wp:effectExtent l="0" t="0" r="635" b="825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5272405" cy="2384425"/>
                    </a:xfrm>
                    <a:prstGeom prst="rect">
                      <a:avLst/>
                    </a:prstGeom>
                    <a:noFill/>
                    <a:ln>
                      <a:noFill/>
                    </a:ln>
                  </pic:spPr>
                </pic:pic>
              </a:graphicData>
            </a:graphic>
          </wp:inline>
        </w:drawing>
      </w:r>
    </w:p>
    <w:p w14:paraId="59309B3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数据同步</w:t>
      </w:r>
    </w:p>
    <w:p w14:paraId="61614E8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实现与ISC系统的用户及组织信息同步，确保标识系统内的人员机构信息与主库一致，保障数据准确性。</w:t>
      </w:r>
      <w:r>
        <w:rPr>
          <w:rFonts w:hint="eastAsia"/>
          <w:lang w:val="en-US" w:eastAsia="zh-CN"/>
        </w:rPr>
        <w:t>如下图所示</w:t>
      </w:r>
      <w:r>
        <w:drawing>
          <wp:inline distT="0" distB="0" distL="114300" distR="114300">
            <wp:extent cx="5262880" cy="2773680"/>
            <wp:effectExtent l="0" t="0" r="1397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262880" cy="2773680"/>
                    </a:xfrm>
                    <a:prstGeom prst="rect">
                      <a:avLst/>
                    </a:prstGeom>
                    <a:noFill/>
                    <a:ln>
                      <a:noFill/>
                    </a:ln>
                  </pic:spPr>
                </pic:pic>
              </a:graphicData>
            </a:graphic>
          </wp:inline>
        </w:drawing>
      </w:r>
    </w:p>
    <w:p w14:paraId="31B7F640">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78C5A52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系统管理</w:t>
      </w:r>
    </w:p>
    <w:p w14:paraId="21BE41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Style w:val="42"/>
          <w:rFonts w:hint="eastAsia"/>
          <w:lang w:val="en-US"/>
        </w:rPr>
      </w:pPr>
      <w:r>
        <w:t>菜单管理支持自定义菜单名称、URL、路径、排序及显示状态等配置，提供返回、保存、删除及添加下级等操作按钮；组织管理记录组织名称、上级机构及创建时间等核心信息，支撑系统权限精细化管控。</w:t>
      </w:r>
      <w:r>
        <w:rPr>
          <w:rFonts w:hint="eastAsia"/>
          <w:lang w:val="en-US"/>
        </w:rPr>
        <w:t>如下图所示</w:t>
      </w:r>
    </w:p>
    <w:p w14:paraId="478D3BA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2880" cy="2108835"/>
            <wp:effectExtent l="0" t="0" r="10160" b="952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13"/>
                    <a:stretch>
                      <a:fillRect/>
                    </a:stretch>
                  </pic:blipFill>
                  <pic:spPr>
                    <a:xfrm>
                      <a:off x="0" y="0"/>
                      <a:ext cx="5262880" cy="2108835"/>
                    </a:xfrm>
                    <a:prstGeom prst="rect">
                      <a:avLst/>
                    </a:prstGeom>
                    <a:noFill/>
                    <a:ln>
                      <a:noFill/>
                    </a:ln>
                  </pic:spPr>
                </pic:pic>
              </a:graphicData>
            </a:graphic>
          </wp:inline>
        </w:drawing>
      </w:r>
      <w:r>
        <w:rPr>
          <w:rFonts w:ascii="Arial" w:hAnsi="Arial" w:eastAsia="等线" w:cs="Arial"/>
          <w:sz w:val="22"/>
        </w:rPr>
        <w:br w:type="textWrapping"/>
      </w:r>
      <w:r>
        <w:drawing>
          <wp:inline distT="0" distB="0" distL="114300" distR="114300">
            <wp:extent cx="5269230" cy="1821815"/>
            <wp:effectExtent l="0" t="0" r="7620" b="698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5269230" cy="1821815"/>
                    </a:xfrm>
                    <a:prstGeom prst="rect">
                      <a:avLst/>
                    </a:prstGeom>
                    <a:noFill/>
                    <a:ln>
                      <a:noFill/>
                    </a:ln>
                  </pic:spPr>
                </pic:pic>
              </a:graphicData>
            </a:graphic>
          </wp:inline>
        </w:drawing>
      </w:r>
    </w:p>
    <w:p w14:paraId="1D067FD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支持权限管理功能，实现按需分配权限。进行严格管控</w:t>
      </w:r>
    </w:p>
    <w:p w14:paraId="48CE793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6690" cy="2153285"/>
            <wp:effectExtent l="0" t="0" r="10160" b="1841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5"/>
                    <a:stretch>
                      <a:fillRect/>
                    </a:stretch>
                  </pic:blipFill>
                  <pic:spPr>
                    <a:xfrm>
                      <a:off x="0" y="0"/>
                      <a:ext cx="5266690" cy="2153285"/>
                    </a:xfrm>
                    <a:prstGeom prst="rect">
                      <a:avLst/>
                    </a:prstGeom>
                    <a:noFill/>
                    <a:ln>
                      <a:noFill/>
                    </a:ln>
                  </pic:spPr>
                </pic:pic>
              </a:graphicData>
            </a:graphic>
          </wp:inline>
        </w:drawing>
      </w:r>
    </w:p>
    <w:p w14:paraId="2446A883">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9230" cy="1311275"/>
            <wp:effectExtent l="0" t="0" r="7620" b="317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6"/>
                    <a:stretch>
                      <a:fillRect/>
                    </a:stretch>
                  </pic:blipFill>
                  <pic:spPr>
                    <a:xfrm>
                      <a:off x="0" y="0"/>
                      <a:ext cx="5269230" cy="1311275"/>
                    </a:xfrm>
                    <a:prstGeom prst="rect">
                      <a:avLst/>
                    </a:prstGeom>
                    <a:noFill/>
                    <a:ln>
                      <a:noFill/>
                    </a:ln>
                  </pic:spPr>
                </pic:pic>
              </a:graphicData>
            </a:graphic>
          </wp:inline>
        </w:drawing>
      </w:r>
    </w:p>
    <w:p w14:paraId="224E908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同时支持设备管理功能</w:t>
      </w:r>
    </w:p>
    <w:p w14:paraId="69A9770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lang w:val="en-US" w:eastAsia="zh-CN"/>
        </w:rPr>
      </w:pPr>
      <w:r>
        <w:drawing>
          <wp:inline distT="0" distB="0" distL="114300" distR="114300">
            <wp:extent cx="5273040" cy="2824480"/>
            <wp:effectExtent l="0" t="0" r="3810" b="1397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7"/>
                    <a:stretch>
                      <a:fillRect/>
                    </a:stretch>
                  </pic:blipFill>
                  <pic:spPr>
                    <a:xfrm>
                      <a:off x="0" y="0"/>
                      <a:ext cx="5273040" cy="2824480"/>
                    </a:xfrm>
                    <a:prstGeom prst="rect">
                      <a:avLst/>
                    </a:prstGeom>
                    <a:noFill/>
                    <a:ln>
                      <a:noFill/>
                    </a:ln>
                  </pic:spPr>
                </pic:pic>
              </a:graphicData>
            </a:graphic>
          </wp:inline>
        </w:drawing>
      </w:r>
    </w:p>
    <w:p w14:paraId="39DEEE6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2" w:name="_Toc13746"/>
      <w:r>
        <w:t>产品功能与实现目标</w:t>
      </w:r>
      <w:bookmarkEnd w:id="62"/>
    </w:p>
    <w:p w14:paraId="0627B9A5">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textAlignment w:val="baseline"/>
      </w:pPr>
      <w:r>
        <w:t>产品功能</w:t>
      </w:r>
    </w:p>
    <w:p w14:paraId="7DBEF77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支持海量采集终端与边缘物联代理的统一在线管理及远程运维；助力专业智能应用快速迭代升级，构建开放共享生态；实现采集数据标准化处理与存量系统接入，向企业中台及业务系统开放标准化数据接口。</w:t>
      </w:r>
    </w:p>
    <w:p w14:paraId="7679278F">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textAlignment w:val="baseline"/>
      </w:pPr>
      <w:r>
        <w:t>实现目标</w:t>
      </w:r>
    </w:p>
    <w:p w14:paraId="13902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规范终端接入标准，整合终端信息存储；依托云平台与数据中台，强化物联平台服务能力；以服务、运维及数据可视化技术驱动业务，支撑各业务系统与物联平台对接，提升终端运维管理效率。</w:t>
      </w:r>
    </w:p>
    <w:p w14:paraId="3ED838C1">
      <w:pPr>
        <w:pStyle w:val="31"/>
        <w:bidi w:val="0"/>
        <w:rPr>
          <w:rFonts w:hint="default"/>
          <w:lang w:val="en-US" w:eastAsia="zh-CN"/>
        </w:rPr>
      </w:pPr>
      <w:bookmarkStart w:id="63" w:name="_Toc598"/>
      <w:bookmarkStart w:id="64" w:name="_Toc11589"/>
      <w:r>
        <w:rPr>
          <w:rFonts w:hint="eastAsia"/>
          <w:lang w:val="en-US" w:eastAsia="zh-CN"/>
        </w:rPr>
        <w:t>实际项目应用</w:t>
      </w:r>
      <w:bookmarkEnd w:id="63"/>
      <w:bookmarkEnd w:id="64"/>
    </w:p>
    <w:p w14:paraId="03829573">
      <w:pPr>
        <w:pStyle w:val="29"/>
        <w:rPr>
          <w:rFonts w:hint="default"/>
          <w:lang w:val="en-US" w:eastAsia="zh-CN"/>
        </w:rPr>
      </w:pPr>
      <w:r>
        <w:rPr>
          <w:rFonts w:hint="default"/>
          <w:lang w:val="en-US" w:eastAsia="zh-CN"/>
        </w:rPr>
        <w:t>物联标识系统已成功应用于国网天津电力电缆运维管理试点项目，覆盖5座110kV变电站的出线电缆及通道，累计完成1200余个电缆接头、井盖及附属设备的物联标识部署。现场运维人员通过移动端扫码，即可实时获取设备台账、历史试验报告、故障记录等全寿命信息，单次巡检平均耗时由原来的45分钟缩短至20分钟，效率提升55%以上。在2025年12月的一次电缆故障抢修中，运维人员通过扫码快速获取故障区段内所有接头的历史试验数据，精准定位疑似故障点，抢修时长由以往的平均4小时压缩至2.5小时，获得客户高度认可。目前系统已纳入天津电力数字化运维试点推广计划，2026年拟扩大至3个供电服务中心。</w:t>
      </w:r>
    </w:p>
    <w:p w14:paraId="3D803BE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_Toc22457"/>
      <w:r>
        <w:t>隔离装置监控处置工具</w:t>
      </w:r>
      <w:bookmarkEnd w:id="65"/>
    </w:p>
    <w:p w14:paraId="00767B0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_Toc8388"/>
      <w:r>
        <w:t>项目总体</w:t>
      </w:r>
      <w:r>
        <w:rPr>
          <w:rFonts w:hint="eastAsia"/>
          <w:lang w:val="en-US" w:eastAsia="zh-CN"/>
        </w:rPr>
        <w:t>概况</w:t>
      </w:r>
      <w:bookmarkEnd w:id="6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5"/>
        <w:gridCol w:w="7044"/>
      </w:tblGrid>
      <w:tr w14:paraId="25DB7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7458C9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内容分类</w:t>
            </w:r>
          </w:p>
        </w:tc>
        <w:tc>
          <w:tcPr>
            <w:tcW w:w="7044" w:type="dxa"/>
            <w:tcMar>
              <w:top w:w="60" w:type="dxa"/>
              <w:left w:w="120" w:type="dxa"/>
              <w:bottom w:w="30" w:type="dxa"/>
              <w:right w:w="120" w:type="dxa"/>
            </w:tcMar>
          </w:tcPr>
          <w:p w14:paraId="5013DA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详细说明</w:t>
            </w:r>
          </w:p>
        </w:tc>
      </w:tr>
      <w:tr w14:paraId="3B10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57E1E2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总体目标</w:t>
            </w:r>
          </w:p>
        </w:tc>
        <w:tc>
          <w:tcPr>
            <w:tcW w:w="7044" w:type="dxa"/>
            <w:tcMar>
              <w:top w:w="60" w:type="dxa"/>
              <w:left w:w="120" w:type="dxa"/>
              <w:bottom w:w="30" w:type="dxa"/>
              <w:right w:w="120" w:type="dxa"/>
            </w:tcMar>
          </w:tcPr>
          <w:p w14:paraId="7F005B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深入研究隔离装置工作原理，研发自动监测处置工具，在不影响业务运行的前提下，通过实时监测与故障处理功能，5分钟内完成自动故障处置，提升外网业务系统运行稳定性。</w:t>
            </w:r>
          </w:p>
        </w:tc>
      </w:tr>
      <w:tr w14:paraId="2F897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3A501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总体计划</w:t>
            </w:r>
          </w:p>
        </w:tc>
        <w:tc>
          <w:tcPr>
            <w:tcW w:w="7044" w:type="dxa"/>
            <w:tcMar>
              <w:top w:w="60" w:type="dxa"/>
              <w:left w:w="120" w:type="dxa"/>
              <w:bottom w:w="30" w:type="dxa"/>
              <w:right w:w="120" w:type="dxa"/>
            </w:tcMar>
          </w:tcPr>
          <w:p w14:paraId="76A18BB7">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7-8</w:t>
            </w:r>
            <w:r>
              <w:rPr>
                <w:rFonts w:ascii="Arial" w:hAnsi="Arial" w:eastAsia="等线" w:cs="Arial"/>
                <w:sz w:val="22"/>
              </w:rPr>
              <w:t>月：完成需求收集与确认；</w:t>
            </w:r>
          </w:p>
          <w:p w14:paraId="3488FB41">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9-11</w:t>
            </w:r>
            <w:r>
              <w:rPr>
                <w:rFonts w:ascii="Arial" w:hAnsi="Arial" w:eastAsia="等线" w:cs="Arial"/>
                <w:sz w:val="22"/>
              </w:rPr>
              <w:t>月：开展四大功能模块（探测及处理、日志记录、短信邮件告警、日志审计）迭代研发与测试；</w:t>
            </w:r>
          </w:p>
          <w:p w14:paraId="280038AB">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12</w:t>
            </w:r>
            <w:r>
              <w:rPr>
                <w:rFonts w:ascii="Arial" w:hAnsi="Arial" w:eastAsia="等线" w:cs="Arial"/>
                <w:sz w:val="22"/>
              </w:rPr>
              <w:t>月：完成线上部署试用</w:t>
            </w:r>
            <w:r>
              <w:rPr>
                <w:rFonts w:hint="eastAsia" w:eastAsia="等线" w:cs="Arial"/>
                <w:sz w:val="22"/>
                <w:lang w:val="en-US" w:eastAsia="zh-CN"/>
              </w:rPr>
              <w:t>并进行BUG修复</w:t>
            </w:r>
            <w:r>
              <w:rPr>
                <w:rFonts w:ascii="Arial" w:hAnsi="Arial" w:eastAsia="等线" w:cs="Arial"/>
                <w:sz w:val="22"/>
              </w:rPr>
              <w:t>；</w:t>
            </w:r>
          </w:p>
          <w:p w14:paraId="62A1DED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2026年1月：上线试运行</w:t>
            </w:r>
          </w:p>
          <w:p w14:paraId="06F3C0FF">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6</w:t>
            </w:r>
            <w:r>
              <w:rPr>
                <w:rFonts w:ascii="Arial" w:hAnsi="Arial" w:eastAsia="等线" w:cs="Arial"/>
                <w:sz w:val="22"/>
              </w:rPr>
              <w:t>年</w:t>
            </w:r>
            <w:r>
              <w:rPr>
                <w:rFonts w:hint="eastAsia" w:eastAsia="等线" w:cs="Arial"/>
                <w:sz w:val="22"/>
                <w:lang w:val="en-US" w:eastAsia="zh-CN"/>
              </w:rPr>
              <w:t>2</w:t>
            </w:r>
            <w:r>
              <w:rPr>
                <w:rFonts w:ascii="Arial" w:hAnsi="Arial" w:eastAsia="等线" w:cs="Arial"/>
                <w:sz w:val="22"/>
              </w:rPr>
              <w:t>-</w:t>
            </w:r>
            <w:r>
              <w:rPr>
                <w:rFonts w:hint="eastAsia" w:eastAsia="等线" w:cs="Arial"/>
                <w:sz w:val="22"/>
                <w:lang w:val="en-US" w:eastAsia="zh-CN"/>
              </w:rPr>
              <w:t>3</w:t>
            </w:r>
            <w:r>
              <w:rPr>
                <w:rFonts w:ascii="Arial" w:hAnsi="Arial" w:eastAsia="等线" w:cs="Arial"/>
                <w:sz w:val="22"/>
              </w:rPr>
              <w:t>月：</w:t>
            </w:r>
            <w:r>
              <w:rPr>
                <w:rFonts w:hint="eastAsia" w:eastAsia="等线" w:cs="Arial"/>
                <w:sz w:val="22"/>
                <w:lang w:val="en-US" w:eastAsia="zh-CN"/>
              </w:rPr>
              <w:t>验收</w:t>
            </w:r>
            <w:r>
              <w:rPr>
                <w:rFonts w:ascii="Arial" w:hAnsi="Arial" w:eastAsia="等线" w:cs="Arial"/>
                <w:sz w:val="22"/>
              </w:rPr>
              <w:t>；</w:t>
            </w:r>
          </w:p>
        </w:tc>
      </w:tr>
      <w:tr w14:paraId="0C06F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40998F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当前进度</w:t>
            </w:r>
          </w:p>
        </w:tc>
        <w:tc>
          <w:tcPr>
            <w:tcW w:w="7044" w:type="dxa"/>
            <w:tcMar>
              <w:top w:w="60" w:type="dxa"/>
              <w:left w:w="120" w:type="dxa"/>
              <w:bottom w:w="30" w:type="dxa"/>
              <w:right w:w="120" w:type="dxa"/>
            </w:tcMar>
          </w:tcPr>
          <w:p w14:paraId="534152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上线试运行</w:t>
            </w:r>
          </w:p>
        </w:tc>
      </w:tr>
      <w:tr w14:paraId="267A5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6F7830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本月任务</w:t>
            </w:r>
          </w:p>
        </w:tc>
        <w:tc>
          <w:tcPr>
            <w:tcW w:w="7044" w:type="dxa"/>
            <w:tcMar>
              <w:top w:w="60" w:type="dxa"/>
              <w:left w:w="120" w:type="dxa"/>
              <w:bottom w:w="30" w:type="dxa"/>
              <w:right w:w="120" w:type="dxa"/>
            </w:tcMar>
          </w:tcPr>
          <w:p w14:paraId="2DCDA6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上线试运行，维护系统稳定</w:t>
            </w:r>
          </w:p>
        </w:tc>
      </w:tr>
      <w:tr w14:paraId="63F0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349E94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待协调事项</w:t>
            </w:r>
          </w:p>
        </w:tc>
        <w:tc>
          <w:tcPr>
            <w:tcW w:w="7044" w:type="dxa"/>
            <w:tcMar>
              <w:top w:w="60" w:type="dxa"/>
              <w:left w:w="120" w:type="dxa"/>
              <w:bottom w:w="30" w:type="dxa"/>
              <w:right w:w="120" w:type="dxa"/>
            </w:tcMar>
          </w:tcPr>
          <w:p w14:paraId="3ABE72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tc>
      </w:tr>
      <w:tr w14:paraId="09529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6664D6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现存问题</w:t>
            </w:r>
          </w:p>
        </w:tc>
        <w:tc>
          <w:tcPr>
            <w:tcW w:w="7044" w:type="dxa"/>
            <w:tcMar>
              <w:top w:w="60" w:type="dxa"/>
              <w:left w:w="120" w:type="dxa"/>
              <w:bottom w:w="30" w:type="dxa"/>
              <w:right w:w="120" w:type="dxa"/>
            </w:tcMar>
          </w:tcPr>
          <w:p w14:paraId="0F4487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tc>
      </w:tr>
    </w:tbl>
    <w:p w14:paraId="369E179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7" w:name="_Toc14498"/>
      <w:r>
        <w:t>整体功能介绍</w:t>
      </w:r>
      <w:bookmarkEnd w:id="67"/>
    </w:p>
    <w:p w14:paraId="6CE433A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系统包含监测及处置、日志记录、短信邮件告警、日志审计四大核心模块，实现隔离装置的实时监测与智能化故障处理，解决传统人工运维效率低的问题，提升外网业务系统稳定性。</w:t>
      </w:r>
    </w:p>
    <w:p w14:paraId="24587D4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29558"/>
      <w:r>
        <w:t>主要模块详情</w:t>
      </w:r>
      <w:bookmarkEnd w:id="68"/>
    </w:p>
    <w:p w14:paraId="10D5CB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监控模块是核心功能载体，实现隔离装置设备线上化管理与实时监控，具备5分钟自动巡检、异常关闭后自动重启等能力，彻底实现隔离装置运维自动化，减少人工干预成本。</w:t>
      </w:r>
      <w:r>
        <w:rPr>
          <w:rFonts w:hint="eastAsia"/>
          <w:lang w:val="en-US" w:eastAsia="zh-CN"/>
        </w:rPr>
        <w:t>监控功能支持总体查看设备负载趋势，如下图：</w:t>
      </w:r>
    </w:p>
    <w:p w14:paraId="45AF0C3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59070" cy="2442845"/>
            <wp:effectExtent l="0" t="0" r="13970" b="10795"/>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pic:cNvPicPr>
                  </pic:nvPicPr>
                  <pic:blipFill>
                    <a:blip r:embed="rId18"/>
                    <a:stretch>
                      <a:fillRect/>
                    </a:stretch>
                  </pic:blipFill>
                  <pic:spPr>
                    <a:xfrm>
                      <a:off x="0" y="0"/>
                      <a:ext cx="5259070" cy="2442845"/>
                    </a:xfrm>
                    <a:prstGeom prst="rect">
                      <a:avLst/>
                    </a:prstGeom>
                    <a:noFill/>
                    <a:ln>
                      <a:noFill/>
                    </a:ln>
                  </pic:spPr>
                </pic:pic>
              </a:graphicData>
            </a:graphic>
          </wp:inline>
        </w:drawing>
      </w:r>
    </w:p>
    <w:p w14:paraId="6182DC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日志记录系统的操作情况，如下图：</w:t>
      </w:r>
    </w:p>
    <w:p w14:paraId="5674501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65420" cy="2091690"/>
            <wp:effectExtent l="0" t="0" r="11430" b="381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19"/>
                    <a:stretch>
                      <a:fillRect/>
                    </a:stretch>
                  </pic:blipFill>
                  <pic:spPr>
                    <a:xfrm>
                      <a:off x="0" y="0"/>
                      <a:ext cx="5265420" cy="2091690"/>
                    </a:xfrm>
                    <a:prstGeom prst="rect">
                      <a:avLst/>
                    </a:prstGeom>
                    <a:noFill/>
                    <a:ln>
                      <a:noFill/>
                    </a:ln>
                  </pic:spPr>
                </pic:pic>
              </a:graphicData>
            </a:graphic>
          </wp:inline>
        </w:drawing>
      </w:r>
    </w:p>
    <w:p w14:paraId="5CBFD3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短信邮件告警功能主要是实现对异常设备进行通知</w:t>
      </w:r>
    </w:p>
    <w:p w14:paraId="11289C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3040" cy="3006725"/>
            <wp:effectExtent l="0" t="0" r="0" b="10795"/>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20"/>
                    <a:stretch>
                      <a:fillRect/>
                    </a:stretch>
                  </pic:blipFill>
                  <pic:spPr>
                    <a:xfrm>
                      <a:off x="0" y="0"/>
                      <a:ext cx="5273040" cy="3006725"/>
                    </a:xfrm>
                    <a:prstGeom prst="rect">
                      <a:avLst/>
                    </a:prstGeom>
                    <a:noFill/>
                    <a:ln>
                      <a:noFill/>
                    </a:ln>
                  </pic:spPr>
                </pic:pic>
              </a:graphicData>
            </a:graphic>
          </wp:inline>
        </w:drawing>
      </w:r>
    </w:p>
    <w:p w14:paraId="0E243C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日志审计功能</w:t>
      </w:r>
    </w:p>
    <w:p w14:paraId="09F5C2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7960" cy="1692910"/>
            <wp:effectExtent l="0" t="0" r="5080" b="13970"/>
            <wp:docPr id="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5"/>
                    <pic:cNvPicPr>
                      <a:picLocks noChangeAspect="1"/>
                    </pic:cNvPicPr>
                  </pic:nvPicPr>
                  <pic:blipFill>
                    <a:blip r:embed="rId21"/>
                    <a:stretch>
                      <a:fillRect/>
                    </a:stretch>
                  </pic:blipFill>
                  <pic:spPr>
                    <a:xfrm>
                      <a:off x="0" y="0"/>
                      <a:ext cx="5267960" cy="1692910"/>
                    </a:xfrm>
                    <a:prstGeom prst="rect">
                      <a:avLst/>
                    </a:prstGeom>
                    <a:noFill/>
                    <a:ln>
                      <a:noFill/>
                    </a:ln>
                  </pic:spPr>
                </pic:pic>
              </a:graphicData>
            </a:graphic>
          </wp:inline>
        </w:drawing>
      </w:r>
    </w:p>
    <w:p w14:paraId="13B4A52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heading_17"/>
      <w:bookmarkStart w:id="70" w:name="_Toc26972"/>
      <w:r>
        <w:t>产品功能与实现目标</w:t>
      </w:r>
      <w:bookmarkEnd w:id="69"/>
      <w:bookmarkEnd w:id="70"/>
    </w:p>
    <w:p w14:paraId="5F458C7D">
      <w:pPr>
        <w:pStyle w:val="29"/>
        <w:numPr>
          <w:ilvl w:val="0"/>
          <w:numId w:val="16"/>
        </w:numPr>
        <w:bidi w:val="0"/>
        <w:ind w:left="425" w:leftChars="0" w:hanging="425" w:firstLineChars="0"/>
      </w:pPr>
      <w:r>
        <w:t>产品功能</w:t>
      </w:r>
    </w:p>
    <w:p w14:paraId="29CAAAF6">
      <w:pPr>
        <w:pStyle w:val="29"/>
        <w:numPr>
          <w:ilvl w:val="0"/>
          <w:numId w:val="0"/>
        </w:numPr>
        <w:bidi w:val="0"/>
        <w:ind w:firstLine="420" w:firstLineChars="0"/>
      </w:pPr>
      <w:r>
        <w:t>实现隔离装置代理数据库可用性探测</w:t>
      </w:r>
    </w:p>
    <w:p w14:paraId="55F4385D">
      <w:pPr>
        <w:pStyle w:val="29"/>
        <w:numPr>
          <w:ilvl w:val="0"/>
          <w:numId w:val="0"/>
        </w:numPr>
        <w:bidi w:val="0"/>
        <w:ind w:firstLine="420" w:firstLineChars="0"/>
      </w:pPr>
      <w:r>
        <w:t>对探测失败的隔离装置代理进程自动重启</w:t>
      </w:r>
    </w:p>
    <w:p w14:paraId="5089AE79">
      <w:pPr>
        <w:pStyle w:val="29"/>
        <w:numPr>
          <w:ilvl w:val="0"/>
          <w:numId w:val="0"/>
        </w:numPr>
        <w:bidi w:val="0"/>
        <w:ind w:firstLine="420" w:firstLineChars="0"/>
      </w:pPr>
      <w:r>
        <w:t>记录并在监控页面展示探测失败日志</w:t>
      </w:r>
    </w:p>
    <w:p w14:paraId="35C66872">
      <w:pPr>
        <w:pStyle w:val="29"/>
        <w:numPr>
          <w:ilvl w:val="0"/>
          <w:numId w:val="0"/>
        </w:numPr>
        <w:bidi w:val="0"/>
        <w:ind w:firstLine="420" w:firstLineChars="0"/>
      </w:pPr>
      <w:r>
        <w:t>支持短信及邮件告警功能，及时推送故障信息</w:t>
      </w:r>
    </w:p>
    <w:p w14:paraId="4867D13B">
      <w:pPr>
        <w:pStyle w:val="29"/>
        <w:numPr>
          <w:ilvl w:val="0"/>
          <w:numId w:val="0"/>
        </w:numPr>
        <w:bidi w:val="0"/>
        <w:ind w:firstLine="420" w:firstLineChars="0"/>
      </w:pPr>
      <w:r>
        <w:t>具备日志审计能力，确保所有操作可追溯。</w:t>
      </w:r>
    </w:p>
    <w:p w14:paraId="143579A0">
      <w:pPr>
        <w:pStyle w:val="29"/>
        <w:numPr>
          <w:ilvl w:val="0"/>
          <w:numId w:val="16"/>
        </w:numPr>
        <w:bidi w:val="0"/>
        <w:ind w:left="425" w:leftChars="0" w:hanging="425" w:firstLineChars="0"/>
      </w:pPr>
      <w:r>
        <w:t>实现目标</w:t>
      </w:r>
    </w:p>
    <w:p w14:paraId="15F1F290">
      <w:pPr>
        <w:pStyle w:val="29"/>
        <w:bidi w:val="0"/>
      </w:pPr>
      <w:r>
        <w:t>解决隔离装置代理进程“SQLproxy”假死问题。该问题会导致微信公众号、外网门户等重要系统无法正常使用，且传统依赖人工重启的方式效率低下。本工具通过自动化监测与处置，5分钟内完成故障修复，大幅提升内外网业务系统运行可靠性，改善客户体验与工作效率。</w:t>
      </w:r>
    </w:p>
    <w:p w14:paraId="4AE8DCCB">
      <w:pPr>
        <w:pStyle w:val="31"/>
        <w:bidi w:val="0"/>
        <w:rPr>
          <w:rFonts w:hint="eastAsia"/>
          <w:lang w:val="en-US" w:eastAsia="zh-CN"/>
        </w:rPr>
      </w:pPr>
      <w:bookmarkStart w:id="71" w:name="_Toc6509"/>
      <w:bookmarkStart w:id="72" w:name="_Toc19320"/>
      <w:r>
        <w:rPr>
          <w:rFonts w:hint="eastAsia"/>
          <w:lang w:val="en-US" w:eastAsia="zh-CN"/>
        </w:rPr>
        <w:t>实际项目应用</w:t>
      </w:r>
      <w:bookmarkEnd w:id="71"/>
      <w:bookmarkEnd w:id="72"/>
    </w:p>
    <w:p w14:paraId="4AAA2FED">
      <w:pPr>
        <w:pStyle w:val="29"/>
        <w:rPr>
          <w:rFonts w:hint="eastAsia"/>
          <w:lang w:val="en-US" w:eastAsia="zh-CN"/>
        </w:rPr>
      </w:pPr>
      <w:r>
        <w:rPr>
          <w:rFonts w:hint="eastAsia"/>
          <w:lang w:val="en-US" w:eastAsia="zh-CN"/>
        </w:rPr>
        <w:t>隔离装置监控处置工具已在国网天津电力信息通信运维中心全面部署，覆盖市公司及8个供电单位的62台正向及反向隔离装置。工具上线前，隔离装置SQLproxy进程假死问题月均发生6-8次，每次需人工登录处置，平均恢复耗时25分钟，严重影响微信公众号、外网门户等业务系统的可用性。工具上线试运行以来，累计自动监测并处置异常事件23起，100%在5分钟内完成自动重启恢复，业务中断时间由原来的25分钟缩短至5分钟以内，月均故障时长由200分钟降至40分钟，下降80%。2025年12月，该工具成功预警一起因装置负载过高导致的潜在故障，运维人员提前介入调整，避免了一次大规模业务中断，获得信通公司专项表扬。目前工具已纳入天津电力网络安全运维标准工具库，拟2026年在全省推广部署。</w:t>
      </w:r>
    </w:p>
    <w:p w14:paraId="4E9E560F">
      <w:pPr>
        <w:pStyle w:val="29"/>
        <w:bidi w:val="0"/>
      </w:pPr>
    </w:p>
    <w:p w14:paraId="7D0B57B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3" w:name="_Toc29932"/>
      <w:r>
        <w:rPr>
          <w:rFonts w:hint="eastAsia"/>
          <w:lang w:val="en-US" w:eastAsia="zh-CN"/>
        </w:rPr>
        <w:t>运维手册研发成果说明</w:t>
      </w:r>
      <w:bookmarkEnd w:id="73"/>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9"/>
        <w:gridCol w:w="1633"/>
        <w:gridCol w:w="1258"/>
        <w:gridCol w:w="2"/>
      </w:tblGrid>
      <w:tr w14:paraId="1B43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2" w:type="dxa"/>
        </w:trPr>
        <w:tc>
          <w:tcPr>
            <w:tcW w:w="5629" w:type="dxa"/>
          </w:tcPr>
          <w:p w14:paraId="049C52D0">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lang w:val="en-US" w:eastAsia="zh-CN"/>
              </w:rPr>
            </w:pPr>
            <w:r>
              <w:rPr>
                <w:rFonts w:hint="eastAsia"/>
                <w:sz w:val="21"/>
                <w:szCs w:val="21"/>
                <w:lang w:val="en-US" w:eastAsia="zh-CN"/>
              </w:rPr>
              <w:t>手册名称</w:t>
            </w:r>
          </w:p>
        </w:tc>
        <w:tc>
          <w:tcPr>
            <w:tcW w:w="1633" w:type="dxa"/>
          </w:tcPr>
          <w:p w14:paraId="771B474F">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计划时间</w:t>
            </w:r>
          </w:p>
        </w:tc>
        <w:tc>
          <w:tcPr>
            <w:tcW w:w="1258" w:type="dxa"/>
          </w:tcPr>
          <w:p w14:paraId="4B76E46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sz w:val="21"/>
                <w:szCs w:val="21"/>
                <w:vertAlign w:val="baseline"/>
                <w:lang w:val="en-US" w:eastAsia="zh-CN"/>
              </w:rPr>
            </w:pPr>
            <w:r>
              <w:rPr>
                <w:rFonts w:hint="eastAsia"/>
                <w:sz w:val="21"/>
                <w:szCs w:val="21"/>
                <w:vertAlign w:val="baseline"/>
                <w:lang w:val="en-US" w:eastAsia="zh-CN"/>
              </w:rPr>
              <w:t>完成情况</w:t>
            </w:r>
          </w:p>
        </w:tc>
      </w:tr>
      <w:tr w14:paraId="5C8A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29" w:type="dxa"/>
          </w:tcPr>
          <w:p w14:paraId="7B853873">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lang w:val="en-US" w:eastAsia="zh-CN"/>
              </w:rPr>
              <w:t>《Docker安装Jenkins》</w:t>
            </w:r>
          </w:p>
        </w:tc>
        <w:tc>
          <w:tcPr>
            <w:tcW w:w="1633" w:type="dxa"/>
            <w:vAlign w:val="top"/>
          </w:tcPr>
          <w:p w14:paraId="54AF87A9">
            <w:pPr>
              <w:pStyle w:val="29"/>
              <w:widowControl w:val="0"/>
              <w:bidi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2025年7月</w:t>
            </w:r>
          </w:p>
        </w:tc>
        <w:tc>
          <w:tcPr>
            <w:tcW w:w="1260" w:type="dxa"/>
            <w:gridSpan w:val="2"/>
          </w:tcPr>
          <w:p w14:paraId="483BC85D">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r w14:paraId="68E97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629" w:type="dxa"/>
          </w:tcPr>
          <w:p w14:paraId="2B968CD2">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lang w:val="en-US" w:eastAsia="zh-CN"/>
              </w:rPr>
              <w:t>《</w:t>
            </w:r>
            <w:r>
              <w:rPr>
                <w:rFonts w:hint="default"/>
                <w:sz w:val="21"/>
                <w:szCs w:val="21"/>
                <w:lang w:val="en-US" w:eastAsia="zh-CN"/>
              </w:rPr>
              <w:t>Jenkins构建java项目（分布式）</w:t>
            </w:r>
            <w:r>
              <w:rPr>
                <w:rFonts w:hint="eastAsia"/>
                <w:sz w:val="21"/>
                <w:szCs w:val="21"/>
                <w:lang w:val="en-US" w:eastAsia="zh-CN"/>
              </w:rPr>
              <w:t>》</w:t>
            </w:r>
          </w:p>
        </w:tc>
        <w:tc>
          <w:tcPr>
            <w:tcW w:w="1633" w:type="dxa"/>
            <w:vAlign w:val="top"/>
          </w:tcPr>
          <w:p w14:paraId="0B6ECA4F">
            <w:pPr>
              <w:pStyle w:val="29"/>
              <w:widowControl w:val="0"/>
              <w:bidi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2025年10月</w:t>
            </w:r>
          </w:p>
        </w:tc>
        <w:tc>
          <w:tcPr>
            <w:tcW w:w="1260" w:type="dxa"/>
            <w:gridSpan w:val="2"/>
          </w:tcPr>
          <w:p w14:paraId="1CBF6670">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r w14:paraId="3ABCD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629" w:type="dxa"/>
          </w:tcPr>
          <w:p w14:paraId="2C25590E">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eastAsia"/>
                <w:sz w:val="21"/>
                <w:szCs w:val="21"/>
                <w:lang w:val="en-US" w:eastAsia="zh-CN"/>
              </w:rPr>
            </w:pPr>
            <w:r>
              <w:rPr>
                <w:rFonts w:hint="eastAsia"/>
                <w:sz w:val="21"/>
                <w:szCs w:val="21"/>
                <w:lang w:val="en-US" w:eastAsia="zh-CN"/>
              </w:rPr>
              <w:t>《Jenkins构建前端项目（分布式）》</w:t>
            </w:r>
          </w:p>
        </w:tc>
        <w:tc>
          <w:tcPr>
            <w:tcW w:w="1633" w:type="dxa"/>
            <w:vAlign w:val="top"/>
          </w:tcPr>
          <w:p w14:paraId="40391DDF">
            <w:pPr>
              <w:pStyle w:val="29"/>
              <w:widowControl w:val="0"/>
              <w:bidi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2026年1月</w:t>
            </w:r>
          </w:p>
        </w:tc>
        <w:tc>
          <w:tcPr>
            <w:tcW w:w="1260" w:type="dxa"/>
            <w:gridSpan w:val="2"/>
          </w:tcPr>
          <w:p w14:paraId="7CCF2927">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bl>
    <w:p w14:paraId="6B71E6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6B2E01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848100" cy="1133475"/>
            <wp:effectExtent l="0" t="0" r="762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3848100" cy="1133475"/>
                    </a:xfrm>
                    <a:prstGeom prst="rect">
                      <a:avLst/>
                    </a:prstGeom>
                    <a:noFill/>
                    <a:ln>
                      <a:noFill/>
                    </a:ln>
                  </pic:spPr>
                </pic:pic>
              </a:graphicData>
            </a:graphic>
          </wp:inline>
        </w:drawing>
      </w:r>
    </w:p>
    <w:p w14:paraId="5431D5F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2B4A718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4" w:name="_Toc30629"/>
      <w:r>
        <w:rPr>
          <w:rFonts w:hint="eastAsia"/>
          <w:lang w:val="en-US" w:eastAsia="zh-CN"/>
        </w:rPr>
        <w:t>研发投入情况</w:t>
      </w:r>
      <w:bookmarkEnd w:id="74"/>
    </w:p>
    <w:tbl>
      <w:tblPr>
        <w:tblStyle w:val="20"/>
        <w:tblpPr w:leftFromText="180" w:rightFromText="180" w:vertAnchor="text" w:horzAnchor="page" w:tblpX="1769" w:tblpY="71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275"/>
        <w:gridCol w:w="1248"/>
        <w:gridCol w:w="1248"/>
        <w:gridCol w:w="1944"/>
      </w:tblGrid>
      <w:tr w14:paraId="00B0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6A1EFB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380" w:type="dxa"/>
            <w:tcMar>
              <w:top w:w="60" w:type="dxa"/>
              <w:left w:w="120" w:type="dxa"/>
              <w:bottom w:w="30" w:type="dxa"/>
              <w:right w:w="120" w:type="dxa"/>
            </w:tcMar>
          </w:tcPr>
          <w:p w14:paraId="513DCC2E">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项目类别</w:t>
            </w:r>
          </w:p>
        </w:tc>
        <w:tc>
          <w:tcPr>
            <w:tcW w:w="1275" w:type="dxa"/>
            <w:tcMar>
              <w:top w:w="60" w:type="dxa"/>
              <w:left w:w="120" w:type="dxa"/>
              <w:bottom w:w="30" w:type="dxa"/>
              <w:right w:w="120" w:type="dxa"/>
            </w:tcMar>
          </w:tcPr>
          <w:p w14:paraId="2811D67B">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项目名称</w:t>
            </w:r>
          </w:p>
        </w:tc>
        <w:tc>
          <w:tcPr>
            <w:tcW w:w="1248" w:type="dxa"/>
            <w:tcMar>
              <w:top w:w="60" w:type="dxa"/>
              <w:left w:w="120" w:type="dxa"/>
              <w:bottom w:w="30" w:type="dxa"/>
              <w:right w:w="120" w:type="dxa"/>
            </w:tcMar>
          </w:tcPr>
          <w:p w14:paraId="3DA00A74">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研发方式</w:t>
            </w:r>
          </w:p>
        </w:tc>
        <w:tc>
          <w:tcPr>
            <w:tcW w:w="1248" w:type="dxa"/>
            <w:tcMar>
              <w:top w:w="60" w:type="dxa"/>
              <w:left w:w="120" w:type="dxa"/>
              <w:bottom w:w="30" w:type="dxa"/>
              <w:right w:w="120" w:type="dxa"/>
            </w:tcMar>
          </w:tcPr>
          <w:p w14:paraId="6425CBE9">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资金投入（万元）</w:t>
            </w:r>
          </w:p>
        </w:tc>
        <w:tc>
          <w:tcPr>
            <w:tcW w:w="1944" w:type="dxa"/>
            <w:tcMar>
              <w:top w:w="60" w:type="dxa"/>
              <w:left w:w="120" w:type="dxa"/>
              <w:bottom w:w="30" w:type="dxa"/>
              <w:right w:w="120" w:type="dxa"/>
            </w:tcMar>
          </w:tcPr>
          <w:p w14:paraId="54A49D9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人员投入（人）</w:t>
            </w:r>
          </w:p>
        </w:tc>
      </w:tr>
      <w:tr w14:paraId="5FDA2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6845D0D">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632B5DE3">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运维工具</w:t>
            </w:r>
          </w:p>
        </w:tc>
        <w:tc>
          <w:tcPr>
            <w:tcW w:w="1275" w:type="dxa"/>
            <w:tcMar>
              <w:top w:w="60" w:type="dxa"/>
              <w:left w:w="120" w:type="dxa"/>
              <w:bottom w:w="30" w:type="dxa"/>
              <w:right w:w="120" w:type="dxa"/>
            </w:tcMar>
          </w:tcPr>
          <w:p w14:paraId="28CADE4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物管平台-物联标识系统</w:t>
            </w:r>
          </w:p>
        </w:tc>
        <w:tc>
          <w:tcPr>
            <w:tcW w:w="1248" w:type="dxa"/>
            <w:tcMar>
              <w:top w:w="60" w:type="dxa"/>
              <w:left w:w="120" w:type="dxa"/>
              <w:bottom w:w="30" w:type="dxa"/>
              <w:right w:w="120" w:type="dxa"/>
            </w:tcMar>
          </w:tcPr>
          <w:p w14:paraId="296F2E8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114DE38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16</w:t>
            </w:r>
          </w:p>
        </w:tc>
        <w:tc>
          <w:tcPr>
            <w:tcW w:w="1944" w:type="dxa"/>
            <w:tcMar>
              <w:top w:w="60" w:type="dxa"/>
              <w:left w:w="120" w:type="dxa"/>
              <w:bottom w:w="30" w:type="dxa"/>
              <w:right w:w="120" w:type="dxa"/>
            </w:tcMar>
          </w:tcPr>
          <w:p w14:paraId="4CD9449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4</w:t>
            </w:r>
          </w:p>
        </w:tc>
      </w:tr>
      <w:tr w14:paraId="6354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3AF7AB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380" w:type="dxa"/>
            <w:tcMar>
              <w:top w:w="60" w:type="dxa"/>
              <w:left w:w="120" w:type="dxa"/>
              <w:bottom w:w="30" w:type="dxa"/>
              <w:right w:w="120" w:type="dxa"/>
            </w:tcMar>
          </w:tcPr>
          <w:p w14:paraId="7B10A5F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运维工具</w:t>
            </w:r>
          </w:p>
        </w:tc>
        <w:tc>
          <w:tcPr>
            <w:tcW w:w="1275" w:type="dxa"/>
            <w:tcMar>
              <w:top w:w="60" w:type="dxa"/>
              <w:left w:w="120" w:type="dxa"/>
              <w:bottom w:w="30" w:type="dxa"/>
              <w:right w:w="120" w:type="dxa"/>
            </w:tcMar>
          </w:tcPr>
          <w:p w14:paraId="23E0B8D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隔离装置监控处置工具</w:t>
            </w:r>
          </w:p>
        </w:tc>
        <w:tc>
          <w:tcPr>
            <w:tcW w:w="1248" w:type="dxa"/>
            <w:tcMar>
              <w:top w:w="60" w:type="dxa"/>
              <w:left w:w="120" w:type="dxa"/>
              <w:bottom w:w="30" w:type="dxa"/>
              <w:right w:w="120" w:type="dxa"/>
            </w:tcMar>
          </w:tcPr>
          <w:p w14:paraId="73D2D8A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3E6B61E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16</w:t>
            </w:r>
          </w:p>
        </w:tc>
        <w:tc>
          <w:tcPr>
            <w:tcW w:w="1944" w:type="dxa"/>
            <w:tcMar>
              <w:top w:w="60" w:type="dxa"/>
              <w:left w:w="120" w:type="dxa"/>
              <w:bottom w:w="30" w:type="dxa"/>
              <w:right w:w="120" w:type="dxa"/>
            </w:tcMar>
          </w:tcPr>
          <w:p w14:paraId="3CEF451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w:t>
            </w:r>
          </w:p>
        </w:tc>
      </w:tr>
      <w:tr w14:paraId="5912F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F7D130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380" w:type="dxa"/>
            <w:tcMar>
              <w:top w:w="60" w:type="dxa"/>
              <w:left w:w="120" w:type="dxa"/>
              <w:bottom w:w="30" w:type="dxa"/>
              <w:right w:w="120" w:type="dxa"/>
            </w:tcMar>
          </w:tcPr>
          <w:p w14:paraId="576EAB9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47878B28">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ascii="Arial" w:hAnsi="Arial" w:eastAsia="宋体" w:cs="Arial"/>
                <w:snapToGrid w:val="0"/>
                <w:color w:val="000000"/>
                <w:kern w:val="0"/>
                <w:sz w:val="21"/>
                <w:szCs w:val="21"/>
                <w:vertAlign w:val="baseline"/>
                <w:lang w:val="en-US" w:eastAsia="zh-CN" w:bidi="ar-SA"/>
              </w:rPr>
            </w:pPr>
            <w:r>
              <w:rPr>
                <w:rFonts w:hint="eastAsia"/>
                <w:sz w:val="21"/>
                <w:szCs w:val="21"/>
                <w:lang w:val="en-US" w:eastAsia="zh-CN"/>
              </w:rPr>
              <w:t>《Docker安装Jenkins》</w:t>
            </w:r>
          </w:p>
        </w:tc>
        <w:tc>
          <w:tcPr>
            <w:tcW w:w="1248" w:type="dxa"/>
            <w:tcMar>
              <w:top w:w="60" w:type="dxa"/>
              <w:left w:w="120" w:type="dxa"/>
              <w:bottom w:w="30" w:type="dxa"/>
              <w:right w:w="120" w:type="dxa"/>
            </w:tcMar>
          </w:tcPr>
          <w:p w14:paraId="1F7A878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192DBFED">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944" w:type="dxa"/>
            <w:tcMar>
              <w:top w:w="60" w:type="dxa"/>
              <w:left w:w="120" w:type="dxa"/>
              <w:bottom w:w="30" w:type="dxa"/>
              <w:right w:w="120" w:type="dxa"/>
            </w:tcMar>
          </w:tcPr>
          <w:p w14:paraId="5B9A996B">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CB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4B276A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4</w:t>
            </w:r>
          </w:p>
        </w:tc>
        <w:tc>
          <w:tcPr>
            <w:tcW w:w="1380" w:type="dxa"/>
            <w:tcMar>
              <w:top w:w="60" w:type="dxa"/>
              <w:left w:w="120" w:type="dxa"/>
              <w:bottom w:w="30" w:type="dxa"/>
              <w:right w:w="120" w:type="dxa"/>
            </w:tcMar>
          </w:tcPr>
          <w:p w14:paraId="328EF05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1975D014">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ascii="Arial" w:hAnsi="Arial" w:eastAsia="宋体" w:cs="Arial"/>
                <w:snapToGrid w:val="0"/>
                <w:color w:val="000000"/>
                <w:kern w:val="0"/>
                <w:sz w:val="21"/>
                <w:szCs w:val="21"/>
                <w:vertAlign w:val="baseline"/>
                <w:lang w:val="en-US" w:eastAsia="zh-CN" w:bidi="ar-SA"/>
              </w:rPr>
            </w:pPr>
            <w:r>
              <w:rPr>
                <w:rFonts w:hint="eastAsia"/>
                <w:sz w:val="21"/>
                <w:szCs w:val="21"/>
                <w:lang w:val="en-US" w:eastAsia="zh-CN"/>
              </w:rPr>
              <w:t>《</w:t>
            </w:r>
            <w:r>
              <w:rPr>
                <w:rFonts w:hint="default"/>
                <w:sz w:val="21"/>
                <w:szCs w:val="21"/>
                <w:lang w:val="en-US" w:eastAsia="zh-CN"/>
              </w:rPr>
              <w:t>Jenkins构建java项目（分布式）</w:t>
            </w:r>
            <w:r>
              <w:rPr>
                <w:rFonts w:hint="eastAsia"/>
                <w:sz w:val="21"/>
                <w:szCs w:val="21"/>
                <w:lang w:val="en-US" w:eastAsia="zh-CN"/>
              </w:rPr>
              <w:t>》</w:t>
            </w:r>
          </w:p>
        </w:tc>
        <w:tc>
          <w:tcPr>
            <w:tcW w:w="1248" w:type="dxa"/>
            <w:tcMar>
              <w:top w:w="60" w:type="dxa"/>
              <w:left w:w="120" w:type="dxa"/>
              <w:bottom w:w="30" w:type="dxa"/>
              <w:right w:w="120" w:type="dxa"/>
            </w:tcMar>
          </w:tcPr>
          <w:p w14:paraId="66BAD16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自研</w:t>
            </w:r>
          </w:p>
        </w:tc>
        <w:tc>
          <w:tcPr>
            <w:tcW w:w="1248" w:type="dxa"/>
            <w:tcMar>
              <w:top w:w="60" w:type="dxa"/>
              <w:left w:w="120" w:type="dxa"/>
              <w:bottom w:w="30" w:type="dxa"/>
              <w:right w:w="120" w:type="dxa"/>
            </w:tcMar>
          </w:tcPr>
          <w:p w14:paraId="3A77A5BA">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4</w:t>
            </w:r>
          </w:p>
        </w:tc>
        <w:tc>
          <w:tcPr>
            <w:tcW w:w="1944" w:type="dxa"/>
            <w:tcMar>
              <w:top w:w="60" w:type="dxa"/>
              <w:left w:w="120" w:type="dxa"/>
              <w:bottom w:w="30" w:type="dxa"/>
              <w:right w:w="120" w:type="dxa"/>
            </w:tcMar>
          </w:tcPr>
          <w:p w14:paraId="63FA1817">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r>
      <w:tr w14:paraId="5DB5C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FD159E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5</w:t>
            </w:r>
          </w:p>
        </w:tc>
        <w:tc>
          <w:tcPr>
            <w:tcW w:w="1380" w:type="dxa"/>
            <w:tcMar>
              <w:top w:w="60" w:type="dxa"/>
              <w:left w:w="120" w:type="dxa"/>
              <w:bottom w:w="30" w:type="dxa"/>
              <w:right w:w="120" w:type="dxa"/>
            </w:tcMar>
          </w:tcPr>
          <w:p w14:paraId="2BA07ED2">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1321769A">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eastAsia"/>
                <w:sz w:val="21"/>
                <w:szCs w:val="21"/>
                <w:lang w:val="en-US" w:eastAsia="zh-CN"/>
              </w:rPr>
            </w:pPr>
            <w:r>
              <w:rPr>
                <w:rFonts w:hint="eastAsia"/>
                <w:sz w:val="21"/>
                <w:szCs w:val="21"/>
                <w:lang w:val="en-US" w:eastAsia="zh-CN"/>
              </w:rPr>
              <w:t>Jenkins构建前端项目（分布式）</w:t>
            </w:r>
          </w:p>
        </w:tc>
        <w:tc>
          <w:tcPr>
            <w:tcW w:w="1248" w:type="dxa"/>
            <w:shd w:val="clear" w:color="auto" w:fill="auto"/>
            <w:tcMar>
              <w:top w:w="60" w:type="dxa"/>
              <w:left w:w="120" w:type="dxa"/>
              <w:bottom w:w="30" w:type="dxa"/>
              <w:right w:w="120" w:type="dxa"/>
            </w:tcMar>
          </w:tcPr>
          <w:p w14:paraId="2666ABB2">
            <w:pPr>
              <w:keepNext w:val="0"/>
              <w:keepLines w:val="0"/>
              <w:pageBreakBefore w:val="0"/>
              <w:widowControl w:val="0"/>
              <w:kinsoku w:val="0"/>
              <w:wordWrap/>
              <w:overflowPunct/>
              <w:autoSpaceDE w:val="0"/>
              <w:autoSpaceDN w:val="0"/>
              <w:bidi w:val="0"/>
              <w:adjustRightInd w:val="0"/>
              <w:snapToGrid w:val="0"/>
              <w:spacing w:before="120" w:after="120" w:line="288" w:lineRule="auto"/>
              <w:ind w:left="0" w:leftChars="0"/>
              <w:jc w:val="left"/>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自研</w:t>
            </w:r>
          </w:p>
        </w:tc>
        <w:tc>
          <w:tcPr>
            <w:tcW w:w="1248" w:type="dxa"/>
            <w:shd w:val="clear" w:color="auto" w:fill="auto"/>
            <w:tcMar>
              <w:top w:w="60" w:type="dxa"/>
              <w:left w:w="120" w:type="dxa"/>
              <w:bottom w:w="30" w:type="dxa"/>
              <w:right w:w="120" w:type="dxa"/>
            </w:tcMar>
          </w:tcPr>
          <w:p w14:paraId="117A1B2D">
            <w:pPr>
              <w:keepNext w:val="0"/>
              <w:keepLines w:val="0"/>
              <w:pageBreakBefore w:val="0"/>
              <w:widowControl w:val="0"/>
              <w:kinsoku w:val="0"/>
              <w:wordWrap/>
              <w:overflowPunct/>
              <w:autoSpaceDE w:val="0"/>
              <w:autoSpaceDN w:val="0"/>
              <w:bidi w:val="0"/>
              <w:adjustRightInd w:val="0"/>
              <w:snapToGrid w:val="0"/>
              <w:spacing w:before="120" w:after="120" w:line="288" w:lineRule="auto"/>
              <w:ind w:left="0" w:leftChars="0"/>
              <w:jc w:val="left"/>
              <w:textAlignment w:val="baseline"/>
              <w:rPr>
                <w:rFonts w:hint="eastAsia" w:ascii="Arial" w:hAnsi="Arial" w:eastAsia="等线" w:cs="Arial"/>
                <w:snapToGrid w:val="0"/>
                <w:color w:val="000000"/>
                <w:kern w:val="0"/>
                <w:sz w:val="22"/>
                <w:szCs w:val="21"/>
                <w:lang w:val="en-US" w:eastAsia="zh-CN" w:bidi="ar-SA"/>
              </w:rPr>
            </w:pPr>
            <w:r>
              <w:rPr>
                <w:rFonts w:hint="eastAsia" w:eastAsia="等线" w:cs="Arial"/>
                <w:sz w:val="22"/>
                <w:lang w:val="en-US" w:eastAsia="zh-CN"/>
              </w:rPr>
              <w:t>4</w:t>
            </w:r>
          </w:p>
        </w:tc>
        <w:tc>
          <w:tcPr>
            <w:tcW w:w="1944" w:type="dxa"/>
            <w:tcMar>
              <w:top w:w="60" w:type="dxa"/>
              <w:left w:w="120" w:type="dxa"/>
              <w:bottom w:w="30" w:type="dxa"/>
              <w:right w:w="120" w:type="dxa"/>
            </w:tcMar>
          </w:tcPr>
          <w:p w14:paraId="76FA555A">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w:t>
            </w:r>
          </w:p>
        </w:tc>
      </w:tr>
      <w:tr w14:paraId="739E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35" w:type="dxa"/>
            <w:gridSpan w:val="3"/>
            <w:tcMar>
              <w:top w:w="60" w:type="dxa"/>
              <w:left w:w="120" w:type="dxa"/>
              <w:bottom w:w="30" w:type="dxa"/>
              <w:right w:w="120" w:type="dxa"/>
            </w:tcMar>
          </w:tcPr>
          <w:p w14:paraId="0BB8AEE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1248" w:type="dxa"/>
            <w:tcMar>
              <w:top w:w="60" w:type="dxa"/>
              <w:left w:w="120" w:type="dxa"/>
              <w:bottom w:w="30" w:type="dxa"/>
              <w:right w:w="120" w:type="dxa"/>
            </w:tcMar>
          </w:tcPr>
          <w:p w14:paraId="3E1D8CD3">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48" w:type="dxa"/>
            <w:tcMar>
              <w:top w:w="60" w:type="dxa"/>
              <w:left w:w="120" w:type="dxa"/>
              <w:bottom w:w="30" w:type="dxa"/>
              <w:right w:w="120" w:type="dxa"/>
            </w:tcMar>
          </w:tcPr>
          <w:p w14:paraId="4F3AEF3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42</w:t>
            </w:r>
          </w:p>
        </w:tc>
        <w:tc>
          <w:tcPr>
            <w:tcW w:w="1944" w:type="dxa"/>
            <w:tcMar>
              <w:top w:w="60" w:type="dxa"/>
              <w:left w:w="120" w:type="dxa"/>
              <w:bottom w:w="30" w:type="dxa"/>
              <w:right w:w="120" w:type="dxa"/>
            </w:tcMar>
          </w:tcPr>
          <w:p w14:paraId="7B9C2007">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p>
        </w:tc>
      </w:tr>
    </w:tbl>
    <w:p w14:paraId="4BB6DFBE">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5" w:name="_Toc26345"/>
      <w:r>
        <w:rPr>
          <w:rFonts w:hint="eastAsia"/>
          <w:lang w:val="en-US" w:eastAsia="zh-CN"/>
        </w:rPr>
        <w:t>新技术研发</w:t>
      </w:r>
      <w:bookmarkEnd w:id="75"/>
    </w:p>
    <w:p w14:paraId="13EB8C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val="en-US" w:eastAsia="zh-CN"/>
        </w:rPr>
      </w:pPr>
      <w:r>
        <w:rPr>
          <w:rFonts w:hint="eastAsia"/>
        </w:rPr>
        <w:t>通过系列培训，团队成员已全面掌握Python在资源监控领域的应用能力。目前可熟练运用Pandas进行能耗数据分析，基于Flask/Dash构建实时监控可视化界面，并利用Scikit-learn实现设备异常检测模型。基于上述技术栈研发的新一代资源智能监控系统，已在</w:t>
      </w:r>
      <w:r>
        <w:rPr>
          <w:rFonts w:hint="eastAsia"/>
          <w:lang w:val="en-US" w:eastAsia="zh-CN"/>
        </w:rPr>
        <w:t>天津市电力公司</w:t>
      </w:r>
      <w:r>
        <w:rPr>
          <w:rFonts w:hint="eastAsia"/>
        </w:rPr>
        <w:t>光伏电站监控系统中成功试点应用，实现数据处理效率提升40%、预警准确率提高25%的成效。后续将持续优化系统功能，形成具有自主知识产权的行业解决方案，应用于电力电缆通道环境监控、设备健康评估等场景。</w:t>
      </w:r>
    </w:p>
    <w:p w14:paraId="1E089B0A">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6" w:name="_Toc5310"/>
      <w:r>
        <w:rPr>
          <w:rFonts w:hint="eastAsia"/>
          <w:lang w:val="en-US" w:eastAsia="zh-CN"/>
        </w:rPr>
        <w:t>过程管理总结</w:t>
      </w:r>
      <w:bookmarkEnd w:id="76"/>
    </w:p>
    <w:p w14:paraId="4DA5669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7" w:name="_Toc12941"/>
      <w:r>
        <w:rPr>
          <w:rFonts w:hint="eastAsia"/>
          <w:lang w:val="en-US" w:eastAsia="zh-CN"/>
        </w:rPr>
        <w:t>过程框架设计管理情况总结</w:t>
      </w:r>
      <w:bookmarkEnd w:id="77"/>
    </w:p>
    <w:p w14:paraId="6A234EA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过程框架设计管理主要完成了以下工作：</w:t>
      </w:r>
    </w:p>
    <w:p w14:paraId="70DF6378">
      <w:pPr>
        <w:pStyle w:val="29"/>
        <w:keepNext w:val="0"/>
        <w:keepLines w:val="0"/>
        <w:pageBreakBefore w:val="0"/>
        <w:widowControl w:val="0"/>
        <w:numPr>
          <w:ilvl w:val="0"/>
          <w:numId w:val="1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对过程框架考核指标进行跟踪，考核指标要求每年至少对过程框架进行1次自评估。对过程框架自评估次数进行统计，截止2026年1月，对过程框架进行了1次自评估。满足KPI指标的要求。</w:t>
      </w:r>
    </w:p>
    <w:p w14:paraId="5255B7F1">
      <w:pPr>
        <w:pStyle w:val="29"/>
        <w:keepNext w:val="0"/>
        <w:keepLines w:val="0"/>
        <w:pageBreakBefore w:val="0"/>
        <w:widowControl w:val="0"/>
        <w:numPr>
          <w:ilvl w:val="0"/>
          <w:numId w:val="1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t>完成过程框架设计管理框架优化工作：</w:t>
      </w:r>
      <w:r>
        <w:rPr>
          <w:rFonts w:hint="eastAsia"/>
          <w:lang w:val="en-US" w:eastAsia="zh-CN"/>
        </w:rPr>
        <w:t>根据过程框架自评估结果，</w:t>
      </w:r>
      <w:r>
        <w:t>对过程框架进行优化调整。</w:t>
      </w:r>
      <w:r>
        <w:rPr>
          <w:rFonts w:hint="eastAsia"/>
          <w:lang w:val="en-US" w:eastAsia="zh-CN"/>
        </w:rPr>
        <w:t>使得</w:t>
      </w:r>
      <w:r>
        <w:t>所有项目过程框架设计</w:t>
      </w:r>
      <w:r>
        <w:rPr>
          <w:rFonts w:hint="eastAsia"/>
          <w:lang w:val="en-US" w:eastAsia="zh-CN"/>
        </w:rPr>
        <w:t>均与服务项目匹配</w:t>
      </w:r>
      <w:r>
        <w:t>。</w:t>
      </w:r>
    </w:p>
    <w:p w14:paraId="4215868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8" w:name="_Toc21671"/>
      <w:r>
        <w:rPr>
          <w:rFonts w:hint="eastAsia"/>
          <w:lang w:val="en-US" w:eastAsia="zh-CN"/>
        </w:rPr>
        <w:t>服务级别管理情况总结</w:t>
      </w:r>
      <w:bookmarkEnd w:id="78"/>
    </w:p>
    <w:p w14:paraId="39DA0BD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服务级别管理主要完成了以下工作：</w:t>
      </w:r>
    </w:p>
    <w:p w14:paraId="621CE383">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服务级别管理工作达标</w:t>
      </w:r>
      <w:r>
        <w:rPr>
          <w:rFonts w:hint="eastAsia"/>
          <w:lang w:eastAsia="zh-CN"/>
        </w:rPr>
        <w:t>：</w:t>
      </w:r>
      <w:r>
        <w:rPr>
          <w:rFonts w:hint="eastAsia"/>
          <w:lang w:val="en-US" w:eastAsia="zh-CN"/>
        </w:rPr>
        <w:t>服务级别协议的考核指标为SLA达成率，计算方式为</w:t>
      </w:r>
      <w:r>
        <w:rPr>
          <w:spacing w:val="-4"/>
          <w:sz w:val="24"/>
          <w:szCs w:val="24"/>
        </w:rPr>
        <w:t>∑运维服务项目SLA达成率/运维服务项目</w:t>
      </w:r>
      <w:r>
        <w:rPr>
          <w:spacing w:val="-3"/>
          <w:sz w:val="24"/>
          <w:szCs w:val="24"/>
        </w:rPr>
        <w:t>数*100%</w:t>
      </w:r>
      <w:r>
        <w:rPr>
          <w:rFonts w:hint="eastAsia"/>
          <w:spacing w:val="-3"/>
          <w:sz w:val="24"/>
          <w:szCs w:val="24"/>
          <w:lang w:eastAsia="zh-CN"/>
        </w:rPr>
        <w:t>，</w:t>
      </w:r>
      <w:r>
        <w:rPr>
          <w:rFonts w:hint="eastAsia"/>
          <w:spacing w:val="-3"/>
          <w:sz w:val="24"/>
          <w:szCs w:val="24"/>
          <w:lang w:val="en-US" w:eastAsia="zh-CN"/>
        </w:rPr>
        <w:t>考核周期为年度。据统计，截止2026年1月SLA达成率为100%，满足SLA达成率≥95%的指标要求。</w:t>
      </w:r>
    </w:p>
    <w:p w14:paraId="25045602">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服务级别协议的监测工作：各个项目在运维工作中，对涉及影响服务级别指标的事件进行每个月的跟踪并记录</w:t>
      </w:r>
      <w:r>
        <w:rPr>
          <w:rFonts w:hint="eastAsia"/>
          <w:lang w:eastAsia="zh-CN"/>
        </w:rPr>
        <w:t>。</w:t>
      </w:r>
    </w:p>
    <w:p w14:paraId="66CF7F9D">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服务级别协议的量化工作：部分项目组的服务级别协议条款还存在着不容易量化的问题，促成甲方修改了部分服务级别协议，使服务级别协议的达成情况方便测量与记录。</w:t>
      </w:r>
    </w:p>
    <w:p w14:paraId="1AEC96E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9" w:name="_Toc26483"/>
      <w:r>
        <w:rPr>
          <w:rFonts w:hint="eastAsia"/>
          <w:lang w:val="en-US" w:eastAsia="zh-CN"/>
        </w:rPr>
        <w:t>服务报告管理情况总结</w:t>
      </w:r>
      <w:bookmarkEnd w:id="79"/>
    </w:p>
    <w:p w14:paraId="5880D1F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，服务报告管理工作顺利完成，主要完成以下工作：</w:t>
      </w:r>
    </w:p>
    <w:p w14:paraId="22329EC0">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服务报告管理工作全面达标，服务报告按时交付率</w:t>
      </w:r>
      <w:r>
        <w:rPr>
          <w:rFonts w:hint="eastAsia"/>
          <w:lang w:val="en-US" w:eastAsia="zh-CN"/>
        </w:rPr>
        <w:t>为100%</w:t>
      </w:r>
      <w:r>
        <w:rPr>
          <w:rFonts w:hint="default"/>
        </w:rPr>
        <w:t>；</w:t>
      </w:r>
    </w:p>
    <w:p w14:paraId="62658F6D">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进一步加强服务事件的统计与分析工作，针对各运维对象的事件与性能状况开展系统化统计，注重对数据的多维度分析和解读，并提出改进建议，摒弃简单罗列数据的流水账式记录方式；</w:t>
      </w:r>
    </w:p>
    <w:p w14:paraId="44B03A0F">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pPr>
      <w:r>
        <w:rPr>
          <w:rFonts w:hint="default"/>
        </w:rPr>
        <w:t>在当</w:t>
      </w:r>
      <w:r>
        <w:rPr>
          <w:rFonts w:hint="eastAsia"/>
          <w:lang w:val="en-US" w:eastAsia="zh-CN"/>
        </w:rPr>
        <w:t>季度</w:t>
      </w:r>
      <w:r>
        <w:rPr>
          <w:rFonts w:hint="default"/>
        </w:rPr>
        <w:t>服务报告中增设项目运行整体综述模块，对运维工作情况作出系统总结，重点归纳典型问题与风险，并对该月项目运行状态予以结论性评价。</w:t>
      </w:r>
    </w:p>
    <w:p w14:paraId="7CBD022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0" w:name="_Toc16560"/>
      <w:r>
        <w:rPr>
          <w:rFonts w:hint="eastAsia"/>
          <w:lang w:val="en-US" w:eastAsia="zh-CN"/>
        </w:rPr>
        <w:t>事件管理情况总结</w:t>
      </w:r>
      <w:bookmarkEnd w:id="80"/>
    </w:p>
    <w:p w14:paraId="00856E1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，事件管理工作达成预期目标，具体完成情况如下：</w:t>
      </w:r>
    </w:p>
    <w:p w14:paraId="29DBEDE0">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共处理事件53起，</w:t>
      </w:r>
      <w:r>
        <w:rPr>
          <w:rFonts w:hint="eastAsia"/>
          <w:lang w:val="en-US" w:eastAsia="zh-CN"/>
        </w:rPr>
        <w:t>统计每月</w:t>
      </w:r>
      <w:r>
        <w:rPr>
          <w:rFonts w:hint="default"/>
        </w:rPr>
        <w:t>事件及时响应率</w:t>
      </w:r>
      <w:r>
        <w:rPr>
          <w:rFonts w:hint="eastAsia"/>
          <w:lang w:val="en-US" w:eastAsia="zh-CN"/>
        </w:rPr>
        <w:t>均为100%</w:t>
      </w:r>
      <w:r>
        <w:rPr>
          <w:rFonts w:hint="default"/>
        </w:rPr>
        <w:t>，</w:t>
      </w:r>
      <w:r>
        <w:rPr>
          <w:rFonts w:hint="eastAsia"/>
          <w:lang w:val="en-US" w:eastAsia="zh-CN"/>
        </w:rPr>
        <w:t>超过KPI要求的90%；统计每月事件及时解决率，2025年7月-2026年1月的事件及时解决率为95%、95%、95%、97%、97%、97%、95%均超过KPI要求的90%</w:t>
      </w:r>
      <w:r>
        <w:rPr>
          <w:rFonts w:hint="default"/>
        </w:rPr>
        <w:t>。</w:t>
      </w:r>
    </w:p>
    <w:p w14:paraId="48781961">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进一步加强事件记录的深度分析，开展多维度、结构化的事件数据分析工作，为运维决策和业务支持提供有效数据支撑。</w:t>
      </w:r>
    </w:p>
    <w:p w14:paraId="2685CB43">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持续推进事件单分类模式优化，完善事件统计维度设计，提升事件数据统计的灵活性与分析粒度</w:t>
      </w:r>
    </w:p>
    <w:p w14:paraId="12B146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1" w:name="_Toc18760"/>
      <w:r>
        <w:rPr>
          <w:rFonts w:hint="eastAsia"/>
          <w:lang w:val="en-US" w:eastAsia="zh-CN"/>
        </w:rPr>
        <w:t>问题管理情况总结</w:t>
      </w:r>
      <w:bookmarkEnd w:id="81"/>
    </w:p>
    <w:p w14:paraId="40B0CDB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，问题管理工作达成预期目标，具体完成情况如下：</w:t>
      </w:r>
    </w:p>
    <w:p w14:paraId="00EC4D3F">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共处理问题16起，</w:t>
      </w:r>
      <w:r>
        <w:rPr>
          <w:rFonts w:hint="eastAsia"/>
          <w:lang w:val="en-US" w:eastAsia="zh-CN"/>
        </w:rPr>
        <w:t>所有问题均已解决</w:t>
      </w:r>
      <w:r>
        <w:rPr>
          <w:rFonts w:hint="default"/>
        </w:rPr>
        <w:t>，问题处理及时率达到100%</w:t>
      </w:r>
      <w:r>
        <w:rPr>
          <w:rFonts w:hint="eastAsia"/>
          <w:lang w:eastAsia="zh-CN"/>
        </w:rPr>
        <w:t>，</w:t>
      </w:r>
      <w:r>
        <w:rPr>
          <w:rFonts w:hint="eastAsia"/>
          <w:lang w:val="en-US" w:eastAsia="zh-CN"/>
        </w:rPr>
        <w:t>满足KPI要求的月度问题及时解决率</w:t>
      </w:r>
      <w:r>
        <w:rPr>
          <w:rFonts w:hint="default"/>
        </w:rPr>
        <w:t>≥90%</w:t>
      </w:r>
      <w:r>
        <w:rPr>
          <w:rFonts w:hint="eastAsia"/>
          <w:lang w:val="en-US" w:eastAsia="zh-CN"/>
        </w:rPr>
        <w:t>的指标</w:t>
      </w:r>
      <w:r>
        <w:rPr>
          <w:rFonts w:hint="default"/>
        </w:rPr>
        <w:t>。</w:t>
      </w:r>
    </w:p>
    <w:p w14:paraId="02E9206D">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持续加强问题管理流程与事件管理、服务级别管理等流程的有效协同，通过机制化联动提升问题管理的整体价值与实效。</w:t>
      </w:r>
    </w:p>
    <w:p w14:paraId="6620F15C">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积极推进问题管理流程优化，针对各项目组在问题流程执行中存在的差异与瓶颈开展持续改进，完善闭环管理机制。</w:t>
      </w:r>
    </w:p>
    <w:p w14:paraId="2BDA86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2" w:name="_Toc22276"/>
      <w:r>
        <w:rPr>
          <w:rFonts w:hint="eastAsia"/>
          <w:lang w:val="en-US" w:eastAsia="zh-CN"/>
        </w:rPr>
        <w:t>变更管理情况总结</w:t>
      </w:r>
      <w:bookmarkEnd w:id="82"/>
    </w:p>
    <w:p w14:paraId="4C8E93F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，变更管理工作达成预期目标，具体完成情况如下：</w:t>
      </w:r>
    </w:p>
    <w:p w14:paraId="0135F8AF">
      <w:pPr>
        <w:pStyle w:val="29"/>
        <w:keepNext w:val="0"/>
        <w:keepLines w:val="0"/>
        <w:pageBreakBefore w:val="0"/>
        <w:widowControl w:val="0"/>
        <w:numPr>
          <w:ilvl w:val="0"/>
          <w:numId w:val="22"/>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2025年第三季度</w:t>
      </w:r>
      <w:r>
        <w:rPr>
          <w:rFonts w:hint="default"/>
        </w:rPr>
        <w:t>共执行变更4次，其中配置变更2次，应用系统变更2次，</w:t>
      </w:r>
      <w:r>
        <w:rPr>
          <w:rFonts w:hint="eastAsia"/>
          <w:lang w:val="en-US" w:eastAsia="zh-CN"/>
        </w:rPr>
        <w:t>均变更成功，变更成功率为100%</w:t>
      </w:r>
      <w:r>
        <w:rPr>
          <w:rFonts w:hint="eastAsia"/>
          <w:lang w:eastAsia="zh-CN"/>
        </w:rPr>
        <w:t>；</w:t>
      </w:r>
      <w:r>
        <w:rPr>
          <w:rFonts w:hint="eastAsia"/>
          <w:lang w:val="en-US" w:eastAsia="zh-CN"/>
        </w:rPr>
        <w:t>2025年第四季度变更3次，变更成功率为100%</w:t>
      </w:r>
    </w:p>
    <w:p w14:paraId="2646839C">
      <w:pPr>
        <w:pStyle w:val="29"/>
        <w:keepNext w:val="0"/>
        <w:keepLines w:val="0"/>
        <w:pageBreakBefore w:val="0"/>
        <w:widowControl w:val="0"/>
        <w:numPr>
          <w:ilvl w:val="0"/>
          <w:numId w:val="22"/>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持续加强变更记录的完整性与规范性，重点强化对回退计划的质量监督与审核，确保各项变更均具备可行、可靠的恢复预案，有效规避因回退计划缺失或不足导致的运维风险。</w:t>
      </w:r>
    </w:p>
    <w:p w14:paraId="6B798CE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3" w:name="_Toc18930"/>
      <w:r>
        <w:rPr>
          <w:rFonts w:hint="eastAsia"/>
          <w:lang w:val="en-US" w:eastAsia="zh-CN"/>
        </w:rPr>
        <w:t>发布管理情况总结</w:t>
      </w:r>
      <w:bookmarkEnd w:id="83"/>
    </w:p>
    <w:p w14:paraId="5DADE0A1">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发布管理工作达成预期目标，具体完成情况如下：</w:t>
      </w:r>
    </w:p>
    <w:p w14:paraId="4A29E6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eastAsia"/>
          <w:lang w:val="en-US" w:eastAsia="zh-CN"/>
        </w:rPr>
        <w:t>2025年第三和四季度共</w:t>
      </w:r>
      <w:r>
        <w:rPr>
          <w:rFonts w:hint="default"/>
        </w:rPr>
        <w:t>实施4次软件版本升级发布，所有发布申请均通过审批并成功上线，发布成功率达100%，超过95%的指标体系要求，全面满足服务等级协议（SLA）相关标准。</w:t>
      </w:r>
    </w:p>
    <w:p w14:paraId="3FB7F43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4" w:name="_Toc9396"/>
      <w:r>
        <w:rPr>
          <w:rFonts w:hint="eastAsia"/>
          <w:lang w:val="en-US" w:eastAsia="zh-CN"/>
        </w:rPr>
        <w:t>配置管理情况总结</w:t>
      </w:r>
      <w:bookmarkEnd w:id="84"/>
    </w:p>
    <w:p w14:paraId="0EC791E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，配置管理工作按计划推进并达成预期目标，具体完成情况如下：</w:t>
      </w:r>
    </w:p>
    <w:p w14:paraId="2B929AB7">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公司持续完善配置管理制度体系，相关要求全面落实执行。组织开展了配置数据专项审计，统计结果显示：</w:t>
      </w:r>
      <w:r>
        <w:rPr>
          <w:rFonts w:hint="eastAsia"/>
          <w:lang w:val="en-US" w:eastAsia="zh-CN"/>
        </w:rPr>
        <w:t>近半年</w:t>
      </w:r>
      <w:r>
        <w:rPr>
          <w:rFonts w:hint="default"/>
        </w:rPr>
        <w:t>各项目</w:t>
      </w:r>
      <w:r>
        <w:rPr>
          <w:rFonts w:hint="eastAsia"/>
          <w:lang w:val="en-US" w:eastAsia="zh-CN"/>
        </w:rPr>
        <w:t>配置管理准确率为100%，满足KPI指标要求</w:t>
      </w:r>
      <w:r>
        <w:rPr>
          <w:rFonts w:hint="default"/>
        </w:rPr>
        <w:t>。</w:t>
      </w:r>
    </w:p>
    <w:p w14:paraId="2543048A">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通过强化数据维护与审核机制，有效保障了配置库数据的准确性与可靠性，为运维服务提供坚实的数据基础。</w:t>
      </w:r>
    </w:p>
    <w:p w14:paraId="02004EA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5" w:name="_Toc8697"/>
      <w:r>
        <w:rPr>
          <w:rFonts w:hint="eastAsia"/>
          <w:lang w:val="en-US" w:eastAsia="zh-CN"/>
        </w:rPr>
        <w:t>服务可用性和连续性管理情况总结</w:t>
      </w:r>
      <w:bookmarkEnd w:id="85"/>
    </w:p>
    <w:p w14:paraId="7FF6EE6B">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，服务可用性与连续性管理持续强化，主要工作成果如下：</w:t>
      </w:r>
    </w:p>
    <w:p w14:paraId="496A58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系统监控体系进一步完善，</w:t>
      </w:r>
      <w:r>
        <w:rPr>
          <w:rFonts w:hint="eastAsia"/>
          <w:lang w:val="en-US" w:eastAsia="zh-CN"/>
        </w:rPr>
        <w:t>服务</w:t>
      </w:r>
      <w:r>
        <w:rPr>
          <w:rFonts w:hint="default"/>
        </w:rPr>
        <w:t>可用率稳定在9</w:t>
      </w:r>
      <w:r>
        <w:rPr>
          <w:rFonts w:hint="eastAsia"/>
          <w:lang w:val="en-US" w:eastAsia="zh-CN"/>
        </w:rPr>
        <w:t>9</w:t>
      </w:r>
      <w:r>
        <w:rPr>
          <w:rFonts w:hint="default"/>
        </w:rPr>
        <w:t>%以上。平台故障反馈入口持续优化，确保用户能够快速、便捷地进行故障上报。7×24小时故障响应团队有效运转，保障了突发事件的及时响应与处置。</w:t>
      </w:r>
    </w:p>
    <w:p w14:paraId="449D421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通过使用监控工具，没有发生服务中断，系统运行稳定。</w:t>
      </w:r>
    </w:p>
    <w:p w14:paraId="3F4BAF0B">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6" w:name="_Toc18683"/>
      <w:r>
        <w:rPr>
          <w:rFonts w:hint="eastAsia"/>
          <w:lang w:val="en-US" w:eastAsia="zh-CN"/>
        </w:rPr>
        <w:t>容量管理情况总结</w:t>
      </w:r>
      <w:bookmarkEnd w:id="86"/>
    </w:p>
    <w:p w14:paraId="6DDC278C">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，系统容量管理持续开展精细化运营，主要工作情况如下：</w:t>
      </w:r>
    </w:p>
    <w:p w14:paraId="0DB8A5F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持续对潜在容量风险进行监控与分析，完善事件预案及处置流程记录机制。按计划组织召开容量分析会议，总结阶段性经验并优化管理策略与流程。</w:t>
      </w:r>
      <w:r>
        <w:rPr>
          <w:rFonts w:hint="eastAsia"/>
          <w:lang w:val="en-US" w:eastAsia="zh-CN"/>
        </w:rPr>
        <w:t>到目前为止，</w:t>
      </w:r>
      <w:r>
        <w:rPr>
          <w:rFonts w:hint="default"/>
        </w:rPr>
        <w:t>未发生因容量原因导致的事件。</w:t>
      </w:r>
    </w:p>
    <w:p w14:paraId="68983C91">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7" w:name="_Toc24888"/>
      <w:r>
        <w:rPr>
          <w:rFonts w:hint="eastAsia"/>
          <w:lang w:val="en-US" w:eastAsia="zh-CN"/>
        </w:rPr>
        <w:t>信息安全管理总结</w:t>
      </w:r>
      <w:bookmarkEnd w:id="87"/>
    </w:p>
    <w:p w14:paraId="096C409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，信息安全管理工作有效推进，主要完成以下工作：</w:t>
      </w:r>
    </w:p>
    <w:p w14:paraId="6DFE6974">
      <w:pPr>
        <w:pStyle w:val="29"/>
        <w:keepNext w:val="0"/>
        <w:keepLines w:val="0"/>
        <w:pageBreakBefore w:val="0"/>
        <w:widowControl w:val="0"/>
        <w:numPr>
          <w:ilvl w:val="0"/>
          <w:numId w:val="24"/>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未发生客户信息泄露事件，未出现信息安全事故导致的客户投诉，各项指标符合运维服务能力管理要求</w:t>
      </w:r>
      <w:r>
        <w:rPr>
          <w:rFonts w:hint="eastAsia"/>
          <w:lang w:eastAsia="zh-CN"/>
        </w:rPr>
        <w:t>。</w:t>
      </w:r>
    </w:p>
    <w:p w14:paraId="41F912F5">
      <w:pPr>
        <w:pStyle w:val="29"/>
        <w:keepNext w:val="0"/>
        <w:keepLines w:val="0"/>
        <w:pageBreakBefore w:val="0"/>
        <w:widowControl w:val="0"/>
        <w:numPr>
          <w:ilvl w:val="0"/>
          <w:numId w:val="24"/>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系统推进信息安全防护工具使用培训，强化项目组成员实操能力与风险防控水平，从源头防范因技能不足引发的安全隐患；组织开展最新安全法规及管理制度专项培训，全面提升全员安全意识和合规操作能力。</w:t>
      </w:r>
    </w:p>
    <w:p w14:paraId="2E635A0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8" w:name="_Toc29604"/>
      <w:r>
        <w:rPr>
          <w:rFonts w:hint="eastAsia"/>
          <w:lang w:val="en-US" w:eastAsia="zh-CN"/>
        </w:rPr>
        <w:t>交付管理情况总结</w:t>
      </w:r>
      <w:bookmarkEnd w:id="88"/>
    </w:p>
    <w:p w14:paraId="099A39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截止2026年1月</w:t>
      </w:r>
      <w:r>
        <w:t>，公司持续推进服务交付管理制度的优化与实施工作。依据既定交付管理制度及SLA要求，结合客户需求分析，制定了相应的交付方案并严格按方案执行，确保各项交付记录按时完成。统计显示，</w:t>
      </w:r>
      <w:r>
        <w:rPr>
          <w:rFonts w:hint="eastAsia"/>
          <w:lang w:val="en-US" w:eastAsia="zh-CN"/>
        </w:rPr>
        <w:t>所有项目的服务报告均按时提交，及时率达到100%，满足KPI</w:t>
      </w:r>
      <w:r>
        <w:t>要求。</w:t>
      </w:r>
    </w:p>
    <w:p w14:paraId="2FB49B6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9" w:name="_Toc25125"/>
      <w:r>
        <w:rPr>
          <w:rFonts w:hint="eastAsia"/>
          <w:lang w:val="en-US" w:eastAsia="zh-CN"/>
        </w:rPr>
        <w:t>应急管理情况总结</w:t>
      </w:r>
      <w:bookmarkEnd w:id="89"/>
    </w:p>
    <w:p w14:paraId="2845920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截止2026年1月</w:t>
      </w:r>
      <w:r>
        <w:t>，公司持续完善应急响应管理体系，严格依据《</w:t>
      </w:r>
      <w:r>
        <w:rPr>
          <w:rFonts w:hint="eastAsia"/>
          <w:lang w:val="en-US" w:eastAsia="zh-CN"/>
        </w:rPr>
        <w:t>组织级</w:t>
      </w:r>
      <w:r>
        <w:t>应急管理制度》及《运维服务能力管理</w:t>
      </w:r>
      <w:r>
        <w:rPr>
          <w:rFonts w:hint="eastAsia"/>
          <w:lang w:val="en-US" w:eastAsia="zh-CN"/>
        </w:rPr>
        <w:t>计划</w:t>
      </w:r>
      <w:r>
        <w:t>》开展各项工作。有效落实应急响应机制，健全应急响应组织，优化应急预案内容，并针对各运维项目制定了相应的应急管理</w:t>
      </w:r>
      <w:r>
        <w:rPr>
          <w:rFonts w:hint="eastAsia"/>
          <w:lang w:val="en-US" w:eastAsia="zh-CN"/>
        </w:rPr>
        <w:t>制度</w:t>
      </w:r>
      <w:r>
        <w:t>。组织完成专项应急演练，应急预案覆盖率和及时响应率均达到既定目标要求。</w:t>
      </w:r>
      <w:r>
        <w:rPr>
          <w:rFonts w:hint="eastAsia"/>
          <w:lang w:val="en-US" w:eastAsia="zh-CN"/>
        </w:rPr>
        <w:t>满足每年至少进行1次应急演练的要求。</w:t>
      </w:r>
    </w:p>
    <w:p w14:paraId="0E4444EA">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0" w:name="_Toc16326"/>
      <w:r>
        <w:rPr>
          <w:rFonts w:hint="eastAsia"/>
          <w:lang w:val="en-US" w:eastAsia="zh-CN"/>
        </w:rPr>
        <w:t>质量管理总结</w:t>
      </w:r>
      <w:bookmarkEnd w:id="90"/>
    </w:p>
    <w:p w14:paraId="1E52FD4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1" w:name="_Toc7207"/>
      <w:r>
        <w:rPr>
          <w:rFonts w:hint="eastAsia"/>
          <w:lang w:val="en-US" w:eastAsia="zh-CN"/>
        </w:rPr>
        <w:t>运维服务质量内部审核情况总结</w:t>
      </w:r>
      <w:bookmarkEnd w:id="91"/>
    </w:p>
    <w:p w14:paraId="20DAC2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在2026年1月进行了一次内部审核，发现了一个不符合项，为一般不符合，已经由相关人员进行改正，质量部进行确认。所有运维相关部门均参与内审，内审覆盖率为100%。</w:t>
      </w:r>
    </w:p>
    <w:p w14:paraId="5286376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2" w:name="_Toc5420"/>
      <w:r>
        <w:rPr>
          <w:rFonts w:hint="eastAsia"/>
          <w:lang w:val="en-US" w:eastAsia="zh-CN"/>
        </w:rPr>
        <w:t>运维服务质量管理评审情况总结</w:t>
      </w:r>
      <w:bookmarkEnd w:id="92"/>
    </w:p>
    <w:p w14:paraId="16EFDCB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t>于202</w:t>
      </w:r>
      <w:r>
        <w:rPr>
          <w:rFonts w:hint="eastAsia"/>
          <w:lang w:val="en-US" w:eastAsia="zh-CN"/>
        </w:rPr>
        <w:t>6</w:t>
      </w:r>
      <w:r>
        <w:t>年</w:t>
      </w:r>
      <w:r>
        <w:rPr>
          <w:rFonts w:hint="eastAsia"/>
          <w:lang w:val="en-US" w:eastAsia="zh-CN"/>
        </w:rPr>
        <w:t>1</w:t>
      </w:r>
      <w:r>
        <w:t>月</w:t>
      </w:r>
      <w:r>
        <w:rPr>
          <w:rFonts w:hint="eastAsia"/>
          <w:lang w:val="en-US" w:eastAsia="zh-CN"/>
        </w:rPr>
        <w:t>20日</w:t>
      </w:r>
      <w:r>
        <w:t>进行</w:t>
      </w:r>
      <w:r>
        <w:rPr>
          <w:rFonts w:hint="eastAsia"/>
          <w:lang w:val="en-US" w:eastAsia="zh-CN"/>
        </w:rPr>
        <w:t>管评工作。</w:t>
      </w:r>
      <w:r>
        <w:t>全面的总结了公司运维能力体系的运行情况，肯定了质量管理体系运行的适宜性、有效性。通过这次管理评审，总结了经验，将更有力的推动公司持续发展。</w:t>
      </w:r>
    </w:p>
    <w:p w14:paraId="405CE3F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3" w:name="_Toc30165"/>
      <w:r>
        <w:rPr>
          <w:rFonts w:hint="eastAsia"/>
          <w:lang w:val="en-US" w:eastAsia="zh-CN"/>
        </w:rPr>
        <w:t>客户满意度调查及分析情况总结</w:t>
      </w:r>
      <w:bookmarkEnd w:id="93"/>
    </w:p>
    <w:p w14:paraId="35BDADBB">
      <w:pPr>
        <w:pStyle w:val="29"/>
        <w:keepNext w:val="0"/>
        <w:keepLines w:val="0"/>
        <w:pageBreakBefore w:val="0"/>
        <w:widowControl w:val="0"/>
        <w:kinsoku w:val="0"/>
        <w:wordWrap/>
        <w:overflowPunct/>
        <w:autoSpaceDE w:val="0"/>
        <w:autoSpaceDN w:val="0"/>
        <w:bidi w:val="0"/>
        <w:adjustRightInd w:val="0"/>
        <w:snapToGrid w:val="0"/>
        <w:textAlignment w:val="baseline"/>
      </w:pPr>
      <w:r>
        <w:t>对已统计的用户满意度调查问卷结果进行分析，</w:t>
      </w:r>
      <w:r>
        <w:rPr>
          <w:rFonts w:hint="eastAsia"/>
          <w:lang w:val="en-US" w:eastAsia="zh-CN"/>
        </w:rPr>
        <w:t>截至</w:t>
      </w:r>
      <w:r>
        <w:t>202</w:t>
      </w:r>
      <w:r>
        <w:rPr>
          <w:rFonts w:hint="eastAsia"/>
          <w:lang w:val="en-US" w:eastAsia="zh-CN"/>
        </w:rPr>
        <w:t>6</w:t>
      </w:r>
      <w:r>
        <w:t>年</w:t>
      </w:r>
      <w:r>
        <w:rPr>
          <w:rFonts w:hint="eastAsia"/>
          <w:lang w:val="en-US" w:eastAsia="zh-CN"/>
        </w:rPr>
        <w:t>1月</w:t>
      </w:r>
      <w:r>
        <w:t>运维服务业务总体的客户满意度平均分为</w:t>
      </w:r>
      <w:r>
        <w:rPr>
          <w:rFonts w:hint="eastAsia"/>
          <w:lang w:val="en-US" w:eastAsia="zh-CN"/>
        </w:rPr>
        <w:t>95</w:t>
      </w:r>
      <w:r>
        <w:t>分，通过调查分数以及客户提出的改进意见，质量部发现运维服务过程中有提高的空间。</w:t>
      </w:r>
    </w:p>
    <w:p w14:paraId="2A3F61E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4" w:name="_Toc19999"/>
      <w:r>
        <w:rPr>
          <w:rFonts w:hint="eastAsia"/>
          <w:lang w:val="en-US" w:eastAsia="zh-CN"/>
        </w:rPr>
        <w:t>SLA达成率情况分析</w:t>
      </w:r>
      <w:bookmarkEnd w:id="94"/>
    </w:p>
    <w:p w14:paraId="0DEF074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据统计，所有项目的SLA达成率均为100%，满足年度SLA达成率≥95%的KPI要求。</w:t>
      </w:r>
    </w:p>
    <w:p w14:paraId="02A8E345">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5" w:name="_Toc32288"/>
      <w:r>
        <w:rPr>
          <w:rFonts w:hint="eastAsia"/>
          <w:lang w:val="en-US" w:eastAsia="zh-CN"/>
        </w:rPr>
        <w:t>服务能力改进情况总结</w:t>
      </w:r>
      <w:bookmarkEnd w:id="95"/>
    </w:p>
    <w:p w14:paraId="1374DDA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针对内部审核发现的不符合项，有计划性的进行培训。针对客户提出的改进意见积极归纳总结。</w:t>
      </w:r>
    </w:p>
    <w:p w14:paraId="221CBDF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针对最终软件库不满足KPI指标情况及时进行培训，质量部加强监督</w:t>
      </w:r>
    </w:p>
    <w:p w14:paraId="794213F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针对用户满意度调查中发现的问题：</w:t>
      </w:r>
    </w:p>
    <w:p w14:paraId="7F6D9591">
      <w:pPr>
        <w:pStyle w:val="3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运维人员在定期巡检的服务互动性</w:t>
      </w:r>
      <w:r>
        <w:t>上有所欠缺</w:t>
      </w:r>
      <w:r>
        <w:rPr>
          <w:rFonts w:hint="eastAsia"/>
        </w:rPr>
        <w:t>；</w:t>
      </w:r>
    </w:p>
    <w:p w14:paraId="7C1062B5">
      <w:pPr>
        <w:pStyle w:val="3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运维服务过程针对培训效果的评估有待改进。</w:t>
      </w:r>
    </w:p>
    <w:p w14:paraId="657C84D5">
      <w:pPr>
        <w:pStyle w:val="39"/>
        <w:keepNext w:val="0"/>
        <w:keepLines w:val="0"/>
        <w:pageBreakBefore w:val="0"/>
        <w:widowControl w:val="0"/>
        <w:numPr>
          <w:ilvl w:val="0"/>
          <w:numId w:val="0"/>
        </w:numPr>
        <w:kinsoku w:val="0"/>
        <w:wordWrap/>
        <w:overflowPunct/>
        <w:autoSpaceDE w:val="0"/>
        <w:autoSpaceDN w:val="0"/>
        <w:bidi w:val="0"/>
        <w:adjustRightInd w:val="0"/>
        <w:snapToGrid w:val="0"/>
        <w:ind w:leftChars="0"/>
        <w:textAlignment w:val="baseline"/>
        <w:rPr>
          <w:rFonts w:hint="eastAsia"/>
          <w:lang w:val="en-US" w:eastAsia="zh-CN"/>
        </w:rPr>
      </w:pPr>
      <w:r>
        <w:rPr>
          <w:rFonts w:hint="eastAsia"/>
          <w:lang w:val="en-US" w:eastAsia="zh-CN"/>
        </w:rPr>
        <w:t>采取以下措施：</w:t>
      </w:r>
    </w:p>
    <w:p w14:paraId="25FE08BB">
      <w:pPr>
        <w:pStyle w:val="39"/>
        <w:numPr>
          <w:ilvl w:val="0"/>
          <w:numId w:val="26"/>
        </w:numPr>
        <w:bidi w:val="0"/>
        <w:rPr>
          <w:rFonts w:hint="eastAsia"/>
        </w:rPr>
      </w:pPr>
      <w:r>
        <w:rPr>
          <w:rFonts w:hint="eastAsia"/>
        </w:rPr>
        <w:t>加强对运维服务专业人员专业知识的培训，强化定期巡检意识；</w:t>
      </w:r>
    </w:p>
    <w:p w14:paraId="61374D50">
      <w:pPr>
        <w:pStyle w:val="39"/>
        <w:numPr>
          <w:ilvl w:val="0"/>
          <w:numId w:val="26"/>
        </w:numPr>
        <w:bidi w:val="0"/>
      </w:pPr>
      <w:r>
        <w:rPr>
          <w:rFonts w:hint="eastAsia"/>
        </w:rPr>
        <w:t>针对运维服务过程发起的培训工作，加强培训效果评价工作。</w:t>
      </w:r>
    </w:p>
    <w:p w14:paraId="54C62133">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96" w:name="bookmark3"/>
      <w:bookmarkEnd w:id="96"/>
      <w:bookmarkStart w:id="97" w:name="_Toc3187"/>
      <w:bookmarkStart w:id="98" w:name="_Toc17424"/>
      <w:r>
        <w:rPr>
          <w:rStyle w:val="38"/>
          <w:rFonts w:hint="eastAsia" w:eastAsia="宋体"/>
          <w:lang w:val="en-US" w:eastAsia="zh-CN"/>
        </w:rPr>
        <w:t>附则</w:t>
      </w:r>
      <w:bookmarkEnd w:id="97"/>
      <w:bookmarkEnd w:id="98"/>
    </w:p>
    <w:p w14:paraId="427B4D16">
      <w:pPr>
        <w:keepNext w:val="0"/>
        <w:keepLines w:val="0"/>
        <w:pageBreakBefore w:val="0"/>
        <w:widowControl w:val="0"/>
        <w:numPr>
          <w:ilvl w:val="0"/>
          <w:numId w:val="0"/>
        </w:numPr>
        <w:kinsoku w:val="0"/>
        <w:wordWrap/>
        <w:overflowPunct/>
        <w:topLinePunct/>
        <w:autoSpaceDE w:val="0"/>
        <w:autoSpaceDN w:val="0"/>
        <w:bidi w:val="0"/>
        <w:adjustRightInd w:val="0"/>
        <w:snapToGrid w:val="0"/>
        <w:spacing w:line="360" w:lineRule="auto"/>
        <w:ind w:leftChars="0"/>
        <w:textAlignment w:val="baseline"/>
        <w:rPr>
          <w:rFonts w:hint="eastAsia"/>
          <w:lang w:val="en-US" w:eastAsia="zh-CN"/>
        </w:rPr>
      </w:pPr>
      <w:r>
        <w:rPr>
          <w:rFonts w:ascii="宋体" w:hAnsi="宋体" w:eastAsia="宋体" w:cs="宋体"/>
          <w:spacing w:val="-1"/>
          <w:sz w:val="24"/>
          <w:szCs w:val="24"/>
        </w:rPr>
        <w:t>本</w:t>
      </w:r>
      <w:r>
        <w:rPr>
          <w:rFonts w:hint="eastAsia" w:ascii="宋体" w:hAnsi="宋体" w:cs="宋体"/>
          <w:spacing w:val="-1"/>
          <w:sz w:val="24"/>
          <w:szCs w:val="24"/>
          <w:lang w:val="en-US" w:eastAsia="zh-CN"/>
        </w:rPr>
        <w:t>报告</w:t>
      </w:r>
      <w:r>
        <w:rPr>
          <w:rFonts w:ascii="宋体" w:hAnsi="宋体" w:eastAsia="宋体" w:cs="宋体"/>
          <w:spacing w:val="-1"/>
          <w:sz w:val="24"/>
          <w:szCs w:val="24"/>
        </w:rPr>
        <w:t>最终解释权和修订权归</w:t>
      </w:r>
      <w:r>
        <w:rPr>
          <w:rFonts w:hint="eastAsia" w:ascii="宋体" w:hAnsi="宋体" w:eastAsia="宋体" w:cs="宋体"/>
          <w:spacing w:val="-1"/>
          <w:sz w:val="24"/>
          <w:szCs w:val="24"/>
          <w:lang w:val="en-US" w:eastAsia="zh-CN"/>
        </w:rPr>
        <w:t>质量部</w:t>
      </w:r>
      <w:r>
        <w:rPr>
          <w:rFonts w:ascii="宋体" w:hAnsi="宋体" w:eastAsia="宋体" w:cs="宋体"/>
          <w:spacing w:val="-1"/>
          <w:sz w:val="24"/>
          <w:szCs w:val="24"/>
        </w:rPr>
        <w:t>。</w:t>
      </w:r>
      <w:bookmarkStart w:id="99" w:name="bookmark14"/>
      <w:bookmarkEnd w:id="99"/>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E16B4B">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9F783"/>
    <w:multiLevelType w:val="singleLevel"/>
    <w:tmpl w:val="84F9F783"/>
    <w:lvl w:ilvl="0" w:tentative="0">
      <w:start w:val="1"/>
      <w:numFmt w:val="decimal"/>
      <w:suff w:val="space"/>
      <w:lvlText w:val="%1."/>
      <w:lvlJc w:val="left"/>
    </w:lvl>
  </w:abstractNum>
  <w:abstractNum w:abstractNumId="1">
    <w:nsid w:val="87E7EBE7"/>
    <w:multiLevelType w:val="singleLevel"/>
    <w:tmpl w:val="87E7EBE7"/>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032951E"/>
    <w:multiLevelType w:val="singleLevel"/>
    <w:tmpl w:val="9032951E"/>
    <w:lvl w:ilvl="0" w:tentative="0">
      <w:start w:val="1"/>
      <w:numFmt w:val="decimal"/>
      <w:lvlText w:val="%1."/>
      <w:lvlJc w:val="left"/>
      <w:pPr>
        <w:ind w:left="425" w:hanging="425"/>
      </w:pPr>
      <w:rPr>
        <w:rFonts w:hint="default"/>
      </w:rPr>
    </w:lvl>
  </w:abstractNum>
  <w:abstractNum w:abstractNumId="4">
    <w:nsid w:val="993C05C7"/>
    <w:multiLevelType w:val="singleLevel"/>
    <w:tmpl w:val="993C05C7"/>
    <w:lvl w:ilvl="0" w:tentative="0">
      <w:start w:val="1"/>
      <w:numFmt w:val="decimal"/>
      <w:lvlText w:val="%1."/>
      <w:lvlJc w:val="left"/>
      <w:pPr>
        <w:ind w:left="425" w:hanging="425"/>
      </w:pPr>
      <w:rPr>
        <w:rFonts w:hint="default"/>
      </w:rPr>
    </w:lvl>
  </w:abstractNum>
  <w:abstractNum w:abstractNumId="5">
    <w:nsid w:val="A0DA52D0"/>
    <w:multiLevelType w:val="singleLevel"/>
    <w:tmpl w:val="A0DA52D0"/>
    <w:lvl w:ilvl="0" w:tentative="0">
      <w:start w:val="1"/>
      <w:numFmt w:val="decimal"/>
      <w:lvlText w:val="%1."/>
      <w:lvlJc w:val="left"/>
      <w:pPr>
        <w:ind w:left="425" w:hanging="425"/>
      </w:pPr>
      <w:rPr>
        <w:rFonts w:hint="default"/>
      </w:rPr>
    </w:lvl>
  </w:abstractNum>
  <w:abstractNum w:abstractNumId="6">
    <w:nsid w:val="B045D1CB"/>
    <w:multiLevelType w:val="singleLevel"/>
    <w:tmpl w:val="B045D1CB"/>
    <w:lvl w:ilvl="0" w:tentative="0">
      <w:start w:val="1"/>
      <w:numFmt w:val="decimal"/>
      <w:lvlText w:val="%1."/>
      <w:lvlJc w:val="left"/>
      <w:pPr>
        <w:ind w:left="425" w:hanging="425"/>
      </w:pPr>
      <w:rPr>
        <w:rFonts w:hint="default"/>
      </w:rPr>
    </w:lvl>
  </w:abstractNum>
  <w:abstractNum w:abstractNumId="7">
    <w:nsid w:val="B6C4A339"/>
    <w:multiLevelType w:val="singleLevel"/>
    <w:tmpl w:val="B6C4A339"/>
    <w:lvl w:ilvl="0" w:tentative="0">
      <w:start w:val="1"/>
      <w:numFmt w:val="decimal"/>
      <w:lvlText w:val="%1."/>
      <w:lvlJc w:val="left"/>
      <w:pPr>
        <w:ind w:left="425" w:hanging="425"/>
      </w:pPr>
      <w:rPr>
        <w:rFonts w:hint="default"/>
      </w:rPr>
    </w:lvl>
  </w:abstractNum>
  <w:abstractNum w:abstractNumId="8">
    <w:nsid w:val="B7628C6B"/>
    <w:multiLevelType w:val="singleLevel"/>
    <w:tmpl w:val="B7628C6B"/>
    <w:lvl w:ilvl="0" w:tentative="0">
      <w:start w:val="1"/>
      <w:numFmt w:val="decimal"/>
      <w:lvlText w:val="%1."/>
      <w:lvlJc w:val="left"/>
      <w:pPr>
        <w:ind w:left="425" w:hanging="425"/>
      </w:pPr>
      <w:rPr>
        <w:rFonts w:hint="default"/>
      </w:rPr>
    </w:lvl>
  </w:abstractNum>
  <w:abstractNum w:abstractNumId="9">
    <w:nsid w:val="C759F1A5"/>
    <w:multiLevelType w:val="singleLevel"/>
    <w:tmpl w:val="C759F1A5"/>
    <w:lvl w:ilvl="0" w:tentative="0">
      <w:start w:val="1"/>
      <w:numFmt w:val="decimal"/>
      <w:lvlText w:val="%1."/>
      <w:lvlJc w:val="left"/>
      <w:pPr>
        <w:ind w:left="425" w:hanging="425"/>
      </w:pPr>
      <w:rPr>
        <w:rFonts w:hint="default"/>
      </w:rPr>
    </w:lvl>
  </w:abstractNum>
  <w:abstractNum w:abstractNumId="10">
    <w:nsid w:val="DC8D00BB"/>
    <w:multiLevelType w:val="singleLevel"/>
    <w:tmpl w:val="DC8D00BB"/>
    <w:lvl w:ilvl="0" w:tentative="0">
      <w:start w:val="1"/>
      <w:numFmt w:val="decimal"/>
      <w:lvlText w:val="%1."/>
      <w:lvlJc w:val="left"/>
      <w:pPr>
        <w:ind w:left="425" w:hanging="425"/>
      </w:pPr>
      <w:rPr>
        <w:rFonts w:hint="default"/>
      </w:rPr>
    </w:lvl>
  </w:abstractNum>
  <w:abstractNum w:abstractNumId="11">
    <w:nsid w:val="EF2A17AD"/>
    <w:multiLevelType w:val="singleLevel"/>
    <w:tmpl w:val="EF2A17AD"/>
    <w:lvl w:ilvl="0" w:tentative="0">
      <w:start w:val="1"/>
      <w:numFmt w:val="decimal"/>
      <w:lvlText w:val="%1."/>
      <w:lvlJc w:val="left"/>
      <w:pPr>
        <w:ind w:left="425" w:hanging="425"/>
      </w:pPr>
      <w:rPr>
        <w:rFonts w:hint="default"/>
      </w:rPr>
    </w:lvl>
  </w:abstractNum>
  <w:abstractNum w:abstractNumId="12">
    <w:nsid w:val="F459ECDB"/>
    <w:multiLevelType w:val="singleLevel"/>
    <w:tmpl w:val="F459ECDB"/>
    <w:lvl w:ilvl="0" w:tentative="0">
      <w:start w:val="1"/>
      <w:numFmt w:val="decimal"/>
      <w:lvlText w:val="(%1)"/>
      <w:lvlJc w:val="left"/>
      <w:pPr>
        <w:ind w:left="425" w:hanging="425"/>
      </w:pPr>
      <w:rPr>
        <w:rFonts w:hint="default"/>
      </w:rPr>
    </w:lvl>
  </w:abstractNum>
  <w:abstractNum w:abstractNumId="13">
    <w:nsid w:val="0417E7D9"/>
    <w:multiLevelType w:val="singleLevel"/>
    <w:tmpl w:val="0417E7D9"/>
    <w:lvl w:ilvl="0" w:tentative="0">
      <w:start w:val="1"/>
      <w:numFmt w:val="decimal"/>
      <w:lvlText w:val="%1."/>
      <w:lvlJc w:val="left"/>
      <w:pPr>
        <w:ind w:left="425" w:hanging="425"/>
      </w:pPr>
      <w:rPr>
        <w:rFonts w:hint="default"/>
      </w:rPr>
    </w:lvl>
  </w:abstractNum>
  <w:abstractNum w:abstractNumId="14">
    <w:nsid w:val="0FB92D63"/>
    <w:multiLevelType w:val="singleLevel"/>
    <w:tmpl w:val="0FB92D63"/>
    <w:lvl w:ilvl="0" w:tentative="0">
      <w:start w:val="1"/>
      <w:numFmt w:val="decimal"/>
      <w:lvlText w:val="%1."/>
      <w:lvlJc w:val="left"/>
      <w:pPr>
        <w:ind w:left="425" w:hanging="425"/>
      </w:pPr>
      <w:rPr>
        <w:rFonts w:hint="default"/>
      </w:rPr>
    </w:lvl>
  </w:abstractNum>
  <w:abstractNum w:abstractNumId="15">
    <w:nsid w:val="13D8067B"/>
    <w:multiLevelType w:val="singleLevel"/>
    <w:tmpl w:val="13D8067B"/>
    <w:lvl w:ilvl="0" w:tentative="0">
      <w:start w:val="1"/>
      <w:numFmt w:val="decimal"/>
      <w:lvlText w:val="%1."/>
      <w:lvlJc w:val="left"/>
      <w:pPr>
        <w:ind w:left="425" w:hanging="425"/>
      </w:pPr>
      <w:rPr>
        <w:rFonts w:hint="default"/>
      </w:rPr>
    </w:lvl>
  </w:abstractNum>
  <w:abstractNum w:abstractNumId="16">
    <w:nsid w:val="230144B1"/>
    <w:multiLevelType w:val="singleLevel"/>
    <w:tmpl w:val="230144B1"/>
    <w:lvl w:ilvl="0" w:tentative="0">
      <w:start w:val="1"/>
      <w:numFmt w:val="decimal"/>
      <w:suff w:val="space"/>
      <w:lvlText w:val="%1."/>
      <w:lvlJc w:val="left"/>
    </w:lvl>
  </w:abstractNum>
  <w:abstractNum w:abstractNumId="17">
    <w:nsid w:val="2A58BF86"/>
    <w:multiLevelType w:val="singleLevel"/>
    <w:tmpl w:val="2A58BF86"/>
    <w:lvl w:ilvl="0" w:tentative="0">
      <w:start w:val="1"/>
      <w:numFmt w:val="decimal"/>
      <w:lvlText w:val="%1."/>
      <w:lvlJc w:val="left"/>
      <w:pPr>
        <w:ind w:left="425" w:hanging="425"/>
      </w:pPr>
      <w:rPr>
        <w:rFonts w:hint="default"/>
      </w:rPr>
    </w:lvl>
  </w:abstractNum>
  <w:abstractNum w:abstractNumId="18">
    <w:nsid w:val="327173FB"/>
    <w:multiLevelType w:val="singleLevel"/>
    <w:tmpl w:val="327173FB"/>
    <w:lvl w:ilvl="0" w:tentative="0">
      <w:start w:val="1"/>
      <w:numFmt w:val="decimal"/>
      <w:lvlText w:val="%1."/>
      <w:lvlJc w:val="left"/>
      <w:pPr>
        <w:ind w:left="425" w:hanging="425"/>
      </w:pPr>
      <w:rPr>
        <w:rFonts w:hint="default"/>
      </w:rPr>
    </w:lvl>
  </w:abstractNum>
  <w:abstractNum w:abstractNumId="19">
    <w:nsid w:val="3667DD03"/>
    <w:multiLevelType w:val="singleLevel"/>
    <w:tmpl w:val="3667DD03"/>
    <w:lvl w:ilvl="0" w:tentative="0">
      <w:start w:val="1"/>
      <w:numFmt w:val="decimal"/>
      <w:suff w:val="space"/>
      <w:lvlText w:val="%1."/>
      <w:lvlJc w:val="left"/>
    </w:lvl>
  </w:abstractNum>
  <w:abstractNum w:abstractNumId="20">
    <w:nsid w:val="4199DF76"/>
    <w:multiLevelType w:val="singleLevel"/>
    <w:tmpl w:val="4199DF76"/>
    <w:lvl w:ilvl="0" w:tentative="0">
      <w:start w:val="1"/>
      <w:numFmt w:val="decimal"/>
      <w:lvlText w:val="%1."/>
      <w:lvlJc w:val="left"/>
      <w:pPr>
        <w:ind w:left="425" w:hanging="425"/>
      </w:pPr>
      <w:rPr>
        <w:rFonts w:hint="default"/>
      </w:rPr>
    </w:lvl>
  </w:abstractNum>
  <w:abstractNum w:abstractNumId="21">
    <w:nsid w:val="4EF89E65"/>
    <w:multiLevelType w:val="singleLevel"/>
    <w:tmpl w:val="4EF89E65"/>
    <w:lvl w:ilvl="0" w:tentative="0">
      <w:start w:val="1"/>
      <w:numFmt w:val="decimal"/>
      <w:lvlText w:val="%1."/>
      <w:lvlJc w:val="left"/>
      <w:pPr>
        <w:ind w:left="425" w:hanging="425"/>
      </w:pPr>
      <w:rPr>
        <w:rFonts w:hint="default"/>
      </w:rPr>
    </w:lvl>
  </w:abstractNum>
  <w:abstractNum w:abstractNumId="22">
    <w:nsid w:val="562F5956"/>
    <w:multiLevelType w:val="singleLevel"/>
    <w:tmpl w:val="562F5956"/>
    <w:lvl w:ilvl="0" w:tentative="0">
      <w:start w:val="1"/>
      <w:numFmt w:val="decimal"/>
      <w:lvlText w:val="%1."/>
      <w:lvlJc w:val="left"/>
      <w:pPr>
        <w:ind w:left="425" w:hanging="425"/>
      </w:pPr>
      <w:rPr>
        <w:rFonts w:hint="default"/>
      </w:rPr>
    </w:lvl>
  </w:abstractNum>
  <w:abstractNum w:abstractNumId="23">
    <w:nsid w:val="77E59E5B"/>
    <w:multiLevelType w:val="singleLevel"/>
    <w:tmpl w:val="77E59E5B"/>
    <w:lvl w:ilvl="0" w:tentative="0">
      <w:start w:val="1"/>
      <w:numFmt w:val="decimal"/>
      <w:lvlText w:val="%1."/>
      <w:lvlJc w:val="left"/>
      <w:pPr>
        <w:ind w:left="425" w:hanging="425"/>
      </w:pPr>
      <w:rPr>
        <w:rFonts w:hint="default"/>
      </w:rPr>
    </w:lvl>
  </w:abstractNum>
  <w:abstractNum w:abstractNumId="24">
    <w:nsid w:val="7C911AA6"/>
    <w:multiLevelType w:val="singleLevel"/>
    <w:tmpl w:val="7C911AA6"/>
    <w:lvl w:ilvl="0" w:tentative="0">
      <w:start w:val="1"/>
      <w:numFmt w:val="decimal"/>
      <w:lvlText w:val="%1."/>
      <w:lvlJc w:val="left"/>
      <w:pPr>
        <w:ind w:left="425" w:hanging="425"/>
      </w:pPr>
      <w:rPr>
        <w:rFonts w:hint="default"/>
      </w:rPr>
    </w:lvl>
  </w:abstractNum>
  <w:abstractNum w:abstractNumId="25">
    <w:nsid w:val="7CB0EA2D"/>
    <w:multiLevelType w:val="singleLevel"/>
    <w:tmpl w:val="7CB0EA2D"/>
    <w:lvl w:ilvl="0" w:tentative="0">
      <w:start w:val="1"/>
      <w:numFmt w:val="decimal"/>
      <w:suff w:val="space"/>
      <w:lvlText w:val="%1."/>
      <w:lvlJc w:val="left"/>
    </w:lvl>
  </w:abstractNum>
  <w:num w:numId="1">
    <w:abstractNumId w:val="2"/>
  </w:num>
  <w:num w:numId="2">
    <w:abstractNumId w:val="10"/>
  </w:num>
  <w:num w:numId="3">
    <w:abstractNumId w:val="15"/>
  </w:num>
  <w:num w:numId="4">
    <w:abstractNumId w:val="6"/>
  </w:num>
  <w:num w:numId="5">
    <w:abstractNumId w:val="11"/>
  </w:num>
  <w:num w:numId="6">
    <w:abstractNumId w:val="12"/>
  </w:num>
  <w:num w:numId="7">
    <w:abstractNumId w:val="3"/>
  </w:num>
  <w:num w:numId="8">
    <w:abstractNumId w:val="18"/>
  </w:num>
  <w:num w:numId="9">
    <w:abstractNumId w:val="23"/>
  </w:num>
  <w:num w:numId="10">
    <w:abstractNumId w:val="19"/>
  </w:num>
  <w:num w:numId="11">
    <w:abstractNumId w:val="16"/>
  </w:num>
  <w:num w:numId="12">
    <w:abstractNumId w:val="0"/>
  </w:num>
  <w:num w:numId="13">
    <w:abstractNumId w:val="20"/>
  </w:num>
  <w:num w:numId="14">
    <w:abstractNumId w:val="14"/>
  </w:num>
  <w:num w:numId="15">
    <w:abstractNumId w:val="25"/>
  </w:num>
  <w:num w:numId="16">
    <w:abstractNumId w:val="5"/>
  </w:num>
  <w:num w:numId="17">
    <w:abstractNumId w:val="8"/>
  </w:num>
  <w:num w:numId="18">
    <w:abstractNumId w:val="21"/>
  </w:num>
  <w:num w:numId="19">
    <w:abstractNumId w:val="24"/>
  </w:num>
  <w:num w:numId="20">
    <w:abstractNumId w:val="9"/>
  </w:num>
  <w:num w:numId="21">
    <w:abstractNumId w:val="7"/>
  </w:num>
  <w:num w:numId="22">
    <w:abstractNumId w:val="4"/>
  </w:num>
  <w:num w:numId="23">
    <w:abstractNumId w:val="22"/>
  </w:num>
  <w:num w:numId="24">
    <w:abstractNumId w:val="1"/>
  </w:num>
  <w:num w:numId="25">
    <w:abstractNumId w:val="13"/>
  </w:num>
  <w:num w:numId="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F0A1D"/>
    <w:rsid w:val="016043AA"/>
    <w:rsid w:val="016320EC"/>
    <w:rsid w:val="018368C5"/>
    <w:rsid w:val="01BD7A4F"/>
    <w:rsid w:val="02477318"/>
    <w:rsid w:val="029C0683"/>
    <w:rsid w:val="02D212D8"/>
    <w:rsid w:val="02D92666"/>
    <w:rsid w:val="03B43AFC"/>
    <w:rsid w:val="03B44E81"/>
    <w:rsid w:val="03BB6210"/>
    <w:rsid w:val="03C50E3C"/>
    <w:rsid w:val="04137DFA"/>
    <w:rsid w:val="04455AD9"/>
    <w:rsid w:val="048A28FC"/>
    <w:rsid w:val="04B01FDA"/>
    <w:rsid w:val="05880223"/>
    <w:rsid w:val="061340E1"/>
    <w:rsid w:val="06963BDB"/>
    <w:rsid w:val="077C3C20"/>
    <w:rsid w:val="07F10452"/>
    <w:rsid w:val="07FE66CB"/>
    <w:rsid w:val="085705E0"/>
    <w:rsid w:val="085E53BC"/>
    <w:rsid w:val="08674270"/>
    <w:rsid w:val="08A07782"/>
    <w:rsid w:val="08DA7138"/>
    <w:rsid w:val="09C676BC"/>
    <w:rsid w:val="0AA55524"/>
    <w:rsid w:val="0AEB147C"/>
    <w:rsid w:val="0B803CF6"/>
    <w:rsid w:val="0C2C7CAB"/>
    <w:rsid w:val="0C4A147D"/>
    <w:rsid w:val="0C727688"/>
    <w:rsid w:val="0D2A4259"/>
    <w:rsid w:val="0DE246BD"/>
    <w:rsid w:val="0E6B2002"/>
    <w:rsid w:val="0E8B7067"/>
    <w:rsid w:val="0EAC50D3"/>
    <w:rsid w:val="0F1467D4"/>
    <w:rsid w:val="0F803E6A"/>
    <w:rsid w:val="10523A58"/>
    <w:rsid w:val="111156C1"/>
    <w:rsid w:val="12050515"/>
    <w:rsid w:val="12CF75E2"/>
    <w:rsid w:val="130059ED"/>
    <w:rsid w:val="130C4227"/>
    <w:rsid w:val="13914897"/>
    <w:rsid w:val="139D4FEA"/>
    <w:rsid w:val="13E76BAD"/>
    <w:rsid w:val="14036A01"/>
    <w:rsid w:val="14213671"/>
    <w:rsid w:val="14294AD0"/>
    <w:rsid w:val="14DE1D5E"/>
    <w:rsid w:val="155E69FB"/>
    <w:rsid w:val="15995ABF"/>
    <w:rsid w:val="1638724C"/>
    <w:rsid w:val="16526560"/>
    <w:rsid w:val="16A76BD1"/>
    <w:rsid w:val="16F51CB1"/>
    <w:rsid w:val="18CC4C93"/>
    <w:rsid w:val="194B7296"/>
    <w:rsid w:val="19D54A32"/>
    <w:rsid w:val="1A512FD2"/>
    <w:rsid w:val="1AB62E35"/>
    <w:rsid w:val="1B1262BE"/>
    <w:rsid w:val="1B9E3FF5"/>
    <w:rsid w:val="1BB1395D"/>
    <w:rsid w:val="1CB533A4"/>
    <w:rsid w:val="20322F5E"/>
    <w:rsid w:val="205E3D53"/>
    <w:rsid w:val="209F6845"/>
    <w:rsid w:val="210112AE"/>
    <w:rsid w:val="214B2529"/>
    <w:rsid w:val="21BD521F"/>
    <w:rsid w:val="21CA3995"/>
    <w:rsid w:val="22244B28"/>
    <w:rsid w:val="22763F87"/>
    <w:rsid w:val="22CA1B74"/>
    <w:rsid w:val="22CC769A"/>
    <w:rsid w:val="249E0BC2"/>
    <w:rsid w:val="24B84504"/>
    <w:rsid w:val="250D55E9"/>
    <w:rsid w:val="256242E5"/>
    <w:rsid w:val="257F09F3"/>
    <w:rsid w:val="25BD776E"/>
    <w:rsid w:val="263B7010"/>
    <w:rsid w:val="26A24392"/>
    <w:rsid w:val="27035654"/>
    <w:rsid w:val="279F35CF"/>
    <w:rsid w:val="28081174"/>
    <w:rsid w:val="283C2BCC"/>
    <w:rsid w:val="284B2E0F"/>
    <w:rsid w:val="28612452"/>
    <w:rsid w:val="2884607A"/>
    <w:rsid w:val="29127DD1"/>
    <w:rsid w:val="29A46C7B"/>
    <w:rsid w:val="29C3330B"/>
    <w:rsid w:val="29E067DF"/>
    <w:rsid w:val="2A2B739C"/>
    <w:rsid w:val="2AB0164F"/>
    <w:rsid w:val="2ACE1AD5"/>
    <w:rsid w:val="2AE84266"/>
    <w:rsid w:val="2B856638"/>
    <w:rsid w:val="2BF13CCD"/>
    <w:rsid w:val="2C715DC0"/>
    <w:rsid w:val="2CFE48F4"/>
    <w:rsid w:val="2DA57465"/>
    <w:rsid w:val="2DF33D2D"/>
    <w:rsid w:val="2E755089"/>
    <w:rsid w:val="2E8B665B"/>
    <w:rsid w:val="2F503401"/>
    <w:rsid w:val="2FE06533"/>
    <w:rsid w:val="30275F10"/>
    <w:rsid w:val="30336FAA"/>
    <w:rsid w:val="30BA044C"/>
    <w:rsid w:val="30BD39C6"/>
    <w:rsid w:val="31161062"/>
    <w:rsid w:val="311D0F11"/>
    <w:rsid w:val="314F1BC2"/>
    <w:rsid w:val="322070BA"/>
    <w:rsid w:val="327F6CA0"/>
    <w:rsid w:val="32835811"/>
    <w:rsid w:val="336851BD"/>
    <w:rsid w:val="339E473B"/>
    <w:rsid w:val="340053F5"/>
    <w:rsid w:val="35CD29C7"/>
    <w:rsid w:val="36A007CA"/>
    <w:rsid w:val="37895702"/>
    <w:rsid w:val="37D810B0"/>
    <w:rsid w:val="38172D0E"/>
    <w:rsid w:val="390A2872"/>
    <w:rsid w:val="39DD3690"/>
    <w:rsid w:val="39DE1F09"/>
    <w:rsid w:val="3A127C30"/>
    <w:rsid w:val="3AD46C94"/>
    <w:rsid w:val="3ADE4A86"/>
    <w:rsid w:val="3B1E43B3"/>
    <w:rsid w:val="3CC52D38"/>
    <w:rsid w:val="3DC70D32"/>
    <w:rsid w:val="3E065E83"/>
    <w:rsid w:val="3E155F41"/>
    <w:rsid w:val="3E165D39"/>
    <w:rsid w:val="3E66054B"/>
    <w:rsid w:val="3F524CDD"/>
    <w:rsid w:val="3F6525B0"/>
    <w:rsid w:val="3F8E1B07"/>
    <w:rsid w:val="3FA607EF"/>
    <w:rsid w:val="406359DC"/>
    <w:rsid w:val="41530C9E"/>
    <w:rsid w:val="41DF489C"/>
    <w:rsid w:val="424903C7"/>
    <w:rsid w:val="431B5017"/>
    <w:rsid w:val="44496945"/>
    <w:rsid w:val="44E21175"/>
    <w:rsid w:val="456B28EB"/>
    <w:rsid w:val="456D21BF"/>
    <w:rsid w:val="45927E77"/>
    <w:rsid w:val="4619144F"/>
    <w:rsid w:val="463B050F"/>
    <w:rsid w:val="473159CC"/>
    <w:rsid w:val="474F4272"/>
    <w:rsid w:val="47CF1FCE"/>
    <w:rsid w:val="4812704D"/>
    <w:rsid w:val="48AB372A"/>
    <w:rsid w:val="48D37835"/>
    <w:rsid w:val="48E24C72"/>
    <w:rsid w:val="48E42798"/>
    <w:rsid w:val="490A5B5D"/>
    <w:rsid w:val="49DD7DE6"/>
    <w:rsid w:val="4A080708"/>
    <w:rsid w:val="4A1D0657"/>
    <w:rsid w:val="4A3E412A"/>
    <w:rsid w:val="4A631DE2"/>
    <w:rsid w:val="4AF33166"/>
    <w:rsid w:val="4B49722A"/>
    <w:rsid w:val="4B4C0AC8"/>
    <w:rsid w:val="4B7424D9"/>
    <w:rsid w:val="4BAF1783"/>
    <w:rsid w:val="4C995F8F"/>
    <w:rsid w:val="4CF17B79"/>
    <w:rsid w:val="4FD95020"/>
    <w:rsid w:val="50203AD0"/>
    <w:rsid w:val="517F39A6"/>
    <w:rsid w:val="51B82A14"/>
    <w:rsid w:val="54C03CBE"/>
    <w:rsid w:val="54DD0775"/>
    <w:rsid w:val="55CC4CE0"/>
    <w:rsid w:val="55F10BEA"/>
    <w:rsid w:val="55FB55C5"/>
    <w:rsid w:val="56582A17"/>
    <w:rsid w:val="5697709C"/>
    <w:rsid w:val="56B91708"/>
    <w:rsid w:val="572915BD"/>
    <w:rsid w:val="57521214"/>
    <w:rsid w:val="57961A49"/>
    <w:rsid w:val="57B123DF"/>
    <w:rsid w:val="57F4051E"/>
    <w:rsid w:val="59BC42A8"/>
    <w:rsid w:val="59CB7611"/>
    <w:rsid w:val="5A137381"/>
    <w:rsid w:val="5AE126CC"/>
    <w:rsid w:val="5B166D51"/>
    <w:rsid w:val="5B286E5C"/>
    <w:rsid w:val="5B934902"/>
    <w:rsid w:val="5ED82947"/>
    <w:rsid w:val="5EDE3A37"/>
    <w:rsid w:val="5EFF1C82"/>
    <w:rsid w:val="5F853CEC"/>
    <w:rsid w:val="600D4872"/>
    <w:rsid w:val="61077514"/>
    <w:rsid w:val="612A136A"/>
    <w:rsid w:val="619C5EAE"/>
    <w:rsid w:val="61C36FD5"/>
    <w:rsid w:val="61DA5A55"/>
    <w:rsid w:val="621348BF"/>
    <w:rsid w:val="62E23D94"/>
    <w:rsid w:val="62FF66F4"/>
    <w:rsid w:val="645A14AD"/>
    <w:rsid w:val="64B11C70"/>
    <w:rsid w:val="659B161D"/>
    <w:rsid w:val="67D14B53"/>
    <w:rsid w:val="68047724"/>
    <w:rsid w:val="683F3A37"/>
    <w:rsid w:val="685E210F"/>
    <w:rsid w:val="685E3EBD"/>
    <w:rsid w:val="68F1591B"/>
    <w:rsid w:val="695D4175"/>
    <w:rsid w:val="69943AEF"/>
    <w:rsid w:val="6A2627B9"/>
    <w:rsid w:val="6AB853DB"/>
    <w:rsid w:val="6AC36824"/>
    <w:rsid w:val="6AE10DD5"/>
    <w:rsid w:val="6B285EAC"/>
    <w:rsid w:val="6C044D7B"/>
    <w:rsid w:val="6CC8224D"/>
    <w:rsid w:val="6D1A30F4"/>
    <w:rsid w:val="6D9D5488"/>
    <w:rsid w:val="6E8128E8"/>
    <w:rsid w:val="6F616041"/>
    <w:rsid w:val="6F9D0EE9"/>
    <w:rsid w:val="6FBC771B"/>
    <w:rsid w:val="71573B9F"/>
    <w:rsid w:val="71E4311C"/>
    <w:rsid w:val="72107262"/>
    <w:rsid w:val="7251514F"/>
    <w:rsid w:val="72B7421D"/>
    <w:rsid w:val="734D75EE"/>
    <w:rsid w:val="73DF0477"/>
    <w:rsid w:val="73E831D5"/>
    <w:rsid w:val="75157FF9"/>
    <w:rsid w:val="75387844"/>
    <w:rsid w:val="760277D4"/>
    <w:rsid w:val="76A52BBD"/>
    <w:rsid w:val="76B850E0"/>
    <w:rsid w:val="76F93003"/>
    <w:rsid w:val="773F135E"/>
    <w:rsid w:val="779D132A"/>
    <w:rsid w:val="77BF249E"/>
    <w:rsid w:val="77EB6DF0"/>
    <w:rsid w:val="780E2ADE"/>
    <w:rsid w:val="78540E39"/>
    <w:rsid w:val="787119EB"/>
    <w:rsid w:val="789800D0"/>
    <w:rsid w:val="789D458E"/>
    <w:rsid w:val="79BF22E2"/>
    <w:rsid w:val="7A97325F"/>
    <w:rsid w:val="7AA31C03"/>
    <w:rsid w:val="7B1D3BFF"/>
    <w:rsid w:val="7B5D5641"/>
    <w:rsid w:val="7C9537CE"/>
    <w:rsid w:val="7CAA54CB"/>
    <w:rsid w:val="7D5D253D"/>
    <w:rsid w:val="7DA4016C"/>
    <w:rsid w:val="7DB12889"/>
    <w:rsid w:val="7DB163E5"/>
    <w:rsid w:val="7DE06CCB"/>
    <w:rsid w:val="7F1E3F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6882</Words>
  <Characters>7804</Characters>
  <Lines>0</Lines>
  <Paragraphs>0</Paragraphs>
  <TotalTime>27</TotalTime>
  <ScaleCrop>false</ScaleCrop>
  <LinksUpToDate>false</LinksUpToDate>
  <CharactersWithSpaces>8081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2026-03-09T09:08:15Z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B37FE4BF1B7D48229AAEA75AF5C0A59B_13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