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47E879">
      <w:pPr>
        <w:pStyle w:val="24"/>
        <w:bidi w:val="0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天津市华夏电缆有限公司</w:t>
      </w:r>
    </w:p>
    <w:p w14:paraId="25DFF39B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满意度调查报告</w:t>
      </w:r>
    </w:p>
    <w:p w14:paraId="2322BD56">
      <w:pPr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184789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2D947DE4">
            <w:pPr>
              <w:widowControl w:val="0"/>
              <w:ind w:left="0" w:leftChars="0" w:right="0" w:righ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刘鑫楠</w:t>
            </w:r>
          </w:p>
        </w:tc>
        <w:tc>
          <w:tcPr>
            <w:tcW w:w="4261" w:type="dxa"/>
          </w:tcPr>
          <w:p w14:paraId="17D1F8ED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2026.01.14</w:t>
            </w:r>
          </w:p>
        </w:tc>
      </w:tr>
      <w:tr w14:paraId="3023AD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7EF5631D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 w14:paraId="61CEF2A1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2026.01.14</w:t>
            </w:r>
          </w:p>
        </w:tc>
      </w:tr>
      <w:tr w14:paraId="3B1A4F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03E97A7B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 w14:paraId="0E5DDFDC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2026.01.14</w:t>
            </w:r>
          </w:p>
        </w:tc>
      </w:tr>
    </w:tbl>
    <w:p w14:paraId="74D182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5FDC1C39">
      <w:pPr>
        <w:spacing w:before="98" w:line="220" w:lineRule="auto"/>
        <w:ind w:left="3195"/>
        <w:outlineLvl w:val="0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26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82"/>
        <w:gridCol w:w="1172"/>
      </w:tblGrid>
      <w:tr w14:paraId="155672E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07B55D56">
            <w:pPr>
              <w:spacing w:line="350" w:lineRule="auto"/>
              <w:rPr>
                <w:rFonts w:ascii="Arial"/>
                <w:sz w:val="21"/>
              </w:rPr>
            </w:pPr>
          </w:p>
          <w:p w14:paraId="65322B5B">
            <w:pPr>
              <w:spacing w:before="78" w:line="219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69A0B7C8">
            <w:pPr>
              <w:spacing w:before="181" w:line="220" w:lineRule="auto"/>
              <w:ind w:left="5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612EABD">
            <w:pPr>
              <w:spacing w:before="181" w:line="219" w:lineRule="auto"/>
              <w:ind w:left="9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99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E7FBF29">
            <w:pPr>
              <w:spacing w:before="181" w:line="220" w:lineRule="auto"/>
              <w:ind w:left="9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172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80C4354">
            <w:pPr>
              <w:spacing w:line="350" w:lineRule="auto"/>
              <w:rPr>
                <w:rFonts w:ascii="Arial"/>
                <w:sz w:val="21"/>
              </w:rPr>
            </w:pPr>
          </w:p>
          <w:p w14:paraId="3649C68A">
            <w:pPr>
              <w:spacing w:before="78" w:line="220" w:lineRule="auto"/>
              <w:ind w:left="2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337DE53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6D592E79">
            <w:pPr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2E05569D">
            <w:pPr>
              <w:spacing w:before="177" w:line="220" w:lineRule="auto"/>
              <w:ind w:left="19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19057924">
            <w:pPr>
              <w:spacing w:before="177" w:line="220" w:lineRule="auto"/>
              <w:ind w:left="4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09CEC16D">
            <w:pPr>
              <w:spacing w:before="177" w:line="220" w:lineRule="auto"/>
              <w:ind w:left="24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749589F0">
            <w:pPr>
              <w:spacing w:before="177" w:line="220" w:lineRule="auto"/>
              <w:ind w:left="4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025CB0EF">
            <w:pPr>
              <w:spacing w:before="176" w:line="221" w:lineRule="auto"/>
              <w:ind w:left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82" w:type="dxa"/>
            <w:shd w:val="clear" w:color="auto" w:fill="D9D9D9"/>
          </w:tcPr>
          <w:p w14:paraId="25D87080">
            <w:pPr>
              <w:spacing w:before="177" w:line="220" w:lineRule="auto"/>
              <w:ind w:left="4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172" w:type="dxa"/>
            <w:vMerge w:val="continue"/>
            <w:tcBorders>
              <w:top w:val="nil"/>
              <w:right w:val="single" w:color="000000" w:sz="10" w:space="0"/>
            </w:tcBorders>
          </w:tcPr>
          <w:p w14:paraId="076CDEB2">
            <w:pPr>
              <w:rPr>
                <w:rFonts w:ascii="Arial"/>
                <w:sz w:val="21"/>
              </w:rPr>
            </w:pPr>
          </w:p>
        </w:tc>
      </w:tr>
      <w:tr w14:paraId="66354A2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5226DBCC">
            <w:pPr>
              <w:pStyle w:val="27"/>
              <w:spacing w:before="230" w:line="237" w:lineRule="auto"/>
              <w:ind w:left="195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4A340FA4">
            <w:pPr>
              <w:pStyle w:val="27"/>
              <w:spacing w:before="230" w:line="219" w:lineRule="auto"/>
              <w:ind w:left="125"/>
            </w:pPr>
            <w:r>
              <w:rPr>
                <w:rFonts w:hint="eastAsia"/>
                <w:spacing w:val="-4"/>
              </w:rPr>
              <w:t>刘鑫楠</w:t>
            </w:r>
          </w:p>
        </w:tc>
        <w:tc>
          <w:tcPr>
            <w:tcW w:w="1274" w:type="dxa"/>
          </w:tcPr>
          <w:p w14:paraId="0D18FE7F">
            <w:pPr>
              <w:pStyle w:val="27"/>
              <w:spacing w:before="230" w:line="237" w:lineRule="auto"/>
              <w:ind w:left="104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-1"/>
                <w:lang w:eastAsia="zh-CN"/>
              </w:rPr>
              <w:t>2026.1</w:t>
            </w:r>
            <w:r>
              <w:rPr>
                <w:rFonts w:hint="eastAsia"/>
                <w:spacing w:val="-1"/>
                <w:lang w:val="en-US" w:eastAsia="zh-CN"/>
              </w:rPr>
              <w:t>.14</w:t>
            </w:r>
          </w:p>
        </w:tc>
        <w:tc>
          <w:tcPr>
            <w:tcW w:w="957" w:type="dxa"/>
          </w:tcPr>
          <w:p w14:paraId="09B5D092">
            <w:pPr>
              <w:pStyle w:val="27"/>
              <w:spacing w:before="230" w:line="219" w:lineRule="auto"/>
              <w:ind w:left="168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 w14:paraId="3DBBB86E">
            <w:pPr>
              <w:pStyle w:val="27"/>
              <w:spacing w:before="230" w:line="237" w:lineRule="auto"/>
              <w:ind w:left="161"/>
              <w:rPr>
                <w:rFonts w:hint="default"/>
                <w:lang w:val="en-US"/>
              </w:rPr>
            </w:pPr>
            <w:r>
              <w:rPr>
                <w:rFonts w:hint="eastAsia"/>
                <w:spacing w:val="-1"/>
                <w:lang w:eastAsia="zh-CN"/>
              </w:rPr>
              <w:t>2026.1</w:t>
            </w:r>
            <w:r>
              <w:rPr>
                <w:rFonts w:hint="eastAsia"/>
                <w:spacing w:val="-1"/>
                <w:lang w:val="en-US" w:eastAsia="zh-CN"/>
              </w:rPr>
              <w:t>.14</w:t>
            </w:r>
          </w:p>
        </w:tc>
        <w:tc>
          <w:tcPr>
            <w:tcW w:w="1017" w:type="dxa"/>
          </w:tcPr>
          <w:p w14:paraId="295E7D25">
            <w:pPr>
              <w:pStyle w:val="27"/>
              <w:spacing w:before="230" w:line="220" w:lineRule="auto"/>
              <w:ind w:left="202"/>
            </w:pPr>
            <w:r>
              <w:rPr>
                <w:spacing w:val="-3"/>
              </w:rPr>
              <w:t>陈垒</w:t>
            </w:r>
          </w:p>
        </w:tc>
        <w:tc>
          <w:tcPr>
            <w:tcW w:w="1482" w:type="dxa"/>
          </w:tcPr>
          <w:p w14:paraId="1BF25337">
            <w:pPr>
              <w:pStyle w:val="27"/>
              <w:spacing w:before="230" w:line="237" w:lineRule="auto"/>
              <w:ind w:left="220"/>
              <w:rPr>
                <w:rFonts w:hint="default"/>
                <w:lang w:val="en-US"/>
              </w:rPr>
            </w:pPr>
            <w:r>
              <w:rPr>
                <w:rFonts w:hint="eastAsia"/>
                <w:spacing w:val="-1"/>
                <w:lang w:eastAsia="zh-CN"/>
              </w:rPr>
              <w:t>2026.</w:t>
            </w:r>
            <w:r>
              <w:rPr>
                <w:rFonts w:hint="eastAsia"/>
                <w:spacing w:val="-1"/>
                <w:lang w:val="en-US" w:eastAsia="zh-CN"/>
              </w:rPr>
              <w:t>1.14</w:t>
            </w:r>
          </w:p>
        </w:tc>
        <w:tc>
          <w:tcPr>
            <w:tcW w:w="1172" w:type="dxa"/>
            <w:tcBorders>
              <w:right w:val="single" w:color="000000" w:sz="10" w:space="0"/>
            </w:tcBorders>
          </w:tcPr>
          <w:p w14:paraId="4C17B7AF">
            <w:pPr>
              <w:pStyle w:val="27"/>
              <w:spacing w:before="230" w:line="217" w:lineRule="auto"/>
              <w:ind w:left="341"/>
            </w:pPr>
            <w:r>
              <w:rPr>
                <w:spacing w:val="-5"/>
              </w:rPr>
              <w:t>首次发布</w:t>
            </w:r>
          </w:p>
        </w:tc>
      </w:tr>
      <w:tr w14:paraId="58FF5D0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A5D4E58">
            <w:pPr>
              <w:pStyle w:val="27"/>
              <w:spacing w:before="152" w:line="237" w:lineRule="auto"/>
              <w:ind w:left="195"/>
            </w:pPr>
          </w:p>
        </w:tc>
        <w:tc>
          <w:tcPr>
            <w:tcW w:w="881" w:type="dxa"/>
          </w:tcPr>
          <w:p w14:paraId="787A965E">
            <w:pPr>
              <w:pStyle w:val="27"/>
              <w:spacing w:before="152" w:line="219" w:lineRule="auto"/>
              <w:ind w:left="125"/>
            </w:pPr>
          </w:p>
        </w:tc>
        <w:tc>
          <w:tcPr>
            <w:tcW w:w="1274" w:type="dxa"/>
          </w:tcPr>
          <w:p w14:paraId="72E81244">
            <w:pPr>
              <w:pStyle w:val="27"/>
              <w:spacing w:before="152" w:line="237" w:lineRule="auto"/>
              <w:ind w:left="210"/>
            </w:pPr>
          </w:p>
        </w:tc>
        <w:tc>
          <w:tcPr>
            <w:tcW w:w="957" w:type="dxa"/>
          </w:tcPr>
          <w:p w14:paraId="5F2308F7">
            <w:pPr>
              <w:pStyle w:val="27"/>
              <w:spacing w:before="152" w:line="219" w:lineRule="auto"/>
              <w:ind w:left="168"/>
            </w:pPr>
          </w:p>
        </w:tc>
        <w:tc>
          <w:tcPr>
            <w:tcW w:w="1377" w:type="dxa"/>
          </w:tcPr>
          <w:p w14:paraId="54DB5B6F">
            <w:pPr>
              <w:pStyle w:val="27"/>
              <w:spacing w:before="152" w:line="237" w:lineRule="auto"/>
              <w:ind w:left="267"/>
            </w:pPr>
          </w:p>
        </w:tc>
        <w:tc>
          <w:tcPr>
            <w:tcW w:w="1017" w:type="dxa"/>
          </w:tcPr>
          <w:p w14:paraId="458265C1">
            <w:pPr>
              <w:pStyle w:val="27"/>
              <w:spacing w:before="152" w:line="220" w:lineRule="auto"/>
              <w:ind w:left="202"/>
            </w:pPr>
          </w:p>
        </w:tc>
        <w:tc>
          <w:tcPr>
            <w:tcW w:w="1482" w:type="dxa"/>
          </w:tcPr>
          <w:p w14:paraId="552AA029">
            <w:pPr>
              <w:pStyle w:val="27"/>
              <w:spacing w:before="152" w:line="237" w:lineRule="auto"/>
              <w:ind w:left="220"/>
            </w:pPr>
          </w:p>
        </w:tc>
        <w:tc>
          <w:tcPr>
            <w:tcW w:w="1172" w:type="dxa"/>
            <w:tcBorders>
              <w:right w:val="single" w:color="000000" w:sz="10" w:space="0"/>
            </w:tcBorders>
          </w:tcPr>
          <w:p w14:paraId="3A5C2A4E">
            <w:pPr>
              <w:pStyle w:val="27"/>
              <w:spacing w:before="152" w:line="219" w:lineRule="auto"/>
              <w:ind w:left="436"/>
            </w:pPr>
          </w:p>
        </w:tc>
      </w:tr>
      <w:tr w14:paraId="4106F69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146938A2">
            <w:pPr>
              <w:pStyle w:val="27"/>
              <w:spacing w:before="157" w:line="237" w:lineRule="auto"/>
              <w:ind w:left="195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0CBEC6D7">
            <w:pPr>
              <w:pStyle w:val="27"/>
              <w:spacing w:before="157" w:line="219" w:lineRule="auto"/>
              <w:ind w:left="125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07E2B193">
            <w:pPr>
              <w:pStyle w:val="27"/>
              <w:spacing w:before="157" w:line="237" w:lineRule="auto"/>
              <w:ind w:left="210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8D00119">
            <w:pPr>
              <w:pStyle w:val="27"/>
              <w:spacing w:before="157" w:line="218" w:lineRule="auto"/>
              <w:ind w:left="164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12BF751A">
            <w:pPr>
              <w:pStyle w:val="27"/>
              <w:spacing w:before="157" w:line="237" w:lineRule="auto"/>
              <w:ind w:left="267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7CF243DD">
            <w:pPr>
              <w:pStyle w:val="27"/>
              <w:spacing w:before="157" w:line="220" w:lineRule="auto"/>
              <w:ind w:left="202"/>
            </w:pPr>
          </w:p>
        </w:tc>
        <w:tc>
          <w:tcPr>
            <w:tcW w:w="1482" w:type="dxa"/>
            <w:tcBorders>
              <w:bottom w:val="single" w:color="000000" w:sz="10" w:space="0"/>
            </w:tcBorders>
          </w:tcPr>
          <w:p w14:paraId="2117FA8F">
            <w:pPr>
              <w:pStyle w:val="27"/>
              <w:spacing w:before="157" w:line="237" w:lineRule="auto"/>
              <w:ind w:left="220"/>
            </w:pPr>
          </w:p>
        </w:tc>
        <w:tc>
          <w:tcPr>
            <w:tcW w:w="1172" w:type="dxa"/>
            <w:tcBorders>
              <w:bottom w:val="single" w:color="000000" w:sz="10" w:space="0"/>
              <w:right w:val="single" w:color="000000" w:sz="10" w:space="0"/>
            </w:tcBorders>
          </w:tcPr>
          <w:p w14:paraId="65152688">
            <w:pPr>
              <w:pStyle w:val="27"/>
              <w:spacing w:before="157" w:line="219" w:lineRule="auto"/>
              <w:ind w:left="436"/>
            </w:pPr>
          </w:p>
        </w:tc>
      </w:tr>
    </w:tbl>
    <w:p w14:paraId="019CF61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14B3DE1D">
      <w:pPr>
        <w:pStyle w:val="30"/>
        <w:bidi w:val="0"/>
        <w:rPr>
          <w:rFonts w:hint="eastAsia"/>
        </w:rPr>
      </w:pPr>
      <w:bookmarkStart w:id="0" w:name="_Toc198622117"/>
      <w:bookmarkStart w:id="1" w:name="_Toc428823195"/>
      <w:bookmarkStart w:id="2" w:name="_Toc278555954"/>
      <w:bookmarkStart w:id="3" w:name="_Toc481913844"/>
      <w:r>
        <w:rPr>
          <w:rFonts w:hint="eastAsia"/>
        </w:rPr>
        <w:t>目的</w:t>
      </w:r>
      <w:bookmarkEnd w:id="0"/>
      <w:bookmarkEnd w:id="1"/>
      <w:bookmarkEnd w:id="2"/>
      <w:bookmarkEnd w:id="3"/>
    </w:p>
    <w:p w14:paraId="6A75A6ED">
      <w:pPr>
        <w:spacing w:before="0" w:after="0" w:line="360" w:lineRule="auto"/>
        <w:ind w:firstLine="480" w:firstLineChars="200"/>
        <w:rPr>
          <w:rFonts w:hint="eastAsia" w:ascii="微软雅黑" w:hAnsi="微软雅黑" w:eastAsia="微软雅黑"/>
          <w:sz w:val="24"/>
        </w:rPr>
      </w:pPr>
      <w:r>
        <w:rPr>
          <w:rFonts w:hint="eastAsia" w:ascii="微软雅黑" w:hAnsi="微软雅黑" w:eastAsia="微软雅黑"/>
          <w:sz w:val="24"/>
        </w:rPr>
        <w:t>本次用户满意度调查由</w:t>
      </w:r>
      <w:r>
        <w:rPr>
          <w:rFonts w:hint="eastAsia" w:ascii="微软雅黑" w:hAnsi="微软雅黑" w:eastAsia="微软雅黑" w:cs="Arial"/>
          <w:sz w:val="24"/>
        </w:rPr>
        <w:t>北京万泰中联科技股份有限公司</w:t>
      </w:r>
      <w:r>
        <w:rPr>
          <w:rFonts w:hint="eastAsia" w:ascii="微软雅黑" w:hAnsi="微软雅黑" w:eastAsia="微软雅黑"/>
          <w:sz w:val="24"/>
        </w:rPr>
        <w:t>发起，面向运维服务的用户，用于解决以下问题：</w:t>
      </w:r>
    </w:p>
    <w:p w14:paraId="4016E454">
      <w:pPr>
        <w:numPr>
          <w:ilvl w:val="0"/>
          <w:numId w:val="2"/>
        </w:numPr>
        <w:spacing w:before="0" w:after="0" w:line="360" w:lineRule="auto"/>
        <w:ind w:left="0" w:firstLine="480" w:firstLineChars="200"/>
        <w:rPr>
          <w:rFonts w:hint="eastAsia" w:ascii="微软雅黑" w:hAnsi="微软雅黑" w:eastAsia="微软雅黑"/>
          <w:sz w:val="24"/>
        </w:rPr>
      </w:pPr>
      <w:r>
        <w:rPr>
          <w:rFonts w:hint="eastAsia" w:ascii="微软雅黑" w:hAnsi="微软雅黑" w:eastAsia="微软雅黑"/>
          <w:sz w:val="24"/>
        </w:rPr>
        <w:t>评估</w:t>
      </w:r>
      <w:r>
        <w:rPr>
          <w:rFonts w:hint="eastAsia" w:ascii="微软雅黑" w:hAnsi="微软雅黑" w:eastAsia="微软雅黑" w:cs="Arial"/>
          <w:sz w:val="24"/>
        </w:rPr>
        <w:t>公司服务对象</w:t>
      </w:r>
      <w:r>
        <w:rPr>
          <w:rFonts w:hint="eastAsia" w:ascii="微软雅黑" w:hAnsi="微软雅黑" w:eastAsia="微软雅黑"/>
          <w:sz w:val="24"/>
        </w:rPr>
        <w:t>的满意度现状，用以衡量运维服务管理水平；</w:t>
      </w:r>
    </w:p>
    <w:p w14:paraId="513327F1">
      <w:pPr>
        <w:numPr>
          <w:ilvl w:val="0"/>
          <w:numId w:val="2"/>
        </w:numPr>
        <w:spacing w:before="0" w:after="0" w:line="360" w:lineRule="auto"/>
        <w:ind w:left="0" w:firstLine="480" w:firstLineChars="200"/>
        <w:rPr>
          <w:rFonts w:hint="eastAsia" w:ascii="微软雅黑" w:hAnsi="微软雅黑" w:eastAsia="微软雅黑"/>
          <w:sz w:val="24"/>
        </w:rPr>
      </w:pPr>
      <w:r>
        <w:rPr>
          <w:rFonts w:hint="eastAsia" w:ascii="微软雅黑" w:hAnsi="微软雅黑" w:eastAsia="微软雅黑"/>
          <w:sz w:val="24"/>
        </w:rPr>
        <w:t>识别</w:t>
      </w:r>
      <w:r>
        <w:rPr>
          <w:rFonts w:hint="eastAsia" w:ascii="微软雅黑" w:hAnsi="微软雅黑" w:eastAsia="微软雅黑" w:cs="Arial"/>
          <w:sz w:val="24"/>
        </w:rPr>
        <w:t>公司运维服务</w:t>
      </w:r>
      <w:r>
        <w:rPr>
          <w:rFonts w:hint="eastAsia" w:ascii="微软雅黑" w:hAnsi="微软雅黑" w:eastAsia="微软雅黑"/>
          <w:sz w:val="24"/>
        </w:rPr>
        <w:t>团队改进运维服务的优先级，用以指导运维服务管理决策。</w:t>
      </w:r>
    </w:p>
    <w:p w14:paraId="42F3577F">
      <w:pPr>
        <w:pStyle w:val="30"/>
        <w:bidi w:val="0"/>
        <w:rPr>
          <w:rFonts w:hint="eastAsia"/>
        </w:rPr>
      </w:pPr>
      <w:bookmarkStart w:id="4" w:name="_Toc198622118"/>
      <w:bookmarkStart w:id="5" w:name="_Toc481913845"/>
      <w:bookmarkStart w:id="6" w:name="_Toc278555955"/>
      <w:bookmarkStart w:id="7" w:name="_Toc428823196"/>
      <w:r>
        <w:rPr>
          <w:rFonts w:hint="eastAsia"/>
          <w:lang w:eastAsia="zh-CN"/>
        </w:rPr>
        <w:t>调查</w:t>
      </w:r>
      <w:r>
        <w:rPr>
          <w:rFonts w:hint="eastAsia"/>
        </w:rPr>
        <w:t>时间</w:t>
      </w:r>
      <w:bookmarkEnd w:id="4"/>
      <w:bookmarkEnd w:id="5"/>
      <w:bookmarkEnd w:id="6"/>
      <w:bookmarkEnd w:id="7"/>
    </w:p>
    <w:p w14:paraId="0E799926">
      <w:pPr>
        <w:numPr>
          <w:ilvl w:val="0"/>
          <w:numId w:val="2"/>
        </w:numPr>
        <w:spacing w:before="0" w:after="0" w:line="360" w:lineRule="auto"/>
        <w:ind w:left="0" w:firstLine="480" w:firstLineChars="200"/>
        <w:rPr>
          <w:rFonts w:hint="eastAsia" w:ascii="微软雅黑" w:hAnsi="微软雅黑" w:eastAsia="微软雅黑" w:cs="Arial"/>
          <w:sz w:val="24"/>
        </w:rPr>
      </w:pPr>
      <w:r>
        <w:rPr>
          <w:rFonts w:hint="eastAsia" w:ascii="微软雅黑" w:hAnsi="微软雅黑" w:eastAsia="微软雅黑" w:cs="Arial"/>
          <w:sz w:val="24"/>
        </w:rPr>
        <w:t>发放及回收：</w:t>
      </w:r>
      <w:r>
        <w:rPr>
          <w:rFonts w:hint="eastAsia" w:ascii="微软雅黑" w:hAnsi="微软雅黑" w:eastAsia="微软雅黑" w:cs="Arial"/>
          <w:sz w:val="24"/>
          <w:lang w:val="en-US" w:eastAsia="zh-CN"/>
        </w:rPr>
        <w:t>2026-1-10</w:t>
      </w:r>
      <w:bookmarkStart w:id="23" w:name="_GoBack"/>
      <w:bookmarkEnd w:id="23"/>
      <w:r>
        <w:rPr>
          <w:rFonts w:hint="eastAsia" w:ascii="微软雅黑" w:hAnsi="微软雅黑" w:eastAsia="微软雅黑" w:cs="Arial"/>
          <w:sz w:val="24"/>
          <w:lang w:val="en-US" w:eastAsia="zh-CN"/>
        </w:rPr>
        <w:t>至2026-1-13</w:t>
      </w:r>
    </w:p>
    <w:p w14:paraId="1B16BF10">
      <w:pPr>
        <w:numPr>
          <w:ilvl w:val="0"/>
          <w:numId w:val="2"/>
        </w:numPr>
        <w:spacing w:before="0" w:after="0" w:line="360" w:lineRule="auto"/>
        <w:ind w:left="0" w:firstLine="480" w:firstLineChars="200"/>
        <w:rPr>
          <w:rFonts w:hint="eastAsia" w:ascii="微软雅黑" w:hAnsi="微软雅黑" w:eastAsia="微软雅黑" w:cs="Arial"/>
          <w:sz w:val="24"/>
        </w:rPr>
      </w:pPr>
      <w:r>
        <w:rPr>
          <w:rFonts w:hint="eastAsia" w:ascii="微软雅黑" w:hAnsi="微软雅黑" w:eastAsia="微软雅黑" w:cs="Arial"/>
          <w:sz w:val="24"/>
        </w:rPr>
        <w:t>整理及分析：</w:t>
      </w:r>
      <w:r>
        <w:rPr>
          <w:rFonts w:hint="eastAsia" w:ascii="微软雅黑" w:hAnsi="微软雅黑" w:eastAsia="微软雅黑" w:cs="Arial"/>
          <w:sz w:val="24"/>
          <w:lang w:val="en-US" w:eastAsia="zh-CN"/>
        </w:rPr>
        <w:t>2026-1-14</w:t>
      </w:r>
    </w:p>
    <w:p w14:paraId="451DB16A">
      <w:pPr>
        <w:pStyle w:val="30"/>
        <w:bidi w:val="0"/>
        <w:rPr>
          <w:rFonts w:hint="eastAsia"/>
        </w:rPr>
      </w:pPr>
      <w:bookmarkStart w:id="8" w:name="_Toc198622119"/>
      <w:bookmarkStart w:id="9" w:name="_Toc428823197"/>
      <w:bookmarkStart w:id="10" w:name="_Toc481913846"/>
      <w:bookmarkStart w:id="11" w:name="_Toc278555956"/>
      <w:r>
        <w:rPr>
          <w:rFonts w:hint="eastAsia"/>
          <w:lang w:eastAsia="zh-CN"/>
        </w:rPr>
        <w:t>调查</w:t>
      </w:r>
      <w:r>
        <w:rPr>
          <w:rFonts w:hint="eastAsia"/>
        </w:rPr>
        <w:t>对象</w:t>
      </w:r>
      <w:bookmarkEnd w:id="8"/>
      <w:bookmarkEnd w:id="9"/>
      <w:bookmarkEnd w:id="10"/>
      <w:bookmarkEnd w:id="11"/>
    </w:p>
    <w:p w14:paraId="62E6D9CF">
      <w:pPr>
        <w:numPr>
          <w:ilvl w:val="0"/>
          <w:numId w:val="2"/>
        </w:numPr>
        <w:spacing w:before="0" w:after="0" w:line="360" w:lineRule="auto"/>
        <w:rPr>
          <w:rFonts w:ascii="微软雅黑" w:hAnsi="微软雅黑" w:eastAsia="微软雅黑" w:cs="Arial"/>
          <w:color w:val="000000"/>
          <w:sz w:val="24"/>
        </w:rPr>
      </w:pPr>
      <w:r>
        <w:rPr>
          <w:rFonts w:ascii="Verdana" w:hAnsi="Verdana" w:eastAsia="宋体" w:cs="Verdana"/>
          <w:b/>
          <w:bCs/>
          <w:i w:val="0"/>
          <w:iCs w:val="0"/>
          <w:caps w:val="0"/>
          <w:color w:val="555555"/>
          <w:spacing w:val="0"/>
          <w:sz w:val="24"/>
          <w:szCs w:val="24"/>
          <w:shd w:val="clear" w:color="auto" w:fill="FFFFFF"/>
        </w:rPr>
        <w:t>四川中电福溪电力开发有限公司</w:t>
      </w:r>
    </w:p>
    <w:p w14:paraId="66CCAFDA">
      <w:pPr>
        <w:numPr>
          <w:ilvl w:val="0"/>
          <w:numId w:val="2"/>
        </w:numPr>
        <w:spacing w:before="0" w:after="0" w:line="360" w:lineRule="auto"/>
        <w:rPr>
          <w:rFonts w:hint="eastAsia" w:ascii="微软雅黑" w:hAnsi="微软雅黑" w:eastAsia="微软雅黑" w:cs="Arial"/>
          <w:color w:val="000000"/>
          <w:sz w:val="24"/>
        </w:rPr>
      </w:pPr>
      <w:r>
        <w:rPr>
          <w:rFonts w:ascii="Verdana" w:hAnsi="Verdana" w:eastAsia="宋体" w:cs="Verdana"/>
          <w:b/>
          <w:bCs/>
          <w:i w:val="0"/>
          <w:iCs w:val="0"/>
          <w:caps w:val="0"/>
          <w:color w:val="555555"/>
          <w:spacing w:val="0"/>
          <w:sz w:val="24"/>
          <w:szCs w:val="24"/>
          <w:shd w:val="clear" w:color="auto" w:fill="FFFFFF"/>
        </w:rPr>
        <w:t>光大环保能源（天津）有限公司</w:t>
      </w:r>
    </w:p>
    <w:p w14:paraId="69C71FF2">
      <w:pPr>
        <w:numPr>
          <w:ilvl w:val="0"/>
          <w:numId w:val="2"/>
        </w:numPr>
        <w:spacing w:before="0" w:after="0" w:line="360" w:lineRule="auto"/>
        <w:rPr>
          <w:rFonts w:hint="eastAsia" w:ascii="微软雅黑" w:hAnsi="微软雅黑" w:eastAsia="微软雅黑" w:cs="Arial"/>
          <w:color w:val="000000"/>
          <w:sz w:val="24"/>
        </w:rPr>
      </w:pPr>
      <w:r>
        <w:rPr>
          <w:rFonts w:ascii="Verdana" w:hAnsi="Verdana" w:eastAsia="宋体" w:cs="Verdana"/>
          <w:b/>
          <w:bCs/>
          <w:i w:val="0"/>
          <w:iCs w:val="0"/>
          <w:caps w:val="0"/>
          <w:color w:val="555555"/>
          <w:spacing w:val="0"/>
          <w:sz w:val="24"/>
          <w:szCs w:val="24"/>
          <w:shd w:val="clear" w:color="auto" w:fill="FFFFFF"/>
        </w:rPr>
        <w:t>中国水利电力物资天津有限公司</w:t>
      </w:r>
    </w:p>
    <w:p w14:paraId="3D51EB04">
      <w:pPr>
        <w:numPr>
          <w:ilvl w:val="0"/>
          <w:numId w:val="2"/>
        </w:numPr>
        <w:spacing w:before="0" w:after="0" w:line="360" w:lineRule="auto"/>
        <w:rPr>
          <w:rFonts w:hint="eastAsia" w:ascii="微软雅黑" w:hAnsi="微软雅黑" w:eastAsia="微软雅黑" w:cs="Arial"/>
          <w:color w:val="000000"/>
          <w:sz w:val="24"/>
        </w:rPr>
      </w:pPr>
      <w:r>
        <w:rPr>
          <w:rFonts w:ascii="Verdana" w:hAnsi="Verdana" w:eastAsia="宋体" w:cs="Verdana"/>
          <w:b/>
          <w:bCs/>
          <w:i w:val="0"/>
          <w:iCs w:val="0"/>
          <w:caps w:val="0"/>
          <w:color w:val="555555"/>
          <w:spacing w:val="0"/>
          <w:sz w:val="24"/>
          <w:szCs w:val="24"/>
          <w:shd w:val="clear" w:color="auto" w:fill="FFFFFF"/>
        </w:rPr>
        <w:t>巴彦淖尔乌拉特中旗富汇风能电力有限公司</w:t>
      </w:r>
    </w:p>
    <w:p w14:paraId="7E1EE194">
      <w:pPr>
        <w:numPr>
          <w:ilvl w:val="0"/>
          <w:numId w:val="2"/>
        </w:numPr>
        <w:spacing w:before="0" w:after="0" w:line="360" w:lineRule="auto"/>
        <w:rPr>
          <w:rFonts w:ascii="微软雅黑" w:hAnsi="微软雅黑" w:eastAsia="微软雅黑" w:cs="Arial"/>
          <w:color w:val="000000"/>
          <w:sz w:val="24"/>
        </w:rPr>
      </w:pPr>
      <w:r>
        <w:rPr>
          <w:rFonts w:ascii="Verdana" w:hAnsi="Verdana" w:eastAsia="宋体" w:cs="Verdana"/>
          <w:b/>
          <w:bCs/>
          <w:i w:val="0"/>
          <w:iCs w:val="0"/>
          <w:caps w:val="0"/>
          <w:color w:val="555555"/>
          <w:spacing w:val="0"/>
          <w:sz w:val="24"/>
          <w:szCs w:val="24"/>
          <w:shd w:val="clear" w:color="auto" w:fill="FFFFFF"/>
        </w:rPr>
        <w:t>大唐乌拉特后旗新能源有限公司</w:t>
      </w:r>
    </w:p>
    <w:p w14:paraId="3B05C6F0">
      <w:pPr>
        <w:numPr>
          <w:ilvl w:val="0"/>
          <w:numId w:val="2"/>
        </w:numPr>
        <w:spacing w:before="0" w:after="0" w:line="360" w:lineRule="auto"/>
        <w:rPr>
          <w:rFonts w:ascii="微软雅黑" w:hAnsi="微软雅黑" w:eastAsia="微软雅黑" w:cs="Arial"/>
          <w:color w:val="000000"/>
          <w:sz w:val="24"/>
        </w:rPr>
      </w:pPr>
      <w:r>
        <w:rPr>
          <w:rFonts w:ascii="Verdana" w:hAnsi="Verdana" w:eastAsia="宋体" w:cs="Verdana"/>
          <w:b/>
          <w:bCs/>
          <w:i w:val="0"/>
          <w:iCs w:val="0"/>
          <w:caps w:val="0"/>
          <w:color w:val="555555"/>
          <w:spacing w:val="0"/>
          <w:sz w:val="24"/>
          <w:szCs w:val="24"/>
          <w:shd w:val="clear" w:color="auto" w:fill="FFFFFF"/>
        </w:rPr>
        <w:t>大唐五原新能源有限公司</w:t>
      </w:r>
    </w:p>
    <w:p w14:paraId="18641F64">
      <w:pPr>
        <w:numPr>
          <w:ilvl w:val="0"/>
          <w:numId w:val="2"/>
        </w:numPr>
        <w:spacing w:before="0" w:after="0" w:line="360" w:lineRule="auto"/>
        <w:rPr>
          <w:rFonts w:hint="eastAsia" w:ascii="微软雅黑" w:hAnsi="微软雅黑" w:eastAsia="微软雅黑" w:cs="Arial"/>
          <w:color w:val="000000"/>
          <w:sz w:val="24"/>
        </w:rPr>
      </w:pPr>
      <w:r>
        <w:rPr>
          <w:rFonts w:ascii="Verdana" w:hAnsi="Verdana" w:eastAsia="宋体" w:cs="Verdana"/>
          <w:b/>
          <w:bCs/>
          <w:i w:val="0"/>
          <w:iCs w:val="0"/>
          <w:caps w:val="0"/>
          <w:color w:val="555555"/>
          <w:spacing w:val="0"/>
          <w:sz w:val="24"/>
          <w:szCs w:val="24"/>
          <w:shd w:val="clear" w:color="auto" w:fill="FFFFFF"/>
        </w:rPr>
        <w:t>巴彦淖尔乌拉特后旗富汇风能电力有限公司</w:t>
      </w:r>
    </w:p>
    <w:p w14:paraId="70D47CEC">
      <w:pPr>
        <w:numPr>
          <w:ilvl w:val="0"/>
          <w:numId w:val="2"/>
        </w:numPr>
        <w:spacing w:before="0" w:after="0" w:line="360" w:lineRule="auto"/>
        <w:rPr>
          <w:rFonts w:hint="eastAsia" w:ascii="微软雅黑" w:hAnsi="微软雅黑" w:eastAsia="微软雅黑" w:cs="Arial"/>
          <w:color w:val="000000"/>
          <w:sz w:val="24"/>
        </w:rPr>
      </w:pPr>
      <w:bookmarkStart w:id="12" w:name="_Toc481913847"/>
      <w:r>
        <w:rPr>
          <w:rFonts w:ascii="Verdana" w:hAnsi="Verdana" w:eastAsia="宋体" w:cs="Verdana"/>
          <w:b/>
          <w:bCs/>
          <w:i w:val="0"/>
          <w:iCs w:val="0"/>
          <w:caps w:val="0"/>
          <w:color w:val="555555"/>
          <w:spacing w:val="0"/>
          <w:sz w:val="24"/>
          <w:szCs w:val="24"/>
          <w:shd w:val="clear" w:color="auto" w:fill="FFFFFF"/>
        </w:rPr>
        <w:t>吉林电力股份有限公司</w:t>
      </w:r>
    </w:p>
    <w:p w14:paraId="7CEF7C57">
      <w:pPr>
        <w:pStyle w:val="30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调查流程</w:t>
      </w:r>
      <w:bookmarkEnd w:id="12"/>
    </w:p>
    <w:p w14:paraId="38E2D8F5">
      <w:pPr>
        <w:numPr>
          <w:ilvl w:val="0"/>
          <w:numId w:val="2"/>
        </w:numPr>
        <w:spacing w:before="0" w:after="0" w:line="360" w:lineRule="auto"/>
        <w:ind w:left="0" w:firstLine="480" w:firstLineChars="200"/>
        <w:rPr>
          <w:rFonts w:hint="eastAsia" w:ascii="微软雅黑" w:hAnsi="微软雅黑" w:eastAsia="微软雅黑" w:cs="Arial"/>
          <w:sz w:val="24"/>
        </w:rPr>
      </w:pPr>
      <w:r>
        <w:rPr>
          <w:rFonts w:hint="eastAsia" w:ascii="微软雅黑" w:hAnsi="微软雅黑" w:eastAsia="微软雅黑" w:cs="Arial"/>
          <w:sz w:val="24"/>
        </w:rPr>
        <w:t>问卷设计</w:t>
      </w:r>
    </w:p>
    <w:p w14:paraId="5A950B6E">
      <w:pPr>
        <w:numPr>
          <w:ilvl w:val="0"/>
          <w:numId w:val="2"/>
        </w:numPr>
        <w:spacing w:before="0" w:after="0" w:line="360" w:lineRule="auto"/>
        <w:ind w:left="0" w:firstLine="480" w:firstLineChars="200"/>
        <w:rPr>
          <w:rFonts w:hint="eastAsia" w:ascii="微软雅黑" w:hAnsi="微软雅黑" w:eastAsia="微软雅黑" w:cs="Arial"/>
          <w:sz w:val="24"/>
        </w:rPr>
      </w:pPr>
      <w:r>
        <w:rPr>
          <w:rFonts w:hint="eastAsia" w:ascii="微软雅黑" w:hAnsi="微软雅黑" w:eastAsia="微软雅黑" w:cs="Arial"/>
          <w:sz w:val="24"/>
        </w:rPr>
        <w:t>问卷发放与回收</w:t>
      </w:r>
    </w:p>
    <w:p w14:paraId="16834DE4">
      <w:pPr>
        <w:numPr>
          <w:ilvl w:val="0"/>
          <w:numId w:val="2"/>
        </w:numPr>
        <w:spacing w:before="0" w:after="0" w:line="360" w:lineRule="auto"/>
        <w:ind w:left="0" w:firstLine="480" w:firstLineChars="200"/>
        <w:rPr>
          <w:rFonts w:hint="eastAsia" w:ascii="微软雅黑" w:hAnsi="微软雅黑" w:eastAsia="微软雅黑" w:cs="Arial"/>
          <w:sz w:val="24"/>
        </w:rPr>
      </w:pPr>
      <w:r>
        <w:rPr>
          <w:rFonts w:hint="eastAsia" w:ascii="微软雅黑" w:hAnsi="微软雅黑" w:eastAsia="微软雅黑" w:cs="Arial"/>
          <w:sz w:val="24"/>
        </w:rPr>
        <w:t>数据处理与分析</w:t>
      </w:r>
    </w:p>
    <w:p w14:paraId="1E53BBD6">
      <w:pPr>
        <w:pStyle w:val="30"/>
        <w:bidi w:val="0"/>
        <w:rPr>
          <w:rFonts w:hint="eastAsia"/>
        </w:rPr>
      </w:pPr>
      <w:bookmarkStart w:id="13" w:name="_Toc481913848"/>
      <w:bookmarkStart w:id="14" w:name="_Toc278555959"/>
      <w:bookmarkStart w:id="15" w:name="_Toc428823199"/>
      <w:r>
        <w:rPr>
          <w:rFonts w:hint="eastAsia"/>
          <w:lang w:eastAsia="zh-CN"/>
        </w:rPr>
        <w:t>计算方法</w:t>
      </w:r>
      <w:bookmarkEnd w:id="13"/>
      <w:bookmarkEnd w:id="14"/>
      <w:bookmarkEnd w:id="15"/>
    </w:p>
    <w:p w14:paraId="06320D52">
      <w:pPr>
        <w:spacing w:before="0" w:after="0" w:line="360" w:lineRule="auto"/>
        <w:ind w:firstLine="480" w:firstLineChars="200"/>
        <w:rPr>
          <w:rFonts w:hint="eastAsia" w:ascii="微软雅黑" w:hAnsi="微软雅黑" w:eastAsia="微软雅黑"/>
          <w:sz w:val="24"/>
        </w:rPr>
      </w:pPr>
      <w:r>
        <w:rPr>
          <w:rFonts w:hint="eastAsia" w:ascii="微软雅黑" w:hAnsi="微软雅黑" w:eastAsia="微软雅黑"/>
          <w:sz w:val="24"/>
        </w:rPr>
        <w:t>满意度 = 客户满意度得分总和/客户满意度调查问卷数量。</w:t>
      </w:r>
    </w:p>
    <w:p w14:paraId="13BDD7E9">
      <w:pPr>
        <w:pStyle w:val="30"/>
        <w:bidi w:val="0"/>
        <w:rPr>
          <w:rFonts w:hint="eastAsia"/>
        </w:rPr>
      </w:pPr>
      <w:bookmarkStart w:id="16" w:name="_Toc428823205"/>
      <w:bookmarkStart w:id="17" w:name="_Toc278555965"/>
      <w:bookmarkStart w:id="18" w:name="_Toc481913849"/>
      <w:r>
        <w:rPr>
          <w:rFonts w:hint="eastAsia"/>
        </w:rPr>
        <w:t>调查结果</w:t>
      </w:r>
      <w:bookmarkEnd w:id="16"/>
      <w:bookmarkEnd w:id="17"/>
      <w:r>
        <w:rPr>
          <w:rFonts w:hint="eastAsia"/>
          <w:lang w:eastAsia="zh-CN"/>
        </w:rPr>
        <w:t>分析</w:t>
      </w:r>
      <w:bookmarkEnd w:id="18"/>
    </w:p>
    <w:p w14:paraId="686ADFDD">
      <w:pPr>
        <w:spacing w:before="0" w:after="0" w:line="360" w:lineRule="auto"/>
        <w:ind w:firstLine="480" w:firstLineChars="200"/>
        <w:rPr>
          <w:rFonts w:hint="eastAsia" w:ascii="微软雅黑" w:hAnsi="微软雅黑" w:eastAsia="微软雅黑"/>
          <w:sz w:val="24"/>
        </w:rPr>
      </w:pPr>
      <w:r>
        <w:rPr>
          <w:rFonts w:hint="eastAsia" w:ascii="微软雅黑" w:hAnsi="微软雅黑" w:eastAsia="微软雅黑"/>
          <w:sz w:val="24"/>
        </w:rPr>
        <w:t>回收的用户满意度调查问卷经统计后得到如下结果：</w:t>
      </w:r>
    </w:p>
    <w:tbl>
      <w:tblPr>
        <w:tblStyle w:val="20"/>
        <w:tblW w:w="4927" w:type="pct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8"/>
        <w:gridCol w:w="2005"/>
        <w:gridCol w:w="514"/>
        <w:gridCol w:w="519"/>
        <w:gridCol w:w="516"/>
        <w:gridCol w:w="525"/>
        <w:gridCol w:w="514"/>
        <w:gridCol w:w="555"/>
        <w:gridCol w:w="474"/>
        <w:gridCol w:w="521"/>
        <w:gridCol w:w="482"/>
        <w:gridCol w:w="474"/>
        <w:gridCol w:w="793"/>
      </w:tblGrid>
      <w:tr w14:paraId="3FFE44C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30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48D4E3F">
            <w:pPr>
              <w:widowControl/>
              <w:spacing w:before="0" w:after="0" w:line="400" w:lineRule="exact"/>
              <w:jc w:val="left"/>
              <w:rPr>
                <w:rFonts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4697" w:type="pct"/>
            <w:gridSpan w:val="12"/>
            <w:tcBorders>
              <w:top w:val="nil"/>
              <w:left w:val="nil"/>
              <w:bottom w:val="single" w:color="auto" w:sz="8" w:space="0"/>
              <w:right w:val="nil"/>
            </w:tcBorders>
            <w:noWrap/>
            <w:vAlign w:val="center"/>
          </w:tcPr>
          <w:p w14:paraId="73902665">
            <w:pPr>
              <w:widowControl/>
              <w:spacing w:before="0" w:after="0" w:line="400" w:lineRule="exact"/>
              <w:jc w:val="center"/>
              <w:rPr>
                <w:rFonts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满意度调查情况</w:t>
            </w:r>
          </w:p>
        </w:tc>
      </w:tr>
      <w:tr w14:paraId="3666936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2730" w:type="pct"/>
            <w:gridSpan w:val="6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5D9FF06F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问卷总数：</w:t>
            </w:r>
            <w:r>
              <w:rPr>
                <w:rFonts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8</w:t>
            </w: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；有效问卷数量：</w:t>
            </w:r>
            <w:r>
              <w:rPr>
                <w:rFonts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8</w:t>
            </w: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。</w:t>
            </w:r>
          </w:p>
        </w:tc>
        <w:tc>
          <w:tcPr>
            <w:tcW w:w="2269" w:type="pct"/>
            <w:gridSpan w:val="7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65520B1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单项打分满分：10,总分100分</w:t>
            </w:r>
          </w:p>
        </w:tc>
      </w:tr>
      <w:tr w14:paraId="2CB5C0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302" w:type="pct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1032454B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序号</w:t>
            </w:r>
          </w:p>
        </w:tc>
        <w:tc>
          <w:tcPr>
            <w:tcW w:w="1193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D863842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调查客户名称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9E00DCC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故障响应</w:t>
            </w:r>
          </w:p>
        </w:tc>
        <w:tc>
          <w:tcPr>
            <w:tcW w:w="309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740E392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故障排除</w:t>
            </w:r>
          </w:p>
        </w:tc>
        <w:tc>
          <w:tcPr>
            <w:tcW w:w="30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F67EFD0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备件供应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93DD839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备件质量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7A6F635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定期巡检</w:t>
            </w:r>
          </w:p>
        </w:tc>
        <w:tc>
          <w:tcPr>
            <w:tcW w:w="33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1FD099C">
            <w:pPr>
              <w:widowControl/>
              <w:spacing w:before="0" w:after="0" w:line="400" w:lineRule="exact"/>
              <w:jc w:val="both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巡检效果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EAF7A6A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培训及时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1B8156D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培训效果</w:t>
            </w:r>
          </w:p>
        </w:tc>
        <w:tc>
          <w:tcPr>
            <w:tcW w:w="28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361CB16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服务水平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64E2798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表达能力</w:t>
            </w:r>
          </w:p>
        </w:tc>
        <w:tc>
          <w:tcPr>
            <w:tcW w:w="47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BF2C5F4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总分</w:t>
            </w:r>
          </w:p>
        </w:tc>
      </w:tr>
      <w:tr w14:paraId="57C1BE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302" w:type="pct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6ED018CB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1</w:t>
            </w:r>
          </w:p>
        </w:tc>
        <w:tc>
          <w:tcPr>
            <w:tcW w:w="1193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567ADF7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2"/>
                <w:lang w:val="en-US" w:eastAsia="zh-CN" w:bidi="ar-SA"/>
              </w:rPr>
            </w:pPr>
            <w:r>
              <w:rPr>
                <w:rFonts w:ascii="Verdana" w:hAnsi="Verdana" w:eastAsia="宋体" w:cs="Verdana"/>
                <w:b/>
                <w:bCs/>
                <w:i w:val="0"/>
                <w:iCs w:val="0"/>
                <w:caps w:val="0"/>
                <w:color w:val="555555"/>
                <w:spacing w:val="0"/>
                <w:sz w:val="24"/>
                <w:szCs w:val="24"/>
                <w:shd w:val="clear" w:color="auto" w:fill="FFFFFF"/>
              </w:rPr>
              <w:t>四川中电福溪电力开发有限公司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35CCCE8">
            <w:pPr>
              <w:widowControl/>
              <w:spacing w:before="0" w:after="0" w:line="400" w:lineRule="exact"/>
              <w:jc w:val="center"/>
              <w:rPr>
                <w:rFonts w:ascii="微软雅黑" w:hAnsi="微软雅黑" w:eastAsia="微软雅黑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0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9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9D5FB8E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90182E6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3EF7DB3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18CF492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33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3CD6EF3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38B1470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CE982A5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28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31331EC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5527369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47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DE82AFF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9</w: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4</w:t>
            </w:r>
          </w:p>
        </w:tc>
      </w:tr>
      <w:tr w14:paraId="67D4C21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302" w:type="pct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4150DE1D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2</w:t>
            </w:r>
          </w:p>
        </w:tc>
        <w:tc>
          <w:tcPr>
            <w:tcW w:w="1193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92B7B94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2"/>
                <w:lang w:val="en-US" w:eastAsia="zh-CN" w:bidi="ar-SA"/>
              </w:rPr>
            </w:pPr>
            <w:r>
              <w:rPr>
                <w:rFonts w:ascii="Verdana" w:hAnsi="Verdana" w:eastAsia="宋体" w:cs="Verdana"/>
                <w:b/>
                <w:bCs/>
                <w:i w:val="0"/>
                <w:iCs w:val="0"/>
                <w:caps w:val="0"/>
                <w:color w:val="555555"/>
                <w:spacing w:val="0"/>
                <w:sz w:val="24"/>
                <w:szCs w:val="24"/>
                <w:shd w:val="clear" w:color="auto" w:fill="FFFFFF"/>
              </w:rPr>
              <w:t>光大环保能源（天津）有限公司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CE1E48B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309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F82D731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D7FF637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5D62EE0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7287D38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33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FDCE989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3EDDE03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0920701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95AB97F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5EEB370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47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AA264FC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94</w:t>
            </w:r>
          </w:p>
        </w:tc>
      </w:tr>
      <w:tr w14:paraId="6445513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302" w:type="pct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6BFDF1FC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3</w:t>
            </w:r>
          </w:p>
        </w:tc>
        <w:tc>
          <w:tcPr>
            <w:tcW w:w="1193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59805B4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2"/>
                <w:lang w:val="en-US" w:eastAsia="zh-CN" w:bidi="ar-SA"/>
              </w:rPr>
            </w:pPr>
            <w:r>
              <w:rPr>
                <w:rFonts w:ascii="Verdana" w:hAnsi="Verdana" w:eastAsia="宋体" w:cs="Verdana"/>
                <w:b/>
                <w:bCs/>
                <w:i w:val="0"/>
                <w:iCs w:val="0"/>
                <w:caps w:val="0"/>
                <w:color w:val="555555"/>
                <w:spacing w:val="0"/>
                <w:sz w:val="24"/>
                <w:szCs w:val="24"/>
                <w:shd w:val="clear" w:color="auto" w:fill="FFFFFF"/>
              </w:rPr>
              <w:t>中国水利电力物资天津有限公司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DD5BAE7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9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7A4B058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F9B6198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05E7466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A075352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33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1ABEEDF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A7B8D76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48448CE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1135FBC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EA29E57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47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E82EEDE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98</w:t>
            </w:r>
          </w:p>
        </w:tc>
      </w:tr>
      <w:tr w14:paraId="28D2FEE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302" w:type="pct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64638B12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4</w:t>
            </w:r>
          </w:p>
        </w:tc>
        <w:tc>
          <w:tcPr>
            <w:tcW w:w="1193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F4F4E09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2"/>
                <w:lang w:val="en-US" w:eastAsia="zh-CN" w:bidi="ar-SA"/>
              </w:rPr>
            </w:pPr>
            <w:r>
              <w:rPr>
                <w:rFonts w:ascii="Verdana" w:hAnsi="Verdana" w:eastAsia="宋体" w:cs="Verdana"/>
                <w:b/>
                <w:bCs/>
                <w:i w:val="0"/>
                <w:iCs w:val="0"/>
                <w:caps w:val="0"/>
                <w:color w:val="555555"/>
                <w:spacing w:val="0"/>
                <w:sz w:val="24"/>
                <w:szCs w:val="24"/>
                <w:shd w:val="clear" w:color="auto" w:fill="FFFFFF"/>
              </w:rPr>
              <w:t>巴彦淖尔乌拉特中旗富汇风能电力有限公司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D6635CE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9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41BDA71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E6FBC59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D1CA3C9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158E4BA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33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657BC71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3F5902A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DDF172E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28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9666C75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FBCCB68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47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973B7AB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96</w:t>
            </w:r>
          </w:p>
        </w:tc>
      </w:tr>
      <w:tr w14:paraId="5A51D7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302" w:type="pct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0F42C524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5</w:t>
            </w:r>
          </w:p>
        </w:tc>
        <w:tc>
          <w:tcPr>
            <w:tcW w:w="1193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6206CC8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2"/>
                <w:lang w:val="en-US" w:eastAsia="zh-CN" w:bidi="ar-SA"/>
              </w:rPr>
            </w:pPr>
            <w:r>
              <w:rPr>
                <w:rFonts w:ascii="Verdana" w:hAnsi="Verdana" w:eastAsia="宋体" w:cs="Verdana"/>
                <w:b/>
                <w:bCs/>
                <w:i w:val="0"/>
                <w:iCs w:val="0"/>
                <w:caps w:val="0"/>
                <w:color w:val="555555"/>
                <w:spacing w:val="0"/>
                <w:sz w:val="24"/>
                <w:szCs w:val="24"/>
                <w:shd w:val="clear" w:color="auto" w:fill="FFFFFF"/>
              </w:rPr>
              <w:t>大唐乌拉特后旗新能源有限公司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7629F9D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0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9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D086788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0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7649156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AF44C99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0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C8F8158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33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EBCB8A8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0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58EA741">
            <w:pPr>
              <w:widowControl w:val="0"/>
              <w:spacing w:before="0" w:after="0" w:line="400" w:lineRule="exact"/>
              <w:jc w:val="center"/>
              <w:rPr>
                <w:rFonts w:hint="default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0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0DA5F9C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0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98B8258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0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DEE2171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0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47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023CEA4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9</w: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6</w:t>
            </w:r>
          </w:p>
        </w:tc>
      </w:tr>
      <w:tr w14:paraId="37CBBC0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302" w:type="pct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01C57600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6</w:t>
            </w:r>
          </w:p>
        </w:tc>
        <w:tc>
          <w:tcPr>
            <w:tcW w:w="1193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235212B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2"/>
                <w:lang w:val="en-US" w:eastAsia="zh-CN" w:bidi="ar-SA"/>
              </w:rPr>
            </w:pPr>
            <w:r>
              <w:rPr>
                <w:rFonts w:ascii="Verdana" w:hAnsi="Verdana" w:eastAsia="宋体" w:cs="Verdana"/>
                <w:b/>
                <w:bCs/>
                <w:i w:val="0"/>
                <w:iCs w:val="0"/>
                <w:caps w:val="0"/>
                <w:color w:val="555555"/>
                <w:spacing w:val="0"/>
                <w:sz w:val="24"/>
                <w:szCs w:val="24"/>
                <w:shd w:val="clear" w:color="auto" w:fill="FFFFFF"/>
              </w:rPr>
              <w:t>大唐五原新能源有限公司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5D36BFE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309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A17B774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4D21CA4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85DAEA3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75DED0B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33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6088A94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E6891F1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C901148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28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C5B9E81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62DFFF7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47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4D5AA03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9</w: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2</w:t>
            </w:r>
          </w:p>
        </w:tc>
      </w:tr>
      <w:tr w14:paraId="252728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302" w:type="pct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5222766A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7</w:t>
            </w:r>
          </w:p>
        </w:tc>
        <w:tc>
          <w:tcPr>
            <w:tcW w:w="1193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F0E57B3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2"/>
                <w:lang w:val="en-US" w:eastAsia="zh-CN" w:bidi="ar-SA"/>
              </w:rPr>
            </w:pPr>
            <w:r>
              <w:rPr>
                <w:rFonts w:ascii="Verdana" w:hAnsi="Verdana" w:eastAsia="宋体" w:cs="Verdana"/>
                <w:b/>
                <w:bCs/>
                <w:i w:val="0"/>
                <w:iCs w:val="0"/>
                <w:caps w:val="0"/>
                <w:color w:val="555555"/>
                <w:spacing w:val="0"/>
                <w:sz w:val="24"/>
                <w:szCs w:val="24"/>
                <w:shd w:val="clear" w:color="auto" w:fill="FFFFFF"/>
              </w:rPr>
              <w:t>巴彦淖尔乌拉特后旗富汇风能电力有限公司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7554898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9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42A76D0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769503C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84A8E41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059530A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33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1CAD0EF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E2954A8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6F32594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28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D26E4DE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17F9F97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47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35E1A9B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9</w: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6</w:t>
            </w:r>
          </w:p>
        </w:tc>
      </w:tr>
      <w:tr w14:paraId="6E6662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302" w:type="pct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693F068B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1193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B43138B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2"/>
                <w:lang w:val="en-US" w:eastAsia="zh-CN" w:bidi="ar-SA"/>
              </w:rPr>
            </w:pPr>
            <w:r>
              <w:rPr>
                <w:rFonts w:ascii="Verdana" w:hAnsi="Verdana" w:eastAsia="宋体" w:cs="Verdana"/>
                <w:b/>
                <w:bCs/>
                <w:i w:val="0"/>
                <w:iCs w:val="0"/>
                <w:caps w:val="0"/>
                <w:color w:val="555555"/>
                <w:spacing w:val="0"/>
                <w:sz w:val="24"/>
                <w:szCs w:val="24"/>
                <w:shd w:val="clear" w:color="auto" w:fill="FFFFFF"/>
              </w:rPr>
              <w:t>吉林电力股份有限公司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C1AB27B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9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8AFDCA3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1820A32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08ACB2B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C5A5797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33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0693FF2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67F22B6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EFD4ECD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28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BD39CBF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36CA428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47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E7231F5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9</w: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4</w:t>
            </w:r>
          </w:p>
        </w:tc>
      </w:tr>
      <w:tr w14:paraId="6783EE3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302" w:type="pct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29F219CB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9</w:t>
            </w:r>
          </w:p>
        </w:tc>
        <w:tc>
          <w:tcPr>
            <w:tcW w:w="1193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C26223F">
            <w:pPr>
              <w:widowControl w:val="0"/>
              <w:tabs>
                <w:tab w:val="left" w:pos="3654"/>
              </w:tabs>
              <w:spacing w:before="0" w:after="0" w:line="400" w:lineRule="exact"/>
              <w:ind w:left="142"/>
              <w:jc w:val="center"/>
              <w:rPr>
                <w:rFonts w:hint="eastAsia" w:ascii="微软雅黑" w:hAnsi="微软雅黑" w:eastAsia="微软雅黑" w:cs="Arial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Arial"/>
                <w:kern w:val="2"/>
                <w:sz w:val="24"/>
                <w:szCs w:val="24"/>
                <w:lang w:val="en-US" w:eastAsia="zh-CN" w:bidi="ar-SA"/>
              </w:rPr>
              <w:t>统计值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579F19B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begin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=SUM(ABOVE)</w:instrText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separate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76</w: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end"/>
            </w:r>
          </w:p>
        </w:tc>
        <w:tc>
          <w:tcPr>
            <w:tcW w:w="309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1911143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begin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=SUM(ABOVE)</w:instrText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separate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80</w: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end"/>
            </w:r>
          </w:p>
        </w:tc>
        <w:tc>
          <w:tcPr>
            <w:tcW w:w="30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673B378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begin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=SUM(ABOVE)</w:instrText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separate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78</w: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end"/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3A050F9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begin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=SUM(ABOVE)</w:instrText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separate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80</w: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end"/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0B08961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begin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=SUM(ABOVE)</w:instrText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separate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64</w: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end"/>
            </w:r>
          </w:p>
        </w:tc>
        <w:tc>
          <w:tcPr>
            <w:tcW w:w="33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5997A65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begin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=SUM(ABOVE)</w:instrText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separate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80</w: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end"/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703EDD0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begin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=SUM(ABOVE)</w:instrText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separate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80</w: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end"/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CB60485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begin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=SUM(ABOVE)</w:instrText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separate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70</w: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end"/>
            </w:r>
          </w:p>
        </w:tc>
        <w:tc>
          <w:tcPr>
            <w:tcW w:w="28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8506A9A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begin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=SUM(ABOVE)</w:instrText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separate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78</w: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end"/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A2E9033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begin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=SUM(ABOVE)</w:instrText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separate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74</w: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end"/>
            </w:r>
          </w:p>
        </w:tc>
        <w:tc>
          <w:tcPr>
            <w:tcW w:w="47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49CB504">
            <w:pPr>
              <w:widowControl w:val="0"/>
              <w:spacing w:before="0" w:after="0" w:line="400" w:lineRule="exact"/>
              <w:jc w:val="center"/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begin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=SUM(ABOVE) </w:instrTex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separate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760</w: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end"/>
            </w:r>
          </w:p>
        </w:tc>
      </w:tr>
      <w:tr w14:paraId="4299C19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302" w:type="pct"/>
            <w:tcBorders>
              <w:top w:val="single" w:color="auto" w:sz="4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46192ADB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193" w:type="pct"/>
            <w:tcBorders>
              <w:top w:val="single" w:color="auto" w:sz="4" w:space="0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F80E9A0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满意度平均分</w:t>
            </w:r>
          </w:p>
        </w:tc>
        <w:tc>
          <w:tcPr>
            <w:tcW w:w="3504" w:type="pct"/>
            <w:gridSpan w:val="11"/>
            <w:tcBorders>
              <w:top w:val="single" w:color="auto" w:sz="4" w:space="0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DE594DE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9</w: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5分</w:t>
            </w:r>
          </w:p>
        </w:tc>
      </w:tr>
    </w:tbl>
    <w:p w14:paraId="53C015A4">
      <w:pPr>
        <w:spacing w:before="0" w:after="0" w:line="360" w:lineRule="auto"/>
        <w:ind w:firstLine="480" w:firstLineChars="200"/>
        <w:rPr>
          <w:rFonts w:hint="eastAsia" w:ascii="微软雅黑" w:hAnsi="微软雅黑" w:eastAsia="微软雅黑"/>
          <w:sz w:val="24"/>
        </w:rPr>
      </w:pPr>
      <w:r>
        <w:rPr>
          <w:rFonts w:hint="eastAsia" w:ascii="微软雅黑" w:hAnsi="微软雅黑" w:eastAsia="微软雅黑"/>
          <w:sz w:val="24"/>
        </w:rPr>
        <w:t>对已统计的用户满意度调查问卷结果进行分析，满足公司对运维服务的要求（≥9</w:t>
      </w:r>
      <w:r>
        <w:rPr>
          <w:rFonts w:hint="eastAsia" w:ascii="微软雅黑" w:hAnsi="微软雅黑" w:eastAsia="微软雅黑"/>
          <w:sz w:val="24"/>
          <w:lang w:val="en-US" w:eastAsia="zh-CN"/>
        </w:rPr>
        <w:t>5</w:t>
      </w:r>
      <w:r>
        <w:rPr>
          <w:rFonts w:hint="eastAsia" w:ascii="微软雅黑" w:hAnsi="微软雅黑" w:eastAsia="微软雅黑"/>
          <w:sz w:val="24"/>
        </w:rPr>
        <w:t>分）</w:t>
      </w:r>
      <w:r>
        <w:rPr>
          <w:rFonts w:ascii="微软雅黑" w:hAnsi="微软雅黑" w:eastAsia="微软雅黑"/>
          <w:sz w:val="24"/>
        </w:rPr>
        <w:t>。</w:t>
      </w:r>
    </w:p>
    <w:p w14:paraId="43A90978">
      <w:pPr>
        <w:spacing w:before="0" w:after="0" w:line="360" w:lineRule="auto"/>
        <w:ind w:firstLine="480" w:firstLineChars="200"/>
        <w:rPr>
          <w:rFonts w:hint="eastAsia" w:ascii="微软雅黑" w:hAnsi="微软雅黑" w:eastAsia="微软雅黑"/>
          <w:sz w:val="24"/>
        </w:rPr>
      </w:pPr>
      <w:r>
        <w:rPr>
          <w:rFonts w:hint="eastAsia" w:ascii="微软雅黑" w:hAnsi="微软雅黑" w:eastAsia="微软雅黑"/>
          <w:sz w:val="24"/>
        </w:rPr>
        <w:t>但仍发现运维服务工作过程中存在的问题：</w:t>
      </w:r>
    </w:p>
    <w:p w14:paraId="78F1C154">
      <w:pPr>
        <w:spacing w:before="0" w:after="0" w:line="360" w:lineRule="auto"/>
        <w:ind w:firstLine="480" w:firstLineChars="200"/>
        <w:rPr>
          <w:rFonts w:hint="eastAsia" w:ascii="微软雅黑" w:hAnsi="微软雅黑" w:eastAsia="微软雅黑"/>
          <w:sz w:val="24"/>
        </w:rPr>
      </w:pPr>
      <w:r>
        <w:rPr>
          <w:rFonts w:hint="eastAsia" w:ascii="微软雅黑" w:hAnsi="微软雅黑" w:eastAsia="微软雅黑"/>
          <w:sz w:val="24"/>
        </w:rPr>
        <w:t>1、运维人员在定期巡检的服务互动性</w:t>
      </w:r>
      <w:r>
        <w:rPr>
          <w:rFonts w:ascii="微软雅黑" w:hAnsi="微软雅黑" w:eastAsia="微软雅黑"/>
          <w:sz w:val="24"/>
        </w:rPr>
        <w:t>上有所欠缺</w:t>
      </w:r>
      <w:r>
        <w:rPr>
          <w:rFonts w:hint="eastAsia" w:ascii="微软雅黑" w:hAnsi="微软雅黑" w:eastAsia="微软雅黑"/>
          <w:sz w:val="24"/>
        </w:rPr>
        <w:t>；</w:t>
      </w:r>
    </w:p>
    <w:p w14:paraId="296E6EC1">
      <w:pPr>
        <w:spacing w:before="0" w:after="0" w:line="360" w:lineRule="auto"/>
        <w:ind w:firstLine="480" w:firstLineChars="200"/>
        <w:rPr>
          <w:rFonts w:hint="eastAsia" w:ascii="微软雅黑" w:hAnsi="微软雅黑" w:eastAsia="微软雅黑"/>
          <w:sz w:val="24"/>
        </w:rPr>
      </w:pPr>
      <w:r>
        <w:rPr>
          <w:rFonts w:hint="eastAsia" w:ascii="微软雅黑" w:hAnsi="微软雅黑" w:eastAsia="微软雅黑"/>
          <w:sz w:val="24"/>
        </w:rPr>
        <w:t>2、运维服务过程针对培训效果的评估有待改进。</w:t>
      </w:r>
    </w:p>
    <w:p w14:paraId="2AB3D2CA">
      <w:pPr>
        <w:pStyle w:val="30"/>
        <w:bidi w:val="0"/>
        <w:rPr>
          <w:rFonts w:hint="eastAsia"/>
        </w:rPr>
      </w:pPr>
      <w:bookmarkStart w:id="19" w:name="_Toc193352436"/>
      <w:bookmarkStart w:id="20" w:name="_Toc428823209"/>
      <w:bookmarkStart w:id="21" w:name="_Toc278555969"/>
      <w:bookmarkStart w:id="22" w:name="_Toc481913850"/>
      <w:r>
        <w:rPr>
          <w:rFonts w:hint="eastAsia"/>
        </w:rPr>
        <w:t>主要</w:t>
      </w:r>
      <w:bookmarkEnd w:id="19"/>
      <w:r>
        <w:rPr>
          <w:rFonts w:hint="eastAsia"/>
        </w:rPr>
        <w:t>建议</w:t>
      </w:r>
      <w:bookmarkEnd w:id="20"/>
      <w:bookmarkEnd w:id="21"/>
      <w:bookmarkEnd w:id="22"/>
    </w:p>
    <w:p w14:paraId="7058ACF9">
      <w:pPr>
        <w:spacing w:before="0" w:after="0" w:line="360" w:lineRule="auto"/>
        <w:ind w:firstLine="480" w:firstLineChars="200"/>
        <w:rPr>
          <w:rFonts w:hint="eastAsia" w:ascii="微软雅黑" w:hAnsi="微软雅黑" w:eastAsia="微软雅黑"/>
          <w:sz w:val="24"/>
        </w:rPr>
      </w:pPr>
      <w:r>
        <w:rPr>
          <w:rFonts w:hint="eastAsia" w:ascii="微软雅黑" w:hAnsi="微软雅黑" w:eastAsia="微软雅黑"/>
          <w:sz w:val="24"/>
        </w:rPr>
        <w:t>1、加强对运维服务专业人员专业知识的培训，强化定期巡检意识；</w:t>
      </w:r>
    </w:p>
    <w:p w14:paraId="3A40D8CB">
      <w:pPr>
        <w:spacing w:before="0" w:after="0" w:line="360" w:lineRule="auto"/>
        <w:ind w:firstLine="480" w:firstLineChars="200"/>
        <w:rPr>
          <w:rFonts w:ascii="微软雅黑" w:hAnsi="微软雅黑" w:eastAsia="微软雅黑"/>
          <w:sz w:val="24"/>
        </w:rPr>
      </w:pPr>
      <w:r>
        <w:rPr>
          <w:rFonts w:hint="eastAsia" w:ascii="微软雅黑" w:hAnsi="微软雅黑" w:eastAsia="微软雅黑"/>
          <w:sz w:val="24"/>
        </w:rPr>
        <w:t>2、针对运维服务过程发起的培训工作，加强培训效果评价工作。</w:t>
      </w:r>
    </w:p>
    <w:p w14:paraId="5CAB1D58">
      <w:pPr>
        <w:pStyle w:val="29"/>
        <w:bidi w:val="0"/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434A22E8"/>
    <w:multiLevelType w:val="multilevel"/>
    <w:tmpl w:val="434A22E8"/>
    <w:lvl w:ilvl="0" w:tentative="0">
      <w:start w:val="1"/>
      <w:numFmt w:val="bullet"/>
      <w:lvlText w:val=""/>
      <w:lvlJc w:val="left"/>
      <w:pPr>
        <w:tabs>
          <w:tab w:val="left" w:pos="840"/>
        </w:tabs>
        <w:ind w:left="84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1260"/>
        </w:tabs>
        <w:ind w:left="126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680"/>
        </w:tabs>
        <w:ind w:left="168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100"/>
        </w:tabs>
        <w:ind w:left="210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520"/>
        </w:tabs>
        <w:ind w:left="252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940"/>
        </w:tabs>
        <w:ind w:left="294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360"/>
        </w:tabs>
        <w:ind w:left="336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780"/>
        </w:tabs>
        <w:ind w:left="378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200"/>
        </w:tabs>
        <w:ind w:left="4200" w:hanging="42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embedSystemFonts/>
  <w:bordersDoNotSurroundHeader w:val="1"/>
  <w:bordersDoNotSurroundFooter w:val="1"/>
  <w:doNotTrackMoves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167420"/>
    <w:rsid w:val="271D6716"/>
    <w:rsid w:val="3219327C"/>
    <w:rsid w:val="47A25376"/>
    <w:rsid w:val="58CB5722"/>
    <w:rsid w:val="68790CF7"/>
    <w:rsid w:val="76C132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table" w:customStyle="1" w:styleId="28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1"/>
    <w:basedOn w:val="2"/>
    <w:next w:val="29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2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3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30"/>
    <w:qFormat/>
    <w:uiPriority w:val="0"/>
    <w:rPr>
      <w:rFonts w:ascii="Arial" w:hAnsi="Arial" w:eastAsia="宋体"/>
      <w:sz w:val="32"/>
    </w:r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920</Words>
  <Characters>1088</Characters>
  <Lines>0</Lines>
  <Paragraphs>0</Paragraphs>
  <TotalTime>0</TotalTime>
  <ScaleCrop>false</ScaleCrop>
  <LinksUpToDate>false</LinksUpToDate>
  <CharactersWithSpaces>1092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2025-12-13T03:17:00Z</dcterms:created>
  <dc:creator>郝宇</dc:creator>
  <cp:lastModifiedBy>郝宇</cp:lastModifiedBy>
  <dcterms:modified xsi:type="dcterms:W3CDTF">2026-03-07T19:01:05Z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341D1C7ED3A1444E8EA73691394D44B6_11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