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2ABA4B">
      <w:pPr>
        <w:pStyle w:val="24"/>
        <w:bidi w:val="0"/>
        <w:ind w:left="420" w:leftChars="0" w:right="0" w:rightChars="0" w:firstLine="42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1BF2881F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运维服务内审计划</w:t>
      </w:r>
    </w:p>
    <w:p w14:paraId="3CAAD923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（HXDL-ITSS-0410）</w:t>
      </w:r>
    </w:p>
    <w:p w14:paraId="4CFE5CAB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8F815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51CE8F15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2ACEC68A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74533A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11C153D2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4E2AD549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  <w:tr w14:paraId="75FE6D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D2F997F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45F8EF6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2026.01.10</w:t>
            </w:r>
          </w:p>
        </w:tc>
      </w:tr>
    </w:tbl>
    <w:p w14:paraId="688B90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AA505D7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34"/>
        <w:gridCol w:w="1220"/>
      </w:tblGrid>
      <w:tr w14:paraId="2B67CFE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7776612B">
            <w:pPr>
              <w:spacing w:line="350" w:lineRule="auto"/>
              <w:rPr>
                <w:rFonts w:ascii="Arial"/>
                <w:sz w:val="21"/>
              </w:rPr>
            </w:pPr>
          </w:p>
          <w:p w14:paraId="78CE2AEF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787E4B4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4D435DB3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51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1DA7C37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220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69ED8545">
            <w:pPr>
              <w:spacing w:line="350" w:lineRule="auto"/>
              <w:rPr>
                <w:rFonts w:ascii="Arial"/>
                <w:sz w:val="21"/>
              </w:rPr>
            </w:pPr>
          </w:p>
          <w:p w14:paraId="0B76F432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739EB09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4C3B5FA5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2A92CFC0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CE7214A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2D5D801C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169E8CE1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19E696D8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34" w:type="dxa"/>
            <w:shd w:val="clear" w:color="auto" w:fill="D9D9D9"/>
          </w:tcPr>
          <w:p w14:paraId="0638C7A0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220" w:type="dxa"/>
            <w:vMerge w:val="continue"/>
            <w:tcBorders>
              <w:top w:val="nil"/>
              <w:right w:val="single" w:color="000000" w:sz="10" w:space="0"/>
            </w:tcBorders>
          </w:tcPr>
          <w:p w14:paraId="54FD5732">
            <w:pPr>
              <w:rPr>
                <w:rFonts w:ascii="Arial"/>
                <w:sz w:val="21"/>
              </w:rPr>
            </w:pPr>
          </w:p>
        </w:tc>
      </w:tr>
      <w:tr w14:paraId="327E4F6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8659438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18830080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06096506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10</w:t>
            </w:r>
          </w:p>
        </w:tc>
        <w:tc>
          <w:tcPr>
            <w:tcW w:w="957" w:type="dxa"/>
          </w:tcPr>
          <w:p w14:paraId="3106D392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75ADC350">
            <w:pPr>
              <w:pStyle w:val="27"/>
              <w:spacing w:before="230" w:line="237" w:lineRule="auto"/>
              <w:ind w:left="161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rFonts w:hint="eastAsia"/>
                <w:spacing w:val="-1"/>
                <w:lang w:val="en-US" w:eastAsia="zh-CN"/>
              </w:rPr>
              <w:t>.10</w:t>
            </w:r>
          </w:p>
        </w:tc>
        <w:tc>
          <w:tcPr>
            <w:tcW w:w="1017" w:type="dxa"/>
          </w:tcPr>
          <w:p w14:paraId="384FC945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34" w:type="dxa"/>
          </w:tcPr>
          <w:p w14:paraId="7A6C30AF">
            <w:pPr>
              <w:pStyle w:val="27"/>
              <w:spacing w:before="230" w:line="237" w:lineRule="auto"/>
              <w:ind w:left="22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2026.01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10</w:t>
            </w: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4811EE90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7E8068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AD7A073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1EA11EA7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38280CE7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6CB566C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426C1F7D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345E6B7C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34" w:type="dxa"/>
          </w:tcPr>
          <w:p w14:paraId="71A021CB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220" w:type="dxa"/>
            <w:tcBorders>
              <w:right w:val="single" w:color="000000" w:sz="10" w:space="0"/>
            </w:tcBorders>
          </w:tcPr>
          <w:p w14:paraId="5454815F">
            <w:pPr>
              <w:pStyle w:val="27"/>
              <w:spacing w:before="152" w:line="219" w:lineRule="auto"/>
              <w:ind w:left="436"/>
            </w:pPr>
          </w:p>
        </w:tc>
      </w:tr>
      <w:tr w14:paraId="16CD18B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2A1DA20B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1A419CDF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394B6D48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06310657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7E9BD11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174AEBD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34" w:type="dxa"/>
            <w:tcBorders>
              <w:bottom w:val="single" w:color="000000" w:sz="10" w:space="0"/>
            </w:tcBorders>
          </w:tcPr>
          <w:p w14:paraId="52315462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220" w:type="dxa"/>
            <w:tcBorders>
              <w:bottom w:val="single" w:color="000000" w:sz="10" w:space="0"/>
              <w:right w:val="single" w:color="000000" w:sz="10" w:space="0"/>
            </w:tcBorders>
          </w:tcPr>
          <w:p w14:paraId="2C3ACE74">
            <w:pPr>
              <w:pStyle w:val="27"/>
              <w:spacing w:before="157" w:line="219" w:lineRule="auto"/>
              <w:ind w:left="436"/>
            </w:pPr>
          </w:p>
        </w:tc>
      </w:tr>
    </w:tbl>
    <w:p w14:paraId="458B68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FD280C8">
      <w:pPr>
        <w:spacing w:before="213" w:line="217" w:lineRule="auto"/>
        <w:ind w:left="3711"/>
        <w:outlineLvl w:val="0"/>
        <w:rPr>
          <w:rFonts w:ascii="仿宋" w:hAnsi="仿宋" w:eastAsia="仿宋" w:cs="仿宋"/>
          <w:sz w:val="30"/>
          <w:szCs w:val="30"/>
        </w:rPr>
      </w:pPr>
      <w:r>
        <w:rPr>
          <w:rFonts w:ascii="仿宋" w:hAnsi="仿宋" w:eastAsia="仿宋" w:cs="仿宋"/>
          <w:b/>
          <w:bCs/>
          <w:spacing w:val="-5"/>
          <w:sz w:val="30"/>
          <w:szCs w:val="30"/>
        </w:rPr>
        <w:t>运维服务内审计划</w:t>
      </w:r>
    </w:p>
    <w:p w14:paraId="7F0EF8FD">
      <w:pPr>
        <w:spacing w:before="208"/>
      </w:pPr>
    </w:p>
    <w:tbl>
      <w:tblPr>
        <w:tblStyle w:val="26"/>
        <w:tblW w:w="9803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01"/>
        <w:gridCol w:w="4902"/>
      </w:tblGrid>
      <w:tr w14:paraId="6FC3C9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8" w:hRule="atLeast"/>
        </w:trPr>
        <w:tc>
          <w:tcPr>
            <w:tcW w:w="9803" w:type="dxa"/>
            <w:gridSpan w:val="2"/>
          </w:tcPr>
          <w:p w14:paraId="7BAF06FE">
            <w:pPr>
              <w:spacing w:before="177" w:line="219" w:lineRule="auto"/>
              <w:ind w:left="14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1"/>
                <w:sz w:val="28"/>
                <w:szCs w:val="28"/>
              </w:rPr>
              <w:t>审核目的：</w:t>
            </w: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确保体系的符合性和有效性，并</w:t>
            </w: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得到持续改进.</w:t>
            </w:r>
          </w:p>
        </w:tc>
      </w:tr>
      <w:tr w14:paraId="2A819C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97" w:hRule="atLeast"/>
        </w:trPr>
        <w:tc>
          <w:tcPr>
            <w:tcW w:w="9803" w:type="dxa"/>
            <w:gridSpan w:val="2"/>
          </w:tcPr>
          <w:p w14:paraId="2F576E26">
            <w:pPr>
              <w:spacing w:before="172" w:line="219" w:lineRule="auto"/>
              <w:ind w:left="130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6"/>
                <w:sz w:val="28"/>
                <w:szCs w:val="28"/>
              </w:rPr>
              <w:t>一、</w:t>
            </w:r>
            <w:r>
              <w:rPr>
                <w:rFonts w:ascii="仿宋" w:hAnsi="仿宋" w:eastAsia="仿宋" w:cs="仿宋"/>
                <w:spacing w:val="20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6"/>
                <w:sz w:val="28"/>
                <w:szCs w:val="28"/>
              </w:rPr>
              <w:t>审核范围：</w:t>
            </w:r>
          </w:p>
          <w:p w14:paraId="6280A0A8">
            <w:pPr>
              <w:spacing w:before="234" w:line="217" w:lineRule="auto"/>
              <w:ind w:left="54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公司</w:t>
            </w:r>
            <w:r>
              <w:rPr>
                <w:rFonts w:ascii="仿宋" w:hAnsi="仿宋" w:eastAsia="仿宋" w:cs="仿宋"/>
                <w:spacing w:val="-38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ITSS</w:t>
            </w:r>
            <w:r>
              <w:rPr>
                <w:rFonts w:ascii="仿宋" w:hAnsi="仿宋" w:eastAsia="仿宋" w:cs="仿宋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体系标准覆盖的相关部门及活动</w:t>
            </w:r>
          </w:p>
        </w:tc>
      </w:tr>
      <w:tr w14:paraId="2897C2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02" w:hRule="atLeast"/>
        </w:trPr>
        <w:tc>
          <w:tcPr>
            <w:tcW w:w="9803" w:type="dxa"/>
            <w:gridSpan w:val="2"/>
          </w:tcPr>
          <w:p w14:paraId="5CE03C95">
            <w:pPr>
              <w:spacing w:before="172" w:line="219" w:lineRule="auto"/>
              <w:ind w:left="135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二、</w:t>
            </w:r>
            <w:r>
              <w:rPr>
                <w:rFonts w:ascii="仿宋" w:hAnsi="仿宋" w:eastAsia="仿宋" w:cs="仿宋"/>
                <w:spacing w:val="21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审核依据：</w:t>
            </w:r>
          </w:p>
          <w:p w14:paraId="79D2F83C">
            <w:pPr>
              <w:spacing w:before="233" w:line="360" w:lineRule="auto"/>
              <w:ind w:left="538" w:right="370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《信息技术服务</w:t>
            </w:r>
            <w:r>
              <w:rPr>
                <w:rFonts w:ascii="仿宋" w:hAnsi="仿宋" w:eastAsia="仿宋" w:cs="仿宋"/>
                <w:spacing w:val="-20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运行维护服务能力成熟度模型》三级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《</w:t>
            </w:r>
            <w:bookmarkStart w:id="0" w:name="_GoBack"/>
            <w:bookmarkEnd w:id="0"/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运维服务管理目标》；</w:t>
            </w:r>
          </w:p>
          <w:p w14:paraId="051C8A94">
            <w:pPr>
              <w:spacing w:line="217" w:lineRule="auto"/>
              <w:ind w:left="668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公司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ITSS</w:t>
            </w:r>
            <w:r>
              <w:rPr>
                <w:rFonts w:ascii="仿宋" w:hAnsi="仿宋" w:eastAsia="仿宋" w:cs="仿宋"/>
                <w:spacing w:val="-31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5"/>
                <w:sz w:val="24"/>
                <w:szCs w:val="24"/>
              </w:rPr>
              <w:t>管理制度及相关制度；</w:t>
            </w:r>
          </w:p>
          <w:p w14:paraId="7207879D">
            <w:pPr>
              <w:spacing w:before="185" w:line="218" w:lineRule="auto"/>
              <w:ind w:left="663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适用的法律法规等</w:t>
            </w:r>
          </w:p>
        </w:tc>
      </w:tr>
      <w:tr w14:paraId="717144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8" w:hRule="atLeast"/>
        </w:trPr>
        <w:tc>
          <w:tcPr>
            <w:tcW w:w="9803" w:type="dxa"/>
            <w:gridSpan w:val="2"/>
          </w:tcPr>
          <w:p w14:paraId="01ABDDEE">
            <w:pPr>
              <w:spacing w:before="173" w:line="219" w:lineRule="auto"/>
              <w:ind w:left="134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三、</w:t>
            </w:r>
            <w:r>
              <w:rPr>
                <w:rFonts w:ascii="仿宋" w:hAnsi="仿宋" w:eastAsia="仿宋" w:cs="仿宋"/>
                <w:spacing w:val="22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7"/>
                <w:sz w:val="28"/>
                <w:szCs w:val="28"/>
              </w:rPr>
              <w:t>审核时间：</w:t>
            </w:r>
          </w:p>
          <w:p w14:paraId="79345A69">
            <w:pPr>
              <w:spacing w:before="234" w:line="218" w:lineRule="auto"/>
              <w:ind w:left="565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时间安排：202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33"/>
                <w:sz w:val="24"/>
                <w:szCs w:val="24"/>
                <w:lang w:val="en-US" w:eastAsia="zh-CN"/>
              </w:rPr>
              <w:t>1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33"/>
                <w:sz w:val="24"/>
                <w:szCs w:val="24"/>
                <w:lang w:val="en-US" w:eastAsia="zh-CN"/>
              </w:rPr>
              <w:t>15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日</w:t>
            </w:r>
            <w:r>
              <w:rPr>
                <w:rFonts w:ascii="仿宋" w:hAnsi="仿宋" w:eastAsia="仿宋" w:cs="仿宋"/>
                <w:spacing w:val="23"/>
                <w:sz w:val="24"/>
                <w:szCs w:val="24"/>
              </w:rPr>
              <w:t xml:space="preserve"> 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至 202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34"/>
                <w:sz w:val="24"/>
                <w:szCs w:val="24"/>
                <w:lang w:val="en-US" w:eastAsia="zh-CN"/>
              </w:rPr>
              <w:t>1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16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日</w:t>
            </w:r>
          </w:p>
          <w:p w14:paraId="0DB0621C">
            <w:pPr>
              <w:spacing w:before="184" w:line="218" w:lineRule="auto"/>
              <w:ind w:left="55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会议安排：首次会议时间：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202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33"/>
                <w:sz w:val="24"/>
                <w:szCs w:val="24"/>
                <w:lang w:val="en-US" w:eastAsia="zh-CN"/>
              </w:rPr>
              <w:t>1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33"/>
                <w:sz w:val="24"/>
                <w:szCs w:val="24"/>
                <w:lang w:val="en-US" w:eastAsia="zh-CN"/>
              </w:rPr>
              <w:t>15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日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val="en-US" w:eastAsia="zh-CN"/>
              </w:rPr>
              <w:t>9：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00时</w:t>
            </w:r>
            <w:r>
              <w:rPr>
                <w:rFonts w:hint="eastAsia" w:ascii="仿宋" w:hAnsi="仿宋" w:eastAsia="仿宋" w:cs="仿宋"/>
                <w:spacing w:val="-9"/>
                <w:sz w:val="24"/>
                <w:szCs w:val="24"/>
                <w:lang w:eastAsia="zh-CN"/>
              </w:rPr>
              <w:t>，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末次会议时间：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202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年</w:t>
            </w:r>
            <w:r>
              <w:rPr>
                <w:rFonts w:hint="eastAsia" w:ascii="仿宋" w:hAnsi="仿宋" w:eastAsia="仿宋" w:cs="仿宋"/>
                <w:spacing w:val="-34"/>
                <w:sz w:val="24"/>
                <w:szCs w:val="24"/>
                <w:lang w:val="en-US" w:eastAsia="zh-CN"/>
              </w:rPr>
              <w:t>1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月</w:t>
            </w:r>
            <w:r>
              <w:rPr>
                <w:rFonts w:hint="eastAsia" w:ascii="仿宋" w:hAnsi="仿宋" w:eastAsia="仿宋" w:cs="仿宋"/>
                <w:spacing w:val="-12"/>
                <w:sz w:val="24"/>
                <w:szCs w:val="24"/>
                <w:lang w:val="en-US" w:eastAsia="zh-CN"/>
              </w:rPr>
              <w:t>16</w:t>
            </w:r>
            <w:r>
              <w:rPr>
                <w:rFonts w:ascii="仿宋" w:hAnsi="仿宋" w:eastAsia="仿宋" w:cs="仿宋"/>
                <w:spacing w:val="-12"/>
                <w:sz w:val="24"/>
                <w:szCs w:val="24"/>
              </w:rPr>
              <w:t>日</w:t>
            </w:r>
            <w:r>
              <w:rPr>
                <w:rFonts w:ascii="仿宋" w:hAnsi="仿宋" w:eastAsia="仿宋" w:cs="仿宋"/>
                <w:spacing w:val="-9"/>
                <w:sz w:val="24"/>
                <w:szCs w:val="24"/>
              </w:rPr>
              <w:t>17:00时</w:t>
            </w:r>
          </w:p>
        </w:tc>
      </w:tr>
      <w:tr w14:paraId="26D87A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33" w:hRule="atLeast"/>
        </w:trPr>
        <w:tc>
          <w:tcPr>
            <w:tcW w:w="9803" w:type="dxa"/>
            <w:gridSpan w:val="2"/>
          </w:tcPr>
          <w:p w14:paraId="4624B2F9">
            <w:pPr>
              <w:spacing w:before="172" w:line="231" w:lineRule="auto"/>
              <w:ind w:left="159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b/>
                <w:bCs/>
                <w:spacing w:val="-7"/>
                <w:sz w:val="28"/>
                <w:szCs w:val="28"/>
              </w:rPr>
              <w:t>四、</w:t>
            </w:r>
            <w:r>
              <w:rPr>
                <w:rFonts w:ascii="仿宋" w:hAnsi="仿宋" w:eastAsia="仿宋" w:cs="仿宋"/>
                <w:spacing w:val="22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7"/>
                <w:sz w:val="28"/>
                <w:szCs w:val="28"/>
              </w:rPr>
              <w:t>审核组成员</w:t>
            </w:r>
            <w:r>
              <w:rPr>
                <w:rFonts w:ascii="Arial" w:hAnsi="Arial" w:eastAsia="Arial" w:cs="Arial"/>
                <w:b/>
                <w:bCs/>
                <w:spacing w:val="-7"/>
                <w:sz w:val="28"/>
                <w:szCs w:val="28"/>
              </w:rPr>
              <w:t xml:space="preserve">:      </w:t>
            </w:r>
            <w:r>
              <w:rPr>
                <w:rFonts w:ascii="仿宋" w:hAnsi="仿宋" w:eastAsia="仿宋" w:cs="仿宋"/>
                <w:spacing w:val="-7"/>
                <w:sz w:val="24"/>
                <w:szCs w:val="24"/>
              </w:rPr>
              <w:t>内审组长：</w:t>
            </w:r>
            <w:r>
              <w:rPr>
                <w:rFonts w:hint="eastAsia" w:ascii="仿宋" w:hAnsi="仿宋" w:eastAsia="仿宋" w:cs="仿宋"/>
                <w:spacing w:val="-7"/>
                <w:sz w:val="24"/>
                <w:szCs w:val="24"/>
              </w:rPr>
              <w:t>张智宏</w:t>
            </w:r>
          </w:p>
          <w:p w14:paraId="2B669B1D">
            <w:pPr>
              <w:spacing w:before="214" w:line="360" w:lineRule="auto"/>
              <w:ind w:left="1322" w:right="182" w:hanging="773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1"/>
                <w:sz w:val="24"/>
                <w:szCs w:val="24"/>
              </w:rPr>
              <w:t>部门：</w:t>
            </w:r>
            <w:r>
              <w:rPr>
                <w:rFonts w:hint="eastAsia" w:ascii="仿宋" w:hAnsi="仿宋" w:eastAsia="仿宋" w:cs="仿宋"/>
                <w:spacing w:val="-1"/>
                <w:sz w:val="24"/>
                <w:szCs w:val="24"/>
                <w:lang w:val="en-US" w:eastAsia="zh-CN"/>
              </w:rPr>
              <w:t>运维部、质量部、研发部、人力资源部</w:t>
            </w:r>
          </w:p>
          <w:p w14:paraId="2A5FF019">
            <w:pPr>
              <w:spacing w:line="217" w:lineRule="auto"/>
              <w:ind w:left="567"/>
              <w:rPr>
                <w:rFonts w:hint="default" w:ascii="仿宋" w:hAnsi="仿宋" w:eastAsia="仿宋" w:cs="仿宋"/>
                <w:sz w:val="24"/>
                <w:szCs w:val="24"/>
                <w:lang w:val="en-US" w:eastAsia="zh-CN"/>
              </w:rPr>
            </w:pPr>
            <w:r>
              <w:rPr>
                <w:rFonts w:ascii="仿宋" w:hAnsi="仿宋" w:eastAsia="仿宋" w:cs="仿宋"/>
                <w:spacing w:val="-4"/>
                <w:sz w:val="24"/>
                <w:szCs w:val="24"/>
              </w:rPr>
              <w:t>审核组员：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</w:rPr>
              <w:t>赵川华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A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）、郑运龙（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B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）、李欣雨（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C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）、刘鑫楠（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val="en-US" w:eastAsia="zh-CN"/>
              </w:rPr>
              <w:t>D</w:t>
            </w:r>
            <w:r>
              <w:rPr>
                <w:rFonts w:hint="eastAsia" w:ascii="仿宋" w:hAnsi="仿宋" w:eastAsia="仿宋" w:cs="仿宋"/>
                <w:spacing w:val="-4"/>
                <w:sz w:val="24"/>
                <w:szCs w:val="24"/>
                <w:lang w:eastAsia="zh-CN"/>
              </w:rPr>
              <w:t>）</w:t>
            </w:r>
          </w:p>
        </w:tc>
      </w:tr>
      <w:tr w14:paraId="54EB40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4" w:hRule="atLeast"/>
        </w:trPr>
        <w:tc>
          <w:tcPr>
            <w:tcW w:w="9803" w:type="dxa"/>
            <w:gridSpan w:val="2"/>
          </w:tcPr>
          <w:p w14:paraId="147ECF0A">
            <w:pPr>
              <w:pStyle w:val="27"/>
              <w:spacing w:before="170" w:line="219" w:lineRule="auto"/>
              <w:ind w:left="119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b/>
                <w:bCs/>
                <w:spacing w:val="-14"/>
                <w:sz w:val="21"/>
                <w:szCs w:val="21"/>
              </w:rPr>
              <w:t>五、</w:t>
            </w:r>
            <w:r>
              <w:rPr>
                <w:spacing w:val="10"/>
                <w:sz w:val="21"/>
                <w:szCs w:val="21"/>
              </w:rPr>
              <w:t xml:space="preserve">    </w:t>
            </w:r>
            <w:r>
              <w:rPr>
                <w:rFonts w:ascii="仿宋" w:hAnsi="仿宋" w:eastAsia="仿宋" w:cs="仿宋"/>
                <w:b/>
                <w:bCs/>
                <w:spacing w:val="-14"/>
                <w:sz w:val="28"/>
                <w:szCs w:val="28"/>
              </w:rPr>
              <w:t>审核中活动：</w:t>
            </w:r>
          </w:p>
          <w:p w14:paraId="58182FB9">
            <w:pPr>
              <w:spacing w:before="156" w:line="225" w:lineRule="auto"/>
              <w:ind w:left="382" w:right="2521" w:hanging="11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首、末次会议：最高管理者或其代表与审核有关的管理人员参加。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审核活动：按审核日程安排，被审核方有关人员在本岗位。</w:t>
            </w:r>
          </w:p>
        </w:tc>
      </w:tr>
      <w:tr w14:paraId="49CD28F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4" w:hRule="atLeast"/>
        </w:trPr>
        <w:tc>
          <w:tcPr>
            <w:tcW w:w="9803" w:type="dxa"/>
            <w:gridSpan w:val="2"/>
            <w:shd w:val="clear" w:color="auto" w:fill="auto"/>
          </w:tcPr>
          <w:p w14:paraId="0A744A97">
            <w:pPr>
              <w:spacing w:before="169" w:line="234" w:lineRule="auto"/>
              <w:ind w:left="128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28"/>
                <w:szCs w:val="28"/>
              </w:rPr>
              <w:t>六、</w:t>
            </w:r>
            <w:r>
              <w:rPr>
                <w:rFonts w:ascii="仿宋" w:hAnsi="仿宋" w:eastAsia="仿宋" w:cs="仿宋"/>
                <w:spacing w:val="11"/>
                <w:sz w:val="28"/>
                <w:szCs w:val="28"/>
              </w:rPr>
              <w:t xml:space="preserve">  </w:t>
            </w:r>
            <w:r>
              <w:rPr>
                <w:rFonts w:ascii="仿宋" w:hAnsi="仿宋" w:eastAsia="仿宋" w:cs="仿宋"/>
                <w:b/>
                <w:bCs/>
                <w:spacing w:val="-10"/>
                <w:sz w:val="28"/>
                <w:szCs w:val="28"/>
              </w:rPr>
              <w:t>备注</w:t>
            </w:r>
            <w:r>
              <w:rPr>
                <w:rFonts w:ascii="Arial" w:hAnsi="Arial" w:eastAsia="Arial" w:cs="Arial"/>
                <w:b/>
                <w:bCs/>
                <w:spacing w:val="-10"/>
                <w:sz w:val="28"/>
                <w:szCs w:val="28"/>
              </w:rPr>
              <w:t>:</w:t>
            </w:r>
          </w:p>
          <w:p w14:paraId="557ACF26">
            <w:pPr>
              <w:spacing w:before="132" w:line="215" w:lineRule="auto"/>
              <w:ind w:left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在内审实施中各部门要配合内审人员进行内审工作;</w:t>
            </w:r>
          </w:p>
          <w:p w14:paraId="3C68F86C">
            <w:pPr>
              <w:spacing w:before="32" w:line="215" w:lineRule="auto"/>
              <w:ind w:left="366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z w:val="24"/>
                <w:szCs w:val="24"/>
              </w:rPr>
              <w:t>在内审实施中要避免言语冲突的发生;</w:t>
            </w:r>
          </w:p>
          <w:p w14:paraId="7700F04D">
            <w:pPr>
              <w:spacing w:before="110" w:line="217" w:lineRule="auto"/>
              <w:ind w:left="393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2"/>
                <w:sz w:val="24"/>
                <w:szCs w:val="24"/>
              </w:rPr>
              <w:t>内审员对审核结果要及时记录(无论是否符合</w:t>
            </w: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)。</w:t>
            </w:r>
          </w:p>
        </w:tc>
      </w:tr>
      <w:tr w14:paraId="4083B8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54" w:hRule="atLeast"/>
        </w:trPr>
        <w:tc>
          <w:tcPr>
            <w:tcW w:w="4901" w:type="dxa"/>
            <w:shd w:val="clear" w:color="auto" w:fill="auto"/>
          </w:tcPr>
          <w:p w14:paraId="6C7CCFD5">
            <w:pPr>
              <w:spacing w:before="236" w:line="217" w:lineRule="auto"/>
              <w:ind w:left="142" w:leftChars="0"/>
              <w:rPr>
                <w:rFonts w:hint="default" w:ascii="仿宋" w:hAnsi="仿宋" w:eastAsia="仿宋" w:cs="仿宋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仿宋" w:hAnsi="仿宋" w:eastAsia="仿宋" w:cs="仿宋"/>
                <w:b/>
                <w:bCs/>
                <w:spacing w:val="-4"/>
                <w:sz w:val="24"/>
                <w:szCs w:val="24"/>
              </w:rPr>
              <w:t>编制人：</w:t>
            </w:r>
            <w:r>
              <w:rPr>
                <w:rFonts w:hint="eastAsia" w:ascii="仿宋" w:hAnsi="仿宋" w:eastAsia="仿宋" w:cs="仿宋"/>
                <w:b/>
                <w:bCs/>
                <w:spacing w:val="-4"/>
                <w:sz w:val="24"/>
                <w:szCs w:val="24"/>
                <w:lang w:val="en-US" w:eastAsia="zh-CN"/>
              </w:rPr>
              <w:t>刘鑫楠</w:t>
            </w:r>
          </w:p>
        </w:tc>
        <w:tc>
          <w:tcPr>
            <w:tcW w:w="4902" w:type="dxa"/>
            <w:shd w:val="clear" w:color="auto" w:fill="auto"/>
          </w:tcPr>
          <w:p w14:paraId="366EDD0D">
            <w:pPr>
              <w:spacing w:before="236" w:line="218" w:lineRule="auto"/>
              <w:ind w:left="140" w:leftChars="0"/>
              <w:rPr>
                <w:rFonts w:ascii="仿宋" w:hAnsi="仿宋" w:eastAsia="仿宋" w:cs="仿宋"/>
                <w:snapToGrid w:val="0"/>
                <w:color w:val="000000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仿宋" w:hAnsi="仿宋" w:eastAsia="仿宋" w:cs="仿宋"/>
                <w:b/>
                <w:bCs/>
                <w:spacing w:val="-6"/>
                <w:sz w:val="24"/>
                <w:szCs w:val="24"/>
              </w:rPr>
              <w:t>审批人：陈垒</w:t>
            </w:r>
          </w:p>
        </w:tc>
      </w:tr>
    </w:tbl>
    <w:p w14:paraId="0DC0982A">
      <w:pPr>
        <w:pStyle w:val="29"/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76E0845"/>
    <w:rsid w:val="099512B1"/>
    <w:rsid w:val="09A80FE4"/>
    <w:rsid w:val="09CD2C33"/>
    <w:rsid w:val="104D4694"/>
    <w:rsid w:val="2C195961"/>
    <w:rsid w:val="2D393B7E"/>
    <w:rsid w:val="2D595579"/>
    <w:rsid w:val="3DC2196D"/>
    <w:rsid w:val="44ED482D"/>
    <w:rsid w:val="488638C9"/>
    <w:rsid w:val="4BBD5522"/>
    <w:rsid w:val="5B2951C7"/>
    <w:rsid w:val="620C3034"/>
    <w:rsid w:val="7FA26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505</Words>
  <Characters>608</Characters>
  <Lines>0</Lines>
  <Paragraphs>0</Paragraphs>
  <TotalTime>0</TotalTime>
  <ScaleCrop>false</ScaleCrop>
  <LinksUpToDate>false</LinksUpToDate>
  <CharactersWithSpaces>635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2026-03-04T22:16:21Z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