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6E38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4436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64FC5BE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1" w:name="_Toc21421"/>
      <w:r>
        <w:rPr>
          <w:rFonts w:hint="eastAsia"/>
          <w:lang w:val="en-US" w:eastAsia="zh-CN"/>
        </w:rPr>
        <w:t>工作交接管理办法</w:t>
      </w:r>
      <w:bookmarkEnd w:id="1"/>
    </w:p>
    <w:p w14:paraId="29394AA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2" w:name="_Toc21443"/>
      <w:r>
        <w:rPr>
          <w:rFonts w:hint="eastAsia"/>
          <w:lang w:val="en-US" w:eastAsia="zh-CN"/>
        </w:rPr>
        <w:t>（HXDL-ITSS-0506）</w:t>
      </w:r>
      <w:bookmarkEnd w:id="2"/>
    </w:p>
    <w:p w14:paraId="74BF0F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8A6D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42F777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4261" w:type="dxa"/>
          </w:tcPr>
          <w:p w14:paraId="3E3D5E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6AC0A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18A5D95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07BCF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  <w:tr w14:paraId="34D2F6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4FCDE9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2D22E3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2025.07.07</w:t>
            </w:r>
          </w:p>
        </w:tc>
      </w:tr>
    </w:tbl>
    <w:p w14:paraId="14B118E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1CC1E7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3" w:name="_Toc2832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3"/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DB49EF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F9C61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F13AF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1DDE3D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7C46F2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6CAD33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2BEDDA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46A27A3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C899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63E37D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743EC4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1BA560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42338F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69F849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2E2800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615ACC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48E652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57EBE3B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8259F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5C2E108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李欣雨</w:t>
            </w:r>
          </w:p>
        </w:tc>
        <w:tc>
          <w:tcPr>
            <w:tcW w:w="1274" w:type="dxa"/>
          </w:tcPr>
          <w:p w14:paraId="19C981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957" w:type="dxa"/>
          </w:tcPr>
          <w:p w14:paraId="0334D01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60167D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017" w:type="dxa"/>
          </w:tcPr>
          <w:p w14:paraId="256BE0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271" w:type="dxa"/>
          </w:tcPr>
          <w:p w14:paraId="0E68CDB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2025.7.7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5FCC98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2891E0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FAFDB5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032DF7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27311F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0A99EB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2F090AE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4FA1974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271" w:type="dxa"/>
          </w:tcPr>
          <w:p w14:paraId="4149585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66E9C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45B6EE7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41FD042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1BD1695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20BA2B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88086B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2B307F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62819D7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1AB089F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1BE2DF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38600C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450"/>
        <w:docPartObj>
          <w:docPartGallery w:val="Table of Contents"/>
          <w:docPartUnique/>
        </w:docPartObj>
      </w:sdtPr>
      <w:sdtEnd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sdtEndPr>
      <w:sdtContent>
        <w:p w14:paraId="6B935CB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324F214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TOC \o "1-3" \h \u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_Toc14436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天津市华夏电缆有限公司</w:t>
          </w:r>
          <w:r>
            <w:tab/>
          </w:r>
          <w:r>
            <w:fldChar w:fldCharType="begin"/>
          </w:r>
          <w:r>
            <w:instrText xml:space="preserve"> PAGEREF _Toc14436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B72AC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_Toc21421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工作交接管理办法</w:t>
          </w:r>
          <w:r>
            <w:tab/>
          </w:r>
          <w:r>
            <w:fldChar w:fldCharType="begin"/>
          </w:r>
          <w:r>
            <w:instrText xml:space="preserve"> PAGEREF _Toc21421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6287025F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_Toc21443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（HXDL-ITSS-0506）</w:t>
          </w:r>
          <w:r>
            <w:tab/>
          </w:r>
          <w:r>
            <w:fldChar w:fldCharType="begin"/>
          </w:r>
          <w:r>
            <w:instrText xml:space="preserve"> PAGEREF _Toc21443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0CC086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_Toc28322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ascii="宋体" w:hAnsi="宋体" w:eastAsia="宋体" w:cs="宋体"/>
              <w:bCs/>
              <w:spacing w:val="-4"/>
              <w:szCs w:val="30"/>
            </w:rPr>
            <w:t>文件编制和变更履历</w:t>
          </w:r>
          <w:r>
            <w:tab/>
          </w:r>
          <w:r>
            <w:fldChar w:fldCharType="begin"/>
          </w:r>
          <w:r>
            <w:instrText xml:space="preserve"> PAGEREF _Toc28322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40D697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_Toc22994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_Toc22994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42781B0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_Toc32079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1.1. 1. 目的</w:t>
          </w:r>
          <w:r>
            <w:tab/>
          </w:r>
          <w:r>
            <w:fldChar w:fldCharType="begin"/>
          </w:r>
          <w:r>
            <w:instrText xml:space="preserve"> PAGEREF _Toc32079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3BD074E7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_Toc23133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_Toc23133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A069D1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_Toc18576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1.3. 基本原则</w:t>
          </w:r>
          <w:r>
            <w:tab/>
          </w:r>
          <w:r>
            <w:fldChar w:fldCharType="begin"/>
          </w:r>
          <w:r>
            <w:instrText xml:space="preserve"> PAGEREF _Toc18576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E3E2136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_Toc6672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2. 工作交接适用情形</w:t>
          </w:r>
          <w:r>
            <w:tab/>
          </w:r>
          <w:r>
            <w:fldChar w:fldCharType="begin"/>
          </w:r>
          <w:r>
            <w:instrText xml:space="preserve"> PAGEREF _Toc6672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757EA8D9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_Toc3255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 交接流程与职责</w:t>
          </w:r>
          <w:r>
            <w:tab/>
          </w:r>
          <w:r>
            <w:fldChar w:fldCharType="begin"/>
          </w:r>
          <w:r>
            <w:instrText xml:space="preserve"> PAGEREF _Toc3255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14CE063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_Toc3325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3.1. 交接启动</w:t>
          </w:r>
          <w:r>
            <w:tab/>
          </w:r>
          <w:r>
            <w:fldChar w:fldCharType="begin"/>
          </w:r>
          <w:r>
            <w:instrText xml:space="preserve"> PAGEREF _Toc3325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FF5C9FA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_Toc6768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3.2. 交接三方职责</w:t>
          </w:r>
          <w:r>
            <w:tab/>
          </w:r>
          <w:r>
            <w:fldChar w:fldCharType="begin"/>
          </w:r>
          <w:r>
            <w:instrText xml:space="preserve"> PAGEREF _Toc6768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974610C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_Toc17014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3.3. 交接步骤</w:t>
          </w:r>
          <w:r>
            <w:tab/>
          </w:r>
          <w:r>
            <w:fldChar w:fldCharType="begin"/>
          </w:r>
          <w:r>
            <w:instrText xml:space="preserve"> PAGEREF _Toc17014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403C3844">
          <w:pPr>
            <w:pStyle w:val="17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_Toc10161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3.4. 交接内容与要求</w:t>
          </w:r>
          <w:r>
            <w:tab/>
          </w:r>
          <w:r>
            <w:fldChar w:fldCharType="begin"/>
          </w:r>
          <w:r>
            <w:instrText xml:space="preserve"> PAGEREF _Toc10161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50412247">
          <w:pPr>
            <w:pStyle w:val="16"/>
            <w:tabs>
              <w:tab w:val="right" w:leader="dot" w:pos="8306"/>
            </w:tabs>
          </w:pPr>
          <w:r>
            <w:rPr>
              <w:rFonts w:hint="default"/>
              <w:lang w:val="en-US" w:eastAsia="zh-CN"/>
            </w:rPr>
            <w:fldChar w:fldCharType="begin"/>
          </w:r>
          <w:r>
            <w:rPr>
              <w:rFonts w:hint="default"/>
              <w:lang w:val="en-US" w:eastAsia="zh-CN"/>
            </w:rPr>
            <w:instrText xml:space="preserve"> HYPERLINK \l _Toc13513 </w:instrText>
          </w:r>
          <w:r>
            <w:rPr>
              <w:rFonts w:hint="default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>4. 监督与责任</w:t>
          </w:r>
          <w:r>
            <w:tab/>
          </w:r>
          <w:r>
            <w:fldChar w:fldCharType="begin"/>
          </w:r>
          <w:r>
            <w:instrText xml:space="preserve"> PAGEREF _Toc13513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/>
              <w:lang w:val="en-US" w:eastAsia="zh-CN"/>
            </w:rPr>
            <w:fldChar w:fldCharType="end"/>
          </w:r>
        </w:p>
        <w:p w14:paraId="0229BFA4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default" w:ascii="Arial" w:hAnsi="Arial" w:eastAsia="宋体" w:cs="Arial"/>
              <w:snapToGrid w:val="0"/>
              <w:color w:val="00000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default"/>
              <w:lang w:val="en-US" w:eastAsia="zh-CN"/>
            </w:rPr>
            <w:fldChar w:fldCharType="end"/>
          </w:r>
        </w:p>
      </w:sdtContent>
    </w:sdt>
    <w:p w14:paraId="138D3B5D">
      <w:pP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default" w:ascii="Arial" w:hAnsi="Arial" w:eastAsia="宋体" w:cs="Arial"/>
          <w:snapToGrid w:val="0"/>
          <w:color w:val="000000"/>
          <w:kern w:val="0"/>
          <w:sz w:val="21"/>
          <w:szCs w:val="21"/>
          <w:lang w:val="en-US" w:eastAsia="zh-CN" w:bidi="ar-SA"/>
        </w:rPr>
        <w:br w:type="page"/>
      </w:r>
    </w:p>
    <w:p w14:paraId="19AED95A">
      <w:pPr>
        <w:pStyle w:val="28"/>
        <w:bidi w:val="0"/>
        <w:rPr>
          <w:rFonts w:hint="default"/>
          <w:lang w:val="en-US" w:eastAsia="zh-CN"/>
        </w:rPr>
      </w:pPr>
      <w:bookmarkStart w:id="4" w:name="_Toc22994"/>
      <w:r>
        <w:rPr>
          <w:rFonts w:hint="default"/>
          <w:lang w:val="en-US" w:eastAsia="zh-CN"/>
        </w:rPr>
        <w:t>概述</w:t>
      </w:r>
      <w:bookmarkEnd w:id="4"/>
    </w:p>
    <w:p w14:paraId="2201C0F8">
      <w:pPr>
        <w:pStyle w:val="30"/>
        <w:bidi w:val="0"/>
        <w:rPr>
          <w:rFonts w:hint="default"/>
          <w:lang w:val="en-US" w:eastAsia="zh-CN"/>
        </w:rPr>
      </w:pPr>
      <w:bookmarkStart w:id="5" w:name="_Toc32079"/>
      <w:r>
        <w:rPr>
          <w:rFonts w:hint="default"/>
          <w:lang w:val="en-US" w:eastAsia="zh-CN"/>
        </w:rPr>
        <w:t>1. 目的</w:t>
      </w:r>
      <w:bookmarkEnd w:id="5"/>
    </w:p>
    <w:p w14:paraId="2BABFD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为规范员工岗位变动、离职或长期离岗时的工作交接程序，确保工作的连续性、完整性和稳定性，防止因人员变动造成工作延误、资料遗失或责任不清，特制定本制度。</w:t>
      </w:r>
    </w:p>
    <w:p w14:paraId="12BE2492">
      <w:pPr>
        <w:pStyle w:val="30"/>
        <w:bidi w:val="0"/>
        <w:rPr>
          <w:rFonts w:hint="default"/>
          <w:lang w:val="en-US" w:eastAsia="zh-CN"/>
        </w:rPr>
      </w:pPr>
      <w:bookmarkStart w:id="6" w:name="_Toc23133"/>
      <w:r>
        <w:rPr>
          <w:rFonts w:hint="default"/>
          <w:lang w:val="en-US" w:eastAsia="zh-CN"/>
        </w:rPr>
        <w:t>适用范围</w:t>
      </w:r>
      <w:bookmarkEnd w:id="6"/>
    </w:p>
    <w:p w14:paraId="695579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本制度适用于公司全体员工因离职、调岗、轮岗、请假</w:t>
      </w:r>
      <w:bookmarkStart w:id="15" w:name="_GoBack"/>
      <w:bookmarkEnd w:id="15"/>
      <w:r>
        <w:rPr>
          <w:rFonts w:hint="default"/>
          <w:lang w:val="en-US" w:eastAsia="zh-CN"/>
        </w:rPr>
        <w:t>或其他原因离岗时的工作交接管理。</w:t>
      </w:r>
    </w:p>
    <w:p w14:paraId="1C94BA97">
      <w:pPr>
        <w:pStyle w:val="30"/>
        <w:bidi w:val="0"/>
        <w:rPr>
          <w:rFonts w:hint="default"/>
          <w:lang w:val="en-US" w:eastAsia="zh-CN"/>
        </w:rPr>
      </w:pPr>
      <w:bookmarkStart w:id="7" w:name="_Toc18576"/>
      <w:r>
        <w:rPr>
          <w:rFonts w:hint="default"/>
          <w:lang w:val="en-US" w:eastAsia="zh-CN"/>
        </w:rPr>
        <w:t>基本原则</w:t>
      </w:r>
      <w:bookmarkEnd w:id="7"/>
    </w:p>
    <w:p w14:paraId="5A27D2E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完整性原则：交接内容应全面、系统，覆盖岗位全部职责与资料。</w:t>
      </w:r>
    </w:p>
    <w:p w14:paraId="0F77C7A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清晰性原则：交接过程应书面化、清单化，确保双方理解一致。</w:t>
      </w:r>
    </w:p>
    <w:p w14:paraId="1624CAC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及时性原则：交接应在岗位变动前启动并完成，不得延误。</w:t>
      </w:r>
    </w:p>
    <w:p w14:paraId="55044E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责任到人原则：交接双方及监交人应签字确认，对交接内容负责。</w:t>
      </w:r>
    </w:p>
    <w:p w14:paraId="2C304768">
      <w:pPr>
        <w:pStyle w:val="28"/>
        <w:bidi w:val="0"/>
        <w:rPr>
          <w:rFonts w:hint="default"/>
          <w:lang w:val="en-US" w:eastAsia="zh-CN"/>
        </w:rPr>
      </w:pPr>
      <w:bookmarkStart w:id="8" w:name="_Toc6672"/>
      <w:r>
        <w:rPr>
          <w:rFonts w:hint="default"/>
          <w:lang w:val="en-US" w:eastAsia="zh-CN"/>
        </w:rPr>
        <w:t>工作交接适用情形</w:t>
      </w:r>
      <w:bookmarkEnd w:id="8"/>
    </w:p>
    <w:p w14:paraId="4746C4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员工离职（包括辞职、辞退、退休等）</w:t>
      </w:r>
    </w:p>
    <w:p w14:paraId="7D54484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内部调岗或轮岗</w:t>
      </w:r>
    </w:p>
    <w:p w14:paraId="7535E5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长期请假（事假、病假等超过5个工作日）</w:t>
      </w:r>
    </w:p>
    <w:p w14:paraId="72BEF7A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岗位职责重大调整或新增</w:t>
      </w:r>
    </w:p>
    <w:p w14:paraId="1F7C69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其他经部门负责人认定需要交接的情形</w:t>
      </w:r>
    </w:p>
    <w:p w14:paraId="1B477B2F">
      <w:pPr>
        <w:pStyle w:val="28"/>
        <w:bidi w:val="0"/>
        <w:rPr>
          <w:rFonts w:hint="default"/>
          <w:lang w:val="en-US" w:eastAsia="zh-CN"/>
        </w:rPr>
      </w:pPr>
      <w:bookmarkStart w:id="9" w:name="_Toc3255"/>
      <w:r>
        <w:rPr>
          <w:rFonts w:hint="default"/>
          <w:lang w:val="en-US" w:eastAsia="zh-CN"/>
        </w:rPr>
        <w:t>交接流程与职责</w:t>
      </w:r>
      <w:bookmarkEnd w:id="9"/>
    </w:p>
    <w:p w14:paraId="616B12C4">
      <w:pPr>
        <w:pStyle w:val="30"/>
        <w:bidi w:val="0"/>
        <w:rPr>
          <w:rFonts w:hint="default"/>
          <w:lang w:val="en-US" w:eastAsia="zh-CN"/>
        </w:rPr>
      </w:pPr>
      <w:bookmarkStart w:id="10" w:name="_Toc3325"/>
      <w:r>
        <w:rPr>
          <w:rFonts w:hint="default"/>
          <w:lang w:val="en-US" w:eastAsia="zh-CN"/>
        </w:rPr>
        <w:t>交接启动</w:t>
      </w:r>
      <w:bookmarkEnd w:id="10"/>
    </w:p>
    <w:p w14:paraId="5761C3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员工提出离职或调岗申请后，部门负责人应在3个工作日内确定交接计划，并指定交接人、接收人及监交人。</w:t>
      </w:r>
    </w:p>
    <w:p w14:paraId="5E8C15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交接周期一般不超过5个工作日，特殊情况需报部门负责人批准延长。</w:t>
      </w:r>
    </w:p>
    <w:p w14:paraId="7A64A2E4">
      <w:pPr>
        <w:pStyle w:val="30"/>
        <w:bidi w:val="0"/>
        <w:rPr>
          <w:rFonts w:hint="default"/>
          <w:lang w:val="en-US" w:eastAsia="zh-CN"/>
        </w:rPr>
      </w:pPr>
      <w:bookmarkStart w:id="11" w:name="_Toc6768"/>
      <w:r>
        <w:rPr>
          <w:rFonts w:hint="default"/>
          <w:lang w:val="en-US" w:eastAsia="zh-CN"/>
        </w:rPr>
        <w:t>交接三方职责</w:t>
      </w:r>
      <w:bookmarkEnd w:id="11"/>
    </w:p>
    <w:p w14:paraId="5F5CBD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交接人（离岗员工）：负责整理并移交本制度第四条所列全部内容，确保真实、完整、清晰。</w:t>
      </w:r>
    </w:p>
    <w:p w14:paraId="1CEAF0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接收人（接岗员工）：负责接收、核验并理解交接内容，确认无误后签字。</w:t>
      </w:r>
    </w:p>
    <w:p w14:paraId="55AA4D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监交人（</w:t>
      </w:r>
      <w:r>
        <w:rPr>
          <w:rFonts w:hint="eastAsia"/>
          <w:lang w:val="en-US" w:eastAsia="zh-CN"/>
        </w:rPr>
        <w:t>部门经理</w:t>
      </w:r>
      <w:r>
        <w:rPr>
          <w:rFonts w:hint="default"/>
          <w:lang w:val="en-US" w:eastAsia="zh-CN"/>
        </w:rPr>
        <w:t>）：负责监督交接过程，协调资源，审核交接清单，确保交接质量。</w:t>
      </w:r>
    </w:p>
    <w:p w14:paraId="03B05047">
      <w:pPr>
        <w:pStyle w:val="30"/>
        <w:bidi w:val="0"/>
        <w:rPr>
          <w:rFonts w:hint="default"/>
          <w:lang w:val="en-US" w:eastAsia="zh-CN"/>
        </w:rPr>
      </w:pPr>
      <w:bookmarkStart w:id="12" w:name="_Toc17014"/>
      <w:r>
        <w:rPr>
          <w:rFonts w:hint="default"/>
          <w:lang w:val="en-US" w:eastAsia="zh-CN"/>
        </w:rPr>
        <w:t>交接步骤</w:t>
      </w:r>
      <w:bookmarkEnd w:id="12"/>
    </w:p>
    <w:p w14:paraId="2EE948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（1）交接人填写《工作交接清单》（见附件1），提交监交人审核。</w:t>
      </w:r>
    </w:p>
    <w:p w14:paraId="6C38EE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（2）三方共同进行实物、文件、系统权限等现场交接。</w:t>
      </w:r>
    </w:p>
    <w:p w14:paraId="63ED380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（3）接收人熟悉工作内容，交接人提供必要辅导。</w:t>
      </w:r>
    </w:p>
    <w:p w14:paraId="0CE29C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（4）三方签字确认，《工作交接清单》一式三份，分别留存交接人、接收人、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备案。</w:t>
      </w:r>
    </w:p>
    <w:p w14:paraId="0A0CD185">
      <w:pPr>
        <w:pStyle w:val="30"/>
        <w:bidi w:val="0"/>
        <w:rPr>
          <w:rFonts w:hint="default"/>
          <w:lang w:val="en-US" w:eastAsia="zh-CN"/>
        </w:rPr>
      </w:pPr>
      <w:bookmarkStart w:id="13" w:name="_Toc10161"/>
      <w:r>
        <w:rPr>
          <w:rFonts w:hint="default"/>
          <w:lang w:val="en-US" w:eastAsia="zh-CN"/>
        </w:rPr>
        <w:t>交接内容与要求</w:t>
      </w:r>
      <w:bookmarkEnd w:id="13"/>
    </w:p>
    <w:p w14:paraId="1F80F3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文件资料交接</w:t>
      </w:r>
    </w:p>
    <w:p w14:paraId="1E57AB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岗位相关制度、规范、操作手册</w:t>
      </w:r>
    </w:p>
    <w:p w14:paraId="7154D0D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未办结文件、合同、项目资料</w:t>
      </w:r>
    </w:p>
    <w:p w14:paraId="22174C0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历史档案、报告、数据记录</w:t>
      </w:r>
    </w:p>
    <w:p w14:paraId="596FE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电子文档目录及存储位置说明</w:t>
      </w:r>
    </w:p>
    <w:p w14:paraId="164012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工作事项交接</w:t>
      </w:r>
    </w:p>
    <w:p w14:paraId="3CA1D3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当前重点工作进展、待办任务清单</w:t>
      </w:r>
    </w:p>
    <w:p w14:paraId="79859F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项目状态、关键节点及责任人</w:t>
      </w:r>
    </w:p>
    <w:p w14:paraId="7E0D09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日常职责、周期性工作安排</w:t>
      </w:r>
    </w:p>
    <w:p w14:paraId="7CE48F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外部联系单位/人员清单及注意事项</w:t>
      </w:r>
    </w:p>
    <w:p w14:paraId="51284A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资产与权限交接</w:t>
      </w:r>
    </w:p>
    <w:p w14:paraId="2106A58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办公设备、工具、钥匙等实物资产</w:t>
      </w:r>
    </w:p>
    <w:p w14:paraId="69F25F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系统账号、密码、操作权限</w:t>
      </w:r>
    </w:p>
    <w:p w14:paraId="105BC13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财务借款、备用金、未报销单据</w:t>
      </w:r>
    </w:p>
    <w:p w14:paraId="6D5C811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公司卡证、印章、授权文件等</w:t>
      </w:r>
    </w:p>
    <w:p w14:paraId="48F214E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工作联络交接</w:t>
      </w:r>
    </w:p>
    <w:p w14:paraId="5050DF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内部协作部门及接口人</w:t>
      </w:r>
    </w:p>
    <w:p w14:paraId="6136151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外部客户、供应商、合作伙伴联系表</w:t>
      </w:r>
    </w:p>
    <w:p w14:paraId="7FB13A1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正在进行的沟通事项及待回复内容</w:t>
      </w:r>
    </w:p>
    <w:p w14:paraId="72853FE3">
      <w:pPr>
        <w:pStyle w:val="28"/>
        <w:bidi w:val="0"/>
        <w:rPr>
          <w:rFonts w:hint="default"/>
          <w:lang w:val="en-US" w:eastAsia="zh-CN"/>
        </w:rPr>
      </w:pPr>
      <w:bookmarkStart w:id="14" w:name="_Toc13513"/>
      <w:r>
        <w:rPr>
          <w:rFonts w:hint="default"/>
          <w:lang w:val="en-US" w:eastAsia="zh-CN"/>
        </w:rPr>
        <w:t>监督与责任</w:t>
      </w:r>
      <w:bookmarkEnd w:id="14"/>
    </w:p>
    <w:p w14:paraId="13B2733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</w:t>
      </w:r>
      <w:r>
        <w:rPr>
          <w:rFonts w:hint="eastAsia"/>
          <w:lang w:val="en-US" w:eastAsia="zh-CN"/>
        </w:rPr>
        <w:t>经理</w:t>
      </w:r>
      <w:r>
        <w:rPr>
          <w:rFonts w:hint="default"/>
          <w:lang w:val="en-US" w:eastAsia="zh-CN"/>
        </w:rPr>
        <w:t>为交接第一责任人，</w:t>
      </w: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负责制度执行监督。</w:t>
      </w:r>
    </w:p>
    <w:p w14:paraId="0B2F4BD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交接不完整或不符合要求，监交人有权要求重新交接。</w:t>
      </w:r>
    </w:p>
    <w:p w14:paraId="5844769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因交接不清导致工作延误、资料丢失或损失，追究交接人、接收人及监交人相应责任。</w:t>
      </w:r>
    </w:p>
    <w:p w14:paraId="46A291A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未完成交接的离职员工，公司有权暂缓办理离职手续及相关结算。</w:t>
      </w:r>
    </w:p>
    <w:p w14:paraId="3B35F1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E09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1245</Words>
  <Characters>1356</Characters>
  <Lines>0</Lines>
  <Paragraphs>0</Paragraphs>
  <TotalTime>0</TotalTime>
  <ScaleCrop>false</ScaleCrop>
  <LinksUpToDate>false</LinksUpToDate>
  <CharactersWithSpaces>1418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2026-03-04T16:00:47Z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0D32182671224755A6D4CE835A5A6EA6_12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