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31ABF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5DAAD8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备份管理方法</w:t>
      </w:r>
    </w:p>
    <w:p w14:paraId="0D69734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（HXDL-ITSS-0507）</w:t>
      </w:r>
    </w:p>
    <w:p w14:paraId="08AD124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6F20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F09BF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715D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3CE2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36C34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19FA99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788B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6D02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27096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2A1A03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AD8C3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58BF493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1116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6E8F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169E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FD54F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828FA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5D14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E579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5790B15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9934A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D1D31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5B771A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2FB02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1D36E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8B17B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57CE9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B8779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00DB3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4C937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22BA6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417DBD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023824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9C7A6E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0576EE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06D582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6D26FF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F023A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A3991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2DD94B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4B281F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E2FC1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735FE9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034C27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F8D75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5D11D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3D56802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08C99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36CE9B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78BF1A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356635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E0D2A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71969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06A0B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7FA9D4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2E0ACE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4EAC5C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概述</w:t>
      </w:r>
    </w:p>
    <w:p w14:paraId="3CDF27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722F67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为保障公司关键岗位工作的连续性与稳定性，降低因人员离职、调岗、长期缺勤等带来的运营风险，建立科学、系统的人员备份机制，确保关键岗位随时有合格人员可接替，特制定本办法。</w:t>
      </w:r>
    </w:p>
    <w:p w14:paraId="11AA740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14827E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本办法适用于公司所有被认定为关键岗位的人员备份管理，包括管理类、技术类及核心业务类岗位。</w:t>
      </w:r>
    </w:p>
    <w:p w14:paraId="3DC51A9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 w14:paraId="1104DB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前瞻性原则：备份工作应提前规划，避免岗位空缺时临时应对。</w:t>
      </w:r>
    </w:p>
    <w:p w14:paraId="3531C1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匹配性原则：备份人员的能力、经验应与目标岗位要求相匹配。</w:t>
      </w:r>
    </w:p>
    <w:p w14:paraId="0BA57E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动态性原则：备份关系与培养计划应根据人员与业务变化动态调整。</w:t>
      </w:r>
    </w:p>
    <w:p w14:paraId="575CE5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保密性原则：备份安排应控制在必要知悉范围内，避免对现有团队造成不必要的波动。</w:t>
      </w:r>
    </w:p>
    <w:p w14:paraId="21F421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备份岗位识别与分类</w:t>
      </w:r>
    </w:p>
    <w:p w14:paraId="361312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关键岗位定义</w:t>
      </w:r>
    </w:p>
    <w:p w14:paraId="4088C9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指对公司战略落实、业务连续、技术传承或运营安全具有重要影响，且内部替代难度较高的岗位。</w:t>
      </w:r>
    </w:p>
    <w:p w14:paraId="05F1B8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识别标准</w:t>
      </w:r>
    </w:p>
    <w:p w14:paraId="78EDD9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（1）管理影响：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及以上管理岗位。</w:t>
      </w:r>
    </w:p>
    <w:p w14:paraId="162BF8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（2）技术唯一：掌握核心技术、独有关键技能或特殊资质的岗位。</w:t>
      </w:r>
    </w:p>
    <w:p w14:paraId="59E868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（3）业务瓶颈：该岗位人员缺失将直接导致项目停滞、服务中断或客户关系重大风险。</w:t>
      </w:r>
    </w:p>
    <w:p w14:paraId="7C3D2C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（4）培养周期：岗位胜任所需培养周期超过6个月。</w:t>
      </w:r>
    </w:p>
    <w:p w14:paraId="6CB1CED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岗位分类与备份级别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610"/>
        <w:gridCol w:w="2131"/>
        <w:gridCol w:w="2131"/>
      </w:tblGrid>
      <w:tr w14:paraId="2CB99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03EB68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2610" w:type="dxa"/>
          </w:tcPr>
          <w:p w14:paraId="4170AB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</w:t>
            </w:r>
          </w:p>
        </w:tc>
        <w:tc>
          <w:tcPr>
            <w:tcW w:w="2131" w:type="dxa"/>
          </w:tcPr>
          <w:p w14:paraId="2FBB0D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建议备份人数</w:t>
            </w:r>
          </w:p>
        </w:tc>
        <w:tc>
          <w:tcPr>
            <w:tcW w:w="2131" w:type="dxa"/>
          </w:tcPr>
          <w:p w14:paraId="46F803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最低准备期</w:t>
            </w:r>
          </w:p>
        </w:tc>
      </w:tr>
      <w:tr w14:paraId="57EAE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1AF29E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</w:t>
            </w:r>
          </w:p>
        </w:tc>
        <w:tc>
          <w:tcPr>
            <w:tcW w:w="2610" w:type="dxa"/>
          </w:tcPr>
          <w:p w14:paraId="244595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经理、高级项目经理</w:t>
            </w:r>
          </w:p>
        </w:tc>
        <w:tc>
          <w:tcPr>
            <w:tcW w:w="2131" w:type="dxa"/>
          </w:tcPr>
          <w:p w14:paraId="3464D1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1-2人</w:t>
            </w:r>
          </w:p>
        </w:tc>
        <w:tc>
          <w:tcPr>
            <w:tcW w:w="2131" w:type="dxa"/>
          </w:tcPr>
          <w:p w14:paraId="714699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3个月</w:t>
            </w:r>
          </w:p>
        </w:tc>
      </w:tr>
      <w:tr w14:paraId="353B9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775CCA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</w:t>
            </w:r>
          </w:p>
        </w:tc>
        <w:tc>
          <w:tcPr>
            <w:tcW w:w="2610" w:type="dxa"/>
          </w:tcPr>
          <w:p w14:paraId="0FD776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主管、中级工程师</w:t>
            </w:r>
          </w:p>
        </w:tc>
        <w:tc>
          <w:tcPr>
            <w:tcW w:w="2131" w:type="dxa"/>
          </w:tcPr>
          <w:p w14:paraId="0CE22A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2131" w:type="dxa"/>
          </w:tcPr>
          <w:p w14:paraId="50C8F4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6个月</w:t>
            </w:r>
          </w:p>
        </w:tc>
      </w:tr>
      <w:tr w14:paraId="08295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48DEC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</w:t>
            </w:r>
          </w:p>
        </w:tc>
        <w:tc>
          <w:tcPr>
            <w:tcW w:w="2610" w:type="dxa"/>
          </w:tcPr>
          <w:p w14:paraId="70BA8D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初级工程师、专员</w:t>
            </w:r>
          </w:p>
        </w:tc>
        <w:tc>
          <w:tcPr>
            <w:tcW w:w="2131" w:type="dxa"/>
          </w:tcPr>
          <w:p w14:paraId="38DB82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依据实际情况</w:t>
            </w:r>
          </w:p>
        </w:tc>
        <w:tc>
          <w:tcPr>
            <w:tcW w:w="2131" w:type="dxa"/>
          </w:tcPr>
          <w:p w14:paraId="356C02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12个月</w:t>
            </w:r>
          </w:p>
        </w:tc>
      </w:tr>
    </w:tbl>
    <w:p w14:paraId="4DB67FD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备份人员选拔与确定</w:t>
      </w:r>
    </w:p>
    <w:p w14:paraId="158F79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选拔标准</w:t>
      </w:r>
    </w:p>
    <w:p w14:paraId="4158CF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具备目标岗位所需的基本素质与潜质。</w:t>
      </w:r>
    </w:p>
    <w:p w14:paraId="001618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在当前岗位绩效表现良好（近一年考核良好及以上）。</w:t>
      </w:r>
    </w:p>
    <w:p w14:paraId="35C398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有意愿且有能力向目标岗位发展。</w:t>
      </w:r>
    </w:p>
    <w:p w14:paraId="57B331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司龄一般不低于1年（特殊人才可放宽）。</w:t>
      </w:r>
    </w:p>
    <w:p w14:paraId="3F70E8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选拔流程</w:t>
      </w:r>
    </w:p>
    <w:p w14:paraId="33A237A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提名：每年第一季度，由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根据岗位备份计划，提名备份候选人，填写《关键岗位备份人员提名表》（附件1）。</w:t>
      </w:r>
    </w:p>
    <w:p w14:paraId="1E805FB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组织对候选人进行综合评估（可参考《岗位技能评价管理办法》中的评估方式）。</w:t>
      </w:r>
    </w:p>
    <w:p w14:paraId="5B12B65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审批：评估结果报公司高级管理层审批，最终确定备份人员名单。</w:t>
      </w:r>
    </w:p>
    <w:p w14:paraId="086C39B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与备份人员进行正式沟通，明确备份关系与发展意向。</w:t>
      </w:r>
    </w:p>
    <w:p w14:paraId="7C18D57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备份人员培养与发展</w:t>
      </w:r>
    </w:p>
    <w:p w14:paraId="60F0D939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制定个人发展计划（IDP）</w:t>
      </w:r>
    </w:p>
    <w:p w14:paraId="3A345C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针对每位备份人员，由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共同制定《备份人员个人发展计划》（附件2），内容包括：</w:t>
      </w:r>
    </w:p>
    <w:p w14:paraId="31237F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需提升的技能与知识清单。</w:t>
      </w:r>
    </w:p>
    <w:p w14:paraId="23C6B8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具体的培养方式（如培训、导师制、轮岗、项目实践等）。</w:t>
      </w:r>
    </w:p>
    <w:p w14:paraId="53E23C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阶段性目标与检视时间点。</w:t>
      </w:r>
    </w:p>
    <w:p w14:paraId="78EFD5A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主要培养方式</w:t>
      </w:r>
    </w:p>
    <w:p w14:paraId="541623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在岗辅导：由现岗人员或上级担任导师，进行工作指导与经验传授。</w:t>
      </w:r>
    </w:p>
    <w:p w14:paraId="6F97B2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跨岗轮训：安排至备份岗位进行短期实践或项目协作。</w:t>
      </w:r>
    </w:p>
    <w:p w14:paraId="44CB63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专项培训：参加与目标岗位技能相关的内外部培训课程。</w:t>
      </w:r>
    </w:p>
    <w:p w14:paraId="1C2E6B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授权历练：逐步授予其处理目标岗位部分核心工作的权限。</w:t>
      </w:r>
    </w:p>
    <w:p w14:paraId="0DB42B86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备份机制运行与管理</w:t>
      </w:r>
    </w:p>
    <w:p w14:paraId="401295F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组织职责</w:t>
      </w:r>
    </w:p>
    <w:p w14:paraId="0281A4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：是备份管理的归口部门，负责制度建立、流程推动、资源协调与效果追踪。</w:t>
      </w:r>
    </w:p>
    <w:p w14:paraId="464559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：是本部门备份工作的第一责任人，负责提名、培养与日常管理。</w:t>
      </w:r>
    </w:p>
    <w:p w14:paraId="61CC84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公司高级管理层：负责审批关键岗位备份名单与重大资源投入。</w:t>
      </w:r>
    </w:p>
    <w:p w14:paraId="6C29B77E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动态管理</w:t>
      </w:r>
    </w:p>
    <w:p w14:paraId="2EC6BF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2025年6月</w:t>
      </w:r>
      <w:bookmarkStart w:id="0" w:name="_GoBack"/>
      <w:bookmarkEnd w:id="0"/>
      <w:r>
        <w:rPr>
          <w:rFonts w:hint="default"/>
          <w:lang w:val="en-US" w:eastAsia="zh-CN"/>
        </w:rPr>
        <w:t>对备份岗位及人员进行全面审视与更新。</w:t>
      </w:r>
    </w:p>
    <w:p w14:paraId="62C096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当出现岗位职责重大调整、人员绩效变化或业务需要时，可启动临时调整程序。</w:t>
      </w:r>
    </w:p>
    <w:p w14:paraId="486709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备份人员若出现绩效下滑、离职意向或发展不匹配等情况，应及时调整出备份名单并补充新人选。</w:t>
      </w:r>
    </w:p>
    <w:p w14:paraId="1309982E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激活机制</w:t>
      </w:r>
    </w:p>
    <w:p w14:paraId="45083F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当关键岗位出现空缺时，按以下程序激活备份人员：</w:t>
      </w:r>
    </w:p>
    <w:p w14:paraId="3E9EB3B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提出激活申请。</w:t>
      </w:r>
    </w:p>
    <w:p w14:paraId="7D39F9C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审核备份人员准备度。</w:t>
      </w:r>
    </w:p>
    <w:p w14:paraId="2BAAB25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公司高级管理层审批。</w:t>
      </w:r>
    </w:p>
    <w:p w14:paraId="0C0FCAD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按《工作交接管理制度》完成工作交接后，备份人员正式接任。</w:t>
      </w:r>
    </w:p>
    <w:p w14:paraId="4BAE1236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KPI指标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5383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CAECF8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4172129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241D3944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ECC2BE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 w14:paraId="6DDD3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 w14:paraId="5D0B083B">
            <w:pPr>
              <w:pStyle w:val="27"/>
              <w:widowControl w:val="0"/>
              <w:spacing w:before="235" w:line="218" w:lineRule="auto"/>
              <w:ind w:left="13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</w:t>
            </w:r>
            <w:r>
              <w:rPr>
                <w:spacing w:val="-3"/>
                <w:sz w:val="24"/>
                <w:szCs w:val="24"/>
              </w:rPr>
              <w:t>计划完成率</w:t>
            </w:r>
          </w:p>
        </w:tc>
        <w:tc>
          <w:tcPr>
            <w:tcW w:w="2130" w:type="dxa"/>
            <w:shd w:val="clear" w:color="auto" w:fill="auto"/>
          </w:tcPr>
          <w:p w14:paraId="20C7A973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</w:p>
        </w:tc>
        <w:tc>
          <w:tcPr>
            <w:tcW w:w="2131" w:type="dxa"/>
            <w:shd w:val="clear" w:color="auto" w:fill="auto"/>
          </w:tcPr>
          <w:p w14:paraId="0CBEE8F7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2131" w:type="dxa"/>
            <w:shd w:val="clear" w:color="auto" w:fill="auto"/>
          </w:tcPr>
          <w:p w14:paraId="7322DC2E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220A13FE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80C84C"/>
    <w:multiLevelType w:val="singleLevel"/>
    <w:tmpl w:val="F280C8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6D3E8C4"/>
    <w:multiLevelType w:val="singleLevel"/>
    <w:tmpl w:val="76D3E8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15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1450</Words>
  <Characters>1530</Characters>
  <Lines>0</Lines>
  <Paragraphs>0</Paragraphs>
  <TotalTime>0</TotalTime>
  <ScaleCrop>false</ScaleCrop>
  <LinksUpToDate>false</LinksUpToDate>
  <CharactersWithSpaces>1530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2026-03-04T16:02:02Z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