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9004C">
      <w:pPr>
        <w:pStyle w:val="24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5165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586CEA4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5891"/>
      <w:r>
        <w:rPr>
          <w:rFonts w:hint="eastAsia"/>
          <w:lang w:val="en-US" w:eastAsia="zh-CN"/>
        </w:rPr>
        <w:t>天津市电力公司110kV变电站电力监控系统网络安全态势感知建设项目</w:t>
      </w:r>
      <w:bookmarkEnd w:id="1"/>
    </w:p>
    <w:p w14:paraId="018EEAC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2" w:name="_Toc11824"/>
      <w:r>
        <w:rPr>
          <w:rFonts w:hint="eastAsia"/>
          <w:lang w:val="en-US" w:eastAsia="zh-CN"/>
        </w:rPr>
        <w:t>扩容方案</w:t>
      </w:r>
      <w:bookmarkEnd w:id="2"/>
    </w:p>
    <w:p w14:paraId="341F540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3" w:name="_Toc30859"/>
      <w:r>
        <w:rPr>
          <w:rFonts w:hint="eastAsia"/>
          <w:lang w:val="en-US" w:eastAsia="zh-CN"/>
        </w:rPr>
        <w:t>（HXDL-ITSS-0612）</w:t>
      </w:r>
      <w:bookmarkEnd w:id="3"/>
    </w:p>
    <w:p w14:paraId="63C911CC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095"/>
      </w:tblGrid>
      <w:tr w14:paraId="6FB59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1984" w:type="dxa"/>
          </w:tcPr>
          <w:p w14:paraId="4BA6E37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095" w:type="dxa"/>
          </w:tcPr>
          <w:p w14:paraId="1CAE00D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 w14:paraId="7A3A5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984" w:type="dxa"/>
            <w:shd w:val="clear" w:color="auto" w:fill="auto"/>
          </w:tcPr>
          <w:p w14:paraId="6F764D1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095" w:type="dxa"/>
            <w:shd w:val="clear" w:color="auto" w:fill="auto"/>
          </w:tcPr>
          <w:p w14:paraId="732317B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 w14:paraId="05B4D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984" w:type="dxa"/>
          </w:tcPr>
          <w:p w14:paraId="6C3ED93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095" w:type="dxa"/>
          </w:tcPr>
          <w:p w14:paraId="3903579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  <w:bookmarkStart w:id="19" w:name="_GoBack"/>
            <w:bookmarkEnd w:id="19"/>
          </w:p>
        </w:tc>
      </w:tr>
    </w:tbl>
    <w:p w14:paraId="65F81131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399951D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4" w:name="_Toc23811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4"/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181745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7B9E74E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664337D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D3E530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D025A6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4656141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1DFD357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B2BCDF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24F90B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0ED7AC9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74B98A4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3AC2885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041922C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54CFC65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010D0CC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56870E4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7261272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4976C7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10D84563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0F029974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2128F3EA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957" w:type="dxa"/>
          </w:tcPr>
          <w:p w14:paraId="02DCAA5A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7993F1DA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1017" w:type="dxa"/>
          </w:tcPr>
          <w:p w14:paraId="42F69441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 w14:paraId="44122AEF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7387BFBB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3243F0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26495C0C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24554624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1D6A6A2A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C075465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613CB8DC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3DFD2693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07C0CA2F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08E80E87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206928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626AAE1C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52243594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205DCFA0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6F762F91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758D2377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3E8281C3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3AE2B7E9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6AEE7B01">
            <w:pPr>
              <w:pStyle w:val="27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7CF20D9D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C764A19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9027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323A2B01">
          <w:pPr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2B572A1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_Toc5165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_Toc5165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0FAD36C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_Toc5891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天津市电力公司110kV变电站电力监控系统网络安全态势感知建设项目</w:t>
          </w:r>
          <w:r>
            <w:tab/>
          </w:r>
          <w:r>
            <w:fldChar w:fldCharType="begin"/>
          </w:r>
          <w:r>
            <w:instrText xml:space="preserve"> PAGEREF _Toc5891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08BEB7C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_Toc11824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扩容方案</w:t>
          </w:r>
          <w:r>
            <w:tab/>
          </w:r>
          <w:r>
            <w:fldChar w:fldCharType="begin"/>
          </w:r>
          <w:r>
            <w:instrText xml:space="preserve"> PAGEREF _Toc11824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093F7C6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_Toc30859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（HXDL-ITSS-0612）</w:t>
          </w:r>
          <w:r>
            <w:tab/>
          </w:r>
          <w:r>
            <w:fldChar w:fldCharType="begin"/>
          </w:r>
          <w:r>
            <w:instrText xml:space="preserve"> PAGEREF _Toc30859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84320F9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_Toc23811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_Toc23811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3281FE7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_Toc19317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扩容背景与需求分析</w:t>
          </w:r>
          <w:r>
            <w:tab/>
          </w:r>
          <w:r>
            <w:fldChar w:fldCharType="begin"/>
          </w:r>
          <w:r>
            <w:instrText xml:space="preserve"> PAGEREF _Toc19317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C766270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_Toc14653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现状评估与扩容目标</w:t>
          </w:r>
          <w:r>
            <w:tab/>
          </w:r>
          <w:r>
            <w:fldChar w:fldCharType="begin"/>
          </w:r>
          <w:r>
            <w:instrText xml:space="preserve"> PAGEREF _Toc14653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033CE96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_Toc24187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扩容技术方案建议</w:t>
          </w:r>
          <w:r>
            <w:tab/>
          </w:r>
          <w:r>
            <w:fldChar w:fldCharType="begin"/>
          </w:r>
          <w:r>
            <w:instrText xml:space="preserve"> PAGEREF _Toc24187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1D73537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_Toc5421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深度评估与方案设计</w:t>
          </w:r>
          <w:r>
            <w:tab/>
          </w:r>
          <w:r>
            <w:fldChar w:fldCharType="begin"/>
          </w:r>
          <w:r>
            <w:instrText xml:space="preserve"> PAGEREF _Toc5421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E75241D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_Toc26438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设备采购与准备</w:t>
          </w:r>
          <w:r>
            <w:tab/>
          </w:r>
          <w:r>
            <w:fldChar w:fldCharType="begin"/>
          </w:r>
          <w:r>
            <w:instrText xml:space="preserve"> PAGEREF _Toc26438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D0ECA42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_Toc4644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安装、部署与集成实施</w:t>
          </w:r>
          <w:r>
            <w:tab/>
          </w:r>
          <w:r>
            <w:fldChar w:fldCharType="begin"/>
          </w:r>
          <w:r>
            <w:instrText xml:space="preserve"> PAGEREF _Toc4644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034A203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_Toc25344 </w:instrText>
          </w:r>
          <w: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测试、优化与交付</w:t>
          </w:r>
          <w:r>
            <w:tab/>
          </w:r>
          <w:r>
            <w:fldChar w:fldCharType="begin"/>
          </w:r>
          <w:r>
            <w:instrText xml:space="preserve"> PAGEREF _Toc25344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1ECBEEE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_Toc7479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实施计划与工期</w:t>
          </w:r>
          <w:r>
            <w:tab/>
          </w:r>
          <w:r>
            <w:fldChar w:fldCharType="begin"/>
          </w:r>
          <w:r>
            <w:instrText xml:space="preserve"> PAGEREF _Toc7479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6C68001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_Toc17567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双方责任与分工</w:t>
          </w:r>
          <w:r>
            <w:tab/>
          </w:r>
          <w:r>
            <w:fldChar w:fldCharType="begin"/>
          </w:r>
          <w:r>
            <w:instrText xml:space="preserve"> PAGEREF _Toc17567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1BB0A20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_Toc30454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</w:rPr>
            <w:t>甲方责任</w:t>
          </w:r>
          <w:r>
            <w:tab/>
          </w:r>
          <w:r>
            <w:fldChar w:fldCharType="begin"/>
          </w:r>
          <w:r>
            <w:instrText xml:space="preserve"> PAGEREF _Toc30454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E688CA2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_Toc9778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</w:rPr>
            <w:t>乙方责任</w:t>
          </w:r>
          <w:r>
            <w:tab/>
          </w:r>
          <w:r>
            <w:fldChar w:fldCharType="begin"/>
          </w:r>
          <w:r>
            <w:instrText xml:space="preserve"> PAGEREF _Toc9778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3DA30B3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_Toc17893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_Toc17893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AC1B6C7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_Toc7681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费用估算建议</w:t>
          </w:r>
          <w:r>
            <w:tab/>
          </w:r>
          <w:r>
            <w:fldChar w:fldCharType="begin"/>
          </w:r>
          <w:r>
            <w:instrText xml:space="preserve"> PAGEREF _Toc7681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80553DB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_Toc29120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rPr>
              <w:rFonts w:hint="eastAsia"/>
            </w:rPr>
            <w:t>风险与应对</w:t>
          </w:r>
          <w:r>
            <w:tab/>
          </w:r>
          <w:r>
            <w:fldChar w:fldCharType="begin"/>
          </w:r>
          <w:r>
            <w:instrText xml:space="preserve"> PAGEREF _Toc29120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45F0ECE">
          <w:pPr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78510CF6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25C76882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129D287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1AFE1BD9">
      <w:pPr>
        <w:pStyle w:val="29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5" w:name="_Toc19317"/>
      <w:r>
        <w:rPr>
          <w:rFonts w:hint="eastAsia"/>
        </w:rPr>
        <w:t>扩容背景与需求分析</w:t>
      </w:r>
      <w:bookmarkEnd w:id="5"/>
    </w:p>
    <w:p w14:paraId="0D887618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根据《技术服务合同》及项目前期实施情况，为确保“</w:t>
      </w:r>
      <w:r>
        <w:rPr>
          <w:rFonts w:hint="eastAsia"/>
          <w:lang w:eastAsia="zh-CN"/>
        </w:rPr>
        <w:t>天津市电力公司</w:t>
      </w:r>
      <w:r>
        <w:rPr>
          <w:rFonts w:hint="eastAsia"/>
        </w:rPr>
        <w:t>110kV变电站电力监控系统网络安全态势感知系统”的稳定、高效运行，满足海量安全数据采集、实时分析、长期存储及未来功能扩展的需求，经对现有部署环境的初步评估，现有服务器资源在计算性能、存储容量或高可用性方面已接近或达到瓶颈。为保障项目核心目标的达成及系统的可持续运营，特制定本服务器专项扩容技术方案。</w:t>
      </w:r>
    </w:p>
    <w:p w14:paraId="7DE9698A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本方案旨在明确服务器扩容的技术要求、配置建议、实施计划及验收标准，作为原合同技术服务范围的有效延伸和补充。</w:t>
      </w:r>
    </w:p>
    <w:p w14:paraId="4DA3FEC5">
      <w:pPr>
        <w:pStyle w:val="29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6" w:name="_Toc14653"/>
      <w:r>
        <w:rPr>
          <w:rFonts w:hint="eastAsia"/>
        </w:rPr>
        <w:t>现状评估与扩容目标</w:t>
      </w:r>
      <w:bookmarkEnd w:id="6"/>
    </w:p>
    <w:p w14:paraId="0B6FFE1D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当前态势感知系统已部署初步的服务器集群，可能包含数据采集器、分析引擎、数据库服务器、展示平台等角色。</w:t>
      </w:r>
    </w:p>
    <w:p w14:paraId="4C9D7C18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随着接入变电站节点数量的增加、监测日志颗粒度的细化、以及高级威胁分析模型的启用，现有服务器在CPU处理能力、内存容量、磁盘I/O及存储空间方面面临压力。</w:t>
      </w:r>
    </w:p>
    <w:p w14:paraId="46271221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在系统可靠性方面，可能存在单点故障风险，需通过扩容提升高可用性。</w:t>
      </w:r>
    </w:p>
    <w:p w14:paraId="57263152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扩容核心目标：</w:t>
      </w:r>
    </w:p>
    <w:p w14:paraId="545A9E60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性能提升：显著提高安全事件实时处理与分析能力，降低系统响应延迟。</w:t>
      </w:r>
    </w:p>
    <w:p w14:paraId="78278A7E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容量扩展：满足未来1-3年内安全日志与事件数据的存储需求。</w:t>
      </w:r>
    </w:p>
    <w:p w14:paraId="282210B9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可靠性增强：通过架构优化（如集群化、负载均衡、冗余部署），提升核心服务的可用性与容灾能力。</w:t>
      </w:r>
    </w:p>
    <w:p w14:paraId="47C7DF67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平滑扩展： 确保扩容过程对现有业务的影响最小化，实现平滑过渡。</w:t>
      </w:r>
    </w:p>
    <w:p w14:paraId="4DB649C1">
      <w:pPr>
        <w:pStyle w:val="29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7" w:name="_Toc24187"/>
      <w:r>
        <w:rPr>
          <w:rFonts w:hint="eastAsia"/>
        </w:rPr>
        <w:t>扩容技术方案建议</w:t>
      </w:r>
      <w:bookmarkEnd w:id="7"/>
    </w:p>
    <w:p w14:paraId="7ABD46B9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建议采用“评估-设计-分阶段实施”的策略进行服务器扩容。</w:t>
      </w:r>
    </w:p>
    <w:p w14:paraId="4AABEB70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8" w:name="_Toc5421"/>
      <w:r>
        <w:rPr>
          <w:rFonts w:hint="eastAsia"/>
        </w:rPr>
        <w:t>深度评估与方案设计</w:t>
      </w:r>
      <w:bookmarkEnd w:id="8"/>
    </w:p>
    <w:p w14:paraId="00D3E3A9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资源瓶颈诊断： 乙方对现有服务器集群进行为期X天的性能监控与分析，出具《现有服务器资源评估报告》，明确CPU、内存、磁盘、网络等维度的瓶颈点。</w:t>
      </w:r>
    </w:p>
    <w:p w14:paraId="3F59F96F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需求确认： 与甲方确认未来业务增长预测（如监测节点数、日志量、分析功能等）。</w:t>
      </w:r>
    </w:p>
    <w:p w14:paraId="39C86F7C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方案设计： 乙方提交《服务器扩容详细设计说明书》，包括：</w:t>
      </w:r>
    </w:p>
    <w:p w14:paraId="09C0F2ED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扩容架构图： 明确新增服务器角色（如增量分析节点、分布式存储节点、备库服务器等）及其与现有架构的集成方式。</w:t>
      </w:r>
    </w:p>
    <w:p w14:paraId="6432BE4F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硬件配置清单： 推荐新增服务器的具体型号、CPU、内存、硬盘（SSD/HDD、RAID级别）、网卡等配置建议。</w:t>
      </w:r>
    </w:p>
    <w:p w14:paraId="0D35EE1D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软件与许可： 列出所需的操作系统、虚拟化平台、集群软件等及相应许可建议。</w:t>
      </w:r>
    </w:p>
    <w:p w14:paraId="65764B98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高可用方案：针对关键服务（如数据库、分析引擎）提出具体的高可用或集群实施方案。</w:t>
      </w:r>
    </w:p>
    <w:p w14:paraId="1753D7E8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9" w:name="_Toc26438"/>
      <w:r>
        <w:rPr>
          <w:rFonts w:hint="eastAsia"/>
        </w:rPr>
        <w:t>设备采购与准备</w:t>
      </w:r>
      <w:bookmarkEnd w:id="9"/>
    </w:p>
    <w:p w14:paraId="2F19BE8A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由甲方或根据合同约定方负责按照双方确认的《硬件配置清单》进行采购。</w:t>
      </w:r>
    </w:p>
    <w:p w14:paraId="38F573BB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乙方提供技术标准支持，并可协助到货验收。</w:t>
      </w:r>
    </w:p>
    <w:p w14:paraId="41B25538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0" w:name="_Toc4644"/>
      <w:r>
        <w:rPr>
          <w:rFonts w:hint="eastAsia"/>
        </w:rPr>
        <w:t>安装、部署与集成实施</w:t>
      </w:r>
      <w:bookmarkEnd w:id="10"/>
    </w:p>
    <w:p w14:paraId="562CEA4C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环境准备： 在甲方协调下，完成机房机柜空间、电力、网络布线等准备工作。</w:t>
      </w:r>
    </w:p>
    <w:p w14:paraId="10B239CE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硬件上架与初始化：乙方技术人员进行新增服务器的物理上架、硬件调试、固件升级、操作系统安装及基础网络配置。</w:t>
      </w:r>
    </w:p>
    <w:p w14:paraId="715E5B57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软件部署与配置：安装必要的系统软件、中间件及安全态势感知系统相关组件。按照设计方案配置集群、负载均衡、存储卷、备份策略等。</w:t>
      </w:r>
    </w:p>
    <w:p w14:paraId="17A48143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数据迁移与系统割接（如涉及）：制定周密的数据迁移或服务切换计划，在业务低峰期执行，确保数据完整性与服务连续性。准备完备的回退方案。</w:t>
      </w:r>
    </w:p>
    <w:p w14:paraId="4DE9C290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系统联调与功能测试： 将扩容后的服务器集群与现有系统进行完整联调，验证性能提升效果、高可用切换功能及所有业务功能正常。</w:t>
      </w:r>
    </w:p>
    <w:p w14:paraId="2D1D67F6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1" w:name="_Toc25344"/>
      <w:r>
        <w:rPr>
          <w:rFonts w:hint="eastAsia"/>
        </w:rPr>
        <w:t>测试、优化与交付</w:t>
      </w:r>
      <w:bookmarkEnd w:id="11"/>
    </w:p>
    <w:p w14:paraId="0A4896DE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性能压力测试： 模拟比当前高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%的业务负载，验证扩容后系统的整体处理能力、响应时间及稳定性是否达到设计目标。</w:t>
      </w:r>
    </w:p>
    <w:p w14:paraId="32E79D49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系统优化： 根据测试结果，对系统参数、配置进行微调，以达到最佳性能。</w:t>
      </w:r>
    </w:p>
    <w:p w14:paraId="0B03DF25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文档交付： 乙方交付《服务器扩容实施报告》、《系统运维手册（更新版）》、《集群配置文档》等。</w:t>
      </w:r>
    </w:p>
    <w:p w14:paraId="71D48C87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知识转移： 对甲方运维团队进行针对扩容后新架构、新功能的专项培训。</w:t>
      </w:r>
    </w:p>
    <w:p w14:paraId="78E5C6E4">
      <w:pPr>
        <w:pStyle w:val="29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7479"/>
      <w:r>
        <w:rPr>
          <w:rFonts w:hint="eastAsia"/>
        </w:rPr>
        <w:t>实施计划与工期</w:t>
      </w:r>
      <w:bookmarkEnd w:id="12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752"/>
        <w:gridCol w:w="1308"/>
        <w:gridCol w:w="1380"/>
        <w:gridCol w:w="2953"/>
      </w:tblGrid>
      <w:tr w14:paraId="6DED1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6630FC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阶段</w:t>
            </w:r>
          </w:p>
        </w:tc>
        <w:tc>
          <w:tcPr>
            <w:tcW w:w="1752" w:type="dxa"/>
          </w:tcPr>
          <w:p w14:paraId="49667B0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主要任务</w:t>
            </w:r>
          </w:p>
        </w:tc>
        <w:tc>
          <w:tcPr>
            <w:tcW w:w="1308" w:type="dxa"/>
          </w:tcPr>
          <w:p w14:paraId="7C34D3E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预计工期</w:t>
            </w:r>
          </w:p>
        </w:tc>
        <w:tc>
          <w:tcPr>
            <w:tcW w:w="1380" w:type="dxa"/>
          </w:tcPr>
          <w:p w14:paraId="6B944CD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责任方</w:t>
            </w:r>
          </w:p>
        </w:tc>
        <w:tc>
          <w:tcPr>
            <w:tcW w:w="2953" w:type="dxa"/>
          </w:tcPr>
          <w:p w14:paraId="04ECD43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产出物</w:t>
            </w:r>
          </w:p>
        </w:tc>
      </w:tr>
      <w:tr w14:paraId="250E6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743A86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第一阶段</w:t>
            </w:r>
          </w:p>
        </w:tc>
        <w:tc>
          <w:tcPr>
            <w:tcW w:w="1752" w:type="dxa"/>
          </w:tcPr>
          <w:p w14:paraId="767691A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评估与设计</w:t>
            </w:r>
          </w:p>
        </w:tc>
        <w:tc>
          <w:tcPr>
            <w:tcW w:w="1308" w:type="dxa"/>
          </w:tcPr>
          <w:p w14:paraId="602E6C6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10个工作日</w:t>
            </w:r>
          </w:p>
        </w:tc>
        <w:tc>
          <w:tcPr>
            <w:tcW w:w="1380" w:type="dxa"/>
          </w:tcPr>
          <w:p w14:paraId="130FB0E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乙方</w:t>
            </w:r>
          </w:p>
        </w:tc>
        <w:tc>
          <w:tcPr>
            <w:tcW w:w="2953" w:type="dxa"/>
          </w:tcPr>
          <w:p w14:paraId="6A26BA5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《评估报告》、《详细设计说明书》</w:t>
            </w:r>
          </w:p>
        </w:tc>
      </w:tr>
      <w:tr w14:paraId="4336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8C719D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hint="eastAsia"/>
              </w:rPr>
              <w:t>阶段</w:t>
            </w:r>
          </w:p>
        </w:tc>
        <w:tc>
          <w:tcPr>
            <w:tcW w:w="1752" w:type="dxa"/>
          </w:tcPr>
          <w:p w14:paraId="75CD170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设备采购与到货</w:t>
            </w:r>
          </w:p>
        </w:tc>
        <w:tc>
          <w:tcPr>
            <w:tcW w:w="1308" w:type="dxa"/>
          </w:tcPr>
          <w:p w14:paraId="1A1F015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4-6周</w:t>
            </w:r>
          </w:p>
        </w:tc>
        <w:tc>
          <w:tcPr>
            <w:tcW w:w="1380" w:type="dxa"/>
          </w:tcPr>
          <w:p w14:paraId="1CF9C09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甲方/约定方</w:t>
            </w:r>
          </w:p>
        </w:tc>
        <w:tc>
          <w:tcPr>
            <w:tcW w:w="2953" w:type="dxa"/>
          </w:tcPr>
          <w:p w14:paraId="2727BBB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到货验收单</w:t>
            </w:r>
          </w:p>
        </w:tc>
      </w:tr>
      <w:tr w14:paraId="63B90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89C841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</w:rPr>
              <w:t>阶段</w:t>
            </w:r>
          </w:p>
        </w:tc>
        <w:tc>
          <w:tcPr>
            <w:tcW w:w="1752" w:type="dxa"/>
          </w:tcPr>
          <w:p w14:paraId="26C2FE7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安装部署与集成</w:t>
            </w:r>
          </w:p>
        </w:tc>
        <w:tc>
          <w:tcPr>
            <w:tcW w:w="1308" w:type="dxa"/>
          </w:tcPr>
          <w:p w14:paraId="228A527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15个工作日</w:t>
            </w:r>
          </w:p>
        </w:tc>
        <w:tc>
          <w:tcPr>
            <w:tcW w:w="1380" w:type="dxa"/>
          </w:tcPr>
          <w:p w14:paraId="5E62A1D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乙方</w:t>
            </w:r>
          </w:p>
        </w:tc>
        <w:tc>
          <w:tcPr>
            <w:tcW w:w="2953" w:type="dxa"/>
          </w:tcPr>
          <w:p w14:paraId="415B094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部署完成的系统</w:t>
            </w:r>
          </w:p>
        </w:tc>
      </w:tr>
      <w:tr w14:paraId="40AF8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FFAE6E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四</w:t>
            </w:r>
            <w:r>
              <w:rPr>
                <w:rFonts w:hint="eastAsia"/>
              </w:rPr>
              <w:t>阶段</w:t>
            </w:r>
          </w:p>
        </w:tc>
        <w:tc>
          <w:tcPr>
            <w:tcW w:w="1752" w:type="dxa"/>
          </w:tcPr>
          <w:p w14:paraId="079102D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测试优化与交付</w:t>
            </w:r>
          </w:p>
        </w:tc>
        <w:tc>
          <w:tcPr>
            <w:tcW w:w="1308" w:type="dxa"/>
          </w:tcPr>
          <w:p w14:paraId="41BD13D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10个工作日</w:t>
            </w:r>
          </w:p>
        </w:tc>
        <w:tc>
          <w:tcPr>
            <w:tcW w:w="1380" w:type="dxa"/>
          </w:tcPr>
          <w:p w14:paraId="052DC9C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乙方</w:t>
            </w:r>
          </w:p>
        </w:tc>
        <w:tc>
          <w:tcPr>
            <w:tcW w:w="2953" w:type="dxa"/>
          </w:tcPr>
          <w:p w14:paraId="2392E7F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《测试报告》、《实施报告》、更新文档</w:t>
            </w:r>
          </w:p>
        </w:tc>
      </w:tr>
    </w:tbl>
    <w:p w14:paraId="70A9690E">
      <w:pPr>
        <w:pStyle w:val="29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17567"/>
      <w:r>
        <w:rPr>
          <w:rFonts w:hint="eastAsia"/>
        </w:rPr>
        <w:t>双方责任与分工</w:t>
      </w:r>
      <w:bookmarkEnd w:id="13"/>
    </w:p>
    <w:p w14:paraId="26921B71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30454"/>
      <w:r>
        <w:rPr>
          <w:rFonts w:hint="eastAsia"/>
        </w:rPr>
        <w:t>甲方责任</w:t>
      </w:r>
      <w:bookmarkEnd w:id="14"/>
    </w:p>
    <w:p w14:paraId="309345C6">
      <w:pPr>
        <w:pStyle w:val="4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提供扩容所需的机房环境、电力及网络条件。</w:t>
      </w:r>
    </w:p>
    <w:p w14:paraId="4695E701">
      <w:pPr>
        <w:pStyle w:val="4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负责或协调新增硬件设备的采购及到货。</w:t>
      </w:r>
    </w:p>
    <w:p w14:paraId="144657F9">
      <w:pPr>
        <w:pStyle w:val="4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指定项目协调人，配合乙方进行业务影响评估、割接窗口审批。</w:t>
      </w:r>
    </w:p>
    <w:p w14:paraId="797254AF">
      <w:pPr>
        <w:pStyle w:val="4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派员参与最终测试验收与培训。</w:t>
      </w:r>
    </w:p>
    <w:p w14:paraId="1FA0D909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9778"/>
      <w:r>
        <w:rPr>
          <w:rFonts w:hint="eastAsia"/>
        </w:rPr>
        <w:t>乙方责任</w:t>
      </w:r>
      <w:bookmarkEnd w:id="15"/>
    </w:p>
    <w:p w14:paraId="261C58DF">
      <w:pPr>
        <w:pStyle w:val="4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完成全部技术评估、方案设计、安装部署、集成测试、文档编写及培训工作。</w:t>
      </w:r>
    </w:p>
    <w:p w14:paraId="11AC323E">
      <w:pPr>
        <w:pStyle w:val="4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提供详细的技术配置要求清单。</w:t>
      </w:r>
    </w:p>
    <w:p w14:paraId="5A8BE5A3">
      <w:pPr>
        <w:pStyle w:val="4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制定并严格执行安全的割接与回退方案，确保甲方业务不受重大影响。</w:t>
      </w:r>
    </w:p>
    <w:p w14:paraId="29E2AE7E">
      <w:pPr>
        <w:pStyle w:val="4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保证扩容实施符合原合同及行业相关技术标准。</w:t>
      </w:r>
    </w:p>
    <w:p w14:paraId="04AE816A">
      <w:pPr>
        <w:pStyle w:val="29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17893"/>
      <w:r>
        <w:rPr>
          <w:rFonts w:hint="eastAsia"/>
        </w:rPr>
        <w:t>验收标准</w:t>
      </w:r>
      <w:bookmarkEnd w:id="16"/>
    </w:p>
    <w:p w14:paraId="3D274691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设计评审通过：《服务器扩容详细设计说明书》经甲方书面确认。</w:t>
      </w:r>
    </w:p>
    <w:p w14:paraId="561ADAFA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实施完成确认：所有硬件安装、软件部署、配置工作按设计方案完成。</w:t>
      </w:r>
    </w:p>
    <w:p w14:paraId="115B85E2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性能达标：通过压力测试，关键性能指标（如事件处理吞吐量、查询响应时间、存储IOPS等）达到或超过《详细设计说明书》中的承诺值。</w:t>
      </w:r>
    </w:p>
    <w:p w14:paraId="612805ED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功能与高可用验证：所有原有及新增功能正常运行；高可用集群切换测试成功，切换时间满足约定要求（如RTO&lt;30分钟，RPO&lt;5分钟）。</w:t>
      </w:r>
    </w:p>
    <w:p w14:paraId="50F8DD11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文档与培训完成： 全部约定文档交付齐全，甲方运维人员完成培训并具备基本操作能力。</w:t>
      </w:r>
    </w:p>
    <w:p w14:paraId="154CC0BC">
      <w:pPr>
        <w:pStyle w:val="29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7681"/>
      <w:r>
        <w:rPr>
          <w:rFonts w:hint="eastAsia"/>
        </w:rPr>
        <w:t>费用估算建议</w:t>
      </w:r>
      <w:bookmarkEnd w:id="17"/>
    </w:p>
    <w:p w14:paraId="7236E25C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服务器扩容项目费用建议分为两部分：</w:t>
      </w:r>
    </w:p>
    <w:p w14:paraId="5292BD5C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硬件购置费：根据最终确认的配置清单，由设备采购方承担。</w:t>
      </w:r>
    </w:p>
    <w:p w14:paraId="78DE5100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技术服务费：涵盖本方案中乙方承担的评估、设计、实施、测试、培训等全部技术服务。建议双方根据预估工作量（人天）及技术复杂度另行协商定价。</w:t>
      </w:r>
    </w:p>
    <w:p w14:paraId="57E8163C">
      <w:pPr>
        <w:pStyle w:val="29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8" w:name="_Toc29120"/>
      <w:r>
        <w:rPr>
          <w:rFonts w:hint="eastAsia"/>
        </w:rPr>
        <w:t>风险与应对</w:t>
      </w:r>
      <w:bookmarkEnd w:id="18"/>
    </w:p>
    <w:p w14:paraId="55796922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业务中断风险：通过精细的割接计划、充分的预演及完备的回退方案控制。</w:t>
      </w:r>
    </w:p>
    <w:p w14:paraId="7B1228BC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兼容性风险：新老硬件、软件版本间的兼容性在方案设计阶段进行充分验证。</w:t>
      </w:r>
    </w:p>
    <w:p w14:paraId="3502148F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性能不达预期风险：通过前期严谨的评估、中期的压力测试及后期的调优来规避。</w:t>
      </w:r>
    </w:p>
    <w:p w14:paraId="478833EA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本方案为技术建议文件，待双方对扩容范围、技术路径、分工、费用及工期达成一致后，可签订补充协议或新合同予以正式确认。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A1879A8"/>
    <w:multiLevelType w:val="singleLevel"/>
    <w:tmpl w:val="AA1879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BE14ED0"/>
    <w:multiLevelType w:val="singleLevel"/>
    <w:tmpl w:val="1BE14E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80F2686"/>
    <w:rsid w:val="08FA3336"/>
    <w:rsid w:val="141F11F4"/>
    <w:rsid w:val="14EB0A0A"/>
    <w:rsid w:val="1BA07D6D"/>
    <w:rsid w:val="30D37E45"/>
    <w:rsid w:val="312B1A2F"/>
    <w:rsid w:val="3F3423F7"/>
    <w:rsid w:val="409219D9"/>
    <w:rsid w:val="49A07007"/>
    <w:rsid w:val="4AC705C3"/>
    <w:rsid w:val="4E656129"/>
    <w:rsid w:val="559E63C4"/>
    <w:rsid w:val="5D4F4DFC"/>
    <w:rsid w:val="6A513FA8"/>
    <w:rsid w:val="786170B2"/>
    <w:rsid w:val="787735AE"/>
    <w:rsid w:val="7947274B"/>
    <w:rsid w:val="7D6438CC"/>
    <w:rsid w:val="7FA5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2562</Words>
  <Characters>2718</Characters>
  <Lines>0</Lines>
  <Paragraphs>0</Paragraphs>
  <TotalTime>0</TotalTime>
  <ScaleCrop>false</ScaleCrop>
  <LinksUpToDate>false</LinksUpToDate>
  <CharactersWithSpaces>2818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2026-03-07T18:27:31Z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