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DDAD154">
      <w:pPr>
        <w:pStyle w:val="25"/>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32335"/>
      <w:r>
        <w:drawing>
          <wp:anchor distT="0" distB="0" distL="114300" distR="114300" simplePos="0" relativeHeight="251659264" behindDoc="1" locked="0" layoutInCell="1" allowOverlap="1">
            <wp:simplePos x="0" y="0"/>
            <wp:positionH relativeFrom="column">
              <wp:posOffset>-1186815</wp:posOffset>
            </wp:positionH>
            <wp:positionV relativeFrom="paragraph">
              <wp:posOffset>15875</wp:posOffset>
            </wp:positionV>
            <wp:extent cx="7609840" cy="9761855"/>
            <wp:effectExtent l="0" t="0" r="10160" b="698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7609840" cy="9761855"/>
                    </a:xfrm>
                    <a:prstGeom prst="rect">
                      <a:avLst/>
                    </a:prstGeom>
                    <a:noFill/>
                    <a:ln>
                      <a:noFill/>
                    </a:ln>
                  </pic:spPr>
                </pic:pic>
              </a:graphicData>
            </a:graphic>
          </wp:anchor>
        </w:drawing>
      </w:r>
      <w:r>
        <w:rPr>
          <w:rFonts w:hint="eastAsia"/>
          <w:lang w:val="en-US" w:eastAsia="zh-CN"/>
        </w:rPr>
        <w:t>天津市华夏电缆有限公司</w:t>
      </w:r>
      <w:bookmarkEnd w:id="0"/>
    </w:p>
    <w:p w14:paraId="570B15A0">
      <w:pPr>
        <w:pStyle w:val="26"/>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default"/>
          <w:lang w:val="en-US" w:eastAsia="zh-CN"/>
        </w:rPr>
      </w:pPr>
      <w:bookmarkStart w:id="1" w:name="_Toc1693"/>
      <w:r>
        <w:rPr>
          <w:rFonts w:hint="eastAsia"/>
          <w:lang w:val="en-US" w:eastAsia="zh-CN"/>
        </w:rPr>
        <w:t>备品备件管理制度</w:t>
      </w:r>
      <w:bookmarkEnd w:id="1"/>
    </w:p>
    <w:p w14:paraId="394A9AD3">
      <w:pPr>
        <w:pStyle w:val="26"/>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2" w:name="_Toc11812"/>
      <w:r>
        <w:rPr>
          <w:rFonts w:hint="eastAsia"/>
          <w:lang w:val="en-US" w:eastAsia="zh-CN"/>
        </w:rPr>
        <w:t>（HXDL-ITSS-0803）</w:t>
      </w:r>
      <w:bookmarkEnd w:id="2"/>
    </w:p>
    <w:p w14:paraId="2DB1B152">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41AC88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810" w:hRule="atLeast"/>
          <w:jc w:val="center"/>
        </w:trPr>
        <w:tc>
          <w:tcPr>
            <w:tcW w:w="1818" w:type="dxa"/>
          </w:tcPr>
          <w:p w14:paraId="3826E27F">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赵川华</w:t>
            </w:r>
          </w:p>
        </w:tc>
        <w:tc>
          <w:tcPr>
            <w:tcW w:w="4261" w:type="dxa"/>
          </w:tcPr>
          <w:p w14:paraId="055C6479">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6DE24D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10E2285A">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张智宏</w:t>
            </w:r>
          </w:p>
        </w:tc>
        <w:tc>
          <w:tcPr>
            <w:tcW w:w="4261" w:type="dxa"/>
            <w:shd w:val="clear" w:color="auto" w:fill="auto"/>
          </w:tcPr>
          <w:p w14:paraId="3E92DC9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09CDE7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3ADE23A8">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陈垒</w:t>
            </w:r>
          </w:p>
        </w:tc>
        <w:tc>
          <w:tcPr>
            <w:tcW w:w="4261" w:type="dxa"/>
          </w:tcPr>
          <w:p w14:paraId="013C45C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bl>
    <w:p w14:paraId="39A9049F">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687CF890">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bookmarkStart w:id="3" w:name="_Toc554"/>
      <w:r>
        <w:rPr>
          <w:rFonts w:ascii="宋体" w:hAnsi="宋体" w:eastAsia="宋体" w:cs="宋体"/>
          <w:b/>
          <w:bCs/>
          <w:spacing w:val="-4"/>
          <w:sz w:val="30"/>
          <w:szCs w:val="30"/>
        </w:rPr>
        <w:t>文件编制和变更履历</w:t>
      </w:r>
      <w:bookmarkEnd w:id="3"/>
    </w:p>
    <w:tbl>
      <w:tblPr>
        <w:tblStyle w:val="43"/>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3242916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1FD0EB92">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502E52C0">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00C210BE">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6ABF0D56">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17878550">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7B2A87B0">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3CD5D288">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1D497FD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1CB80AC1">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6DF6D3AF">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51696890">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5C13E4E1">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2BE7E31F">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53EE8160">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7F07CB29">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7A8E7B20">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20F712F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2F942594">
            <w:pPr>
              <w:pStyle w:val="28"/>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36F5E700">
            <w:pPr>
              <w:pStyle w:val="28"/>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spacing w:val="-4"/>
              </w:rPr>
              <w:t>赵川华</w:t>
            </w:r>
          </w:p>
        </w:tc>
        <w:tc>
          <w:tcPr>
            <w:tcW w:w="1274" w:type="dxa"/>
          </w:tcPr>
          <w:p w14:paraId="0C95A7E0">
            <w:pPr>
              <w:pStyle w:val="28"/>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2025.7.7</w:t>
            </w:r>
          </w:p>
        </w:tc>
        <w:tc>
          <w:tcPr>
            <w:tcW w:w="957" w:type="dxa"/>
          </w:tcPr>
          <w:p w14:paraId="3290F4F8">
            <w:pPr>
              <w:pStyle w:val="28"/>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张智宏</w:t>
            </w:r>
          </w:p>
        </w:tc>
        <w:tc>
          <w:tcPr>
            <w:tcW w:w="1377" w:type="dxa"/>
          </w:tcPr>
          <w:p w14:paraId="0CA94F28">
            <w:pPr>
              <w:pStyle w:val="28"/>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2025.7.7</w:t>
            </w:r>
          </w:p>
        </w:tc>
        <w:tc>
          <w:tcPr>
            <w:tcW w:w="1017" w:type="dxa"/>
          </w:tcPr>
          <w:p w14:paraId="0735BD4E">
            <w:pPr>
              <w:pStyle w:val="28"/>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陈垒</w:t>
            </w:r>
          </w:p>
        </w:tc>
        <w:tc>
          <w:tcPr>
            <w:tcW w:w="1271" w:type="dxa"/>
          </w:tcPr>
          <w:p w14:paraId="57818A3F">
            <w:pPr>
              <w:pStyle w:val="28"/>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2025.7.7</w:t>
            </w:r>
          </w:p>
        </w:tc>
        <w:tc>
          <w:tcPr>
            <w:tcW w:w="1383" w:type="dxa"/>
            <w:tcBorders>
              <w:right w:val="single" w:color="000000" w:sz="10" w:space="0"/>
            </w:tcBorders>
          </w:tcPr>
          <w:p w14:paraId="16FD725F">
            <w:pPr>
              <w:pStyle w:val="28"/>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2D3B8E0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25C37795">
            <w:pPr>
              <w:pStyle w:val="28"/>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5815BF0F">
            <w:pPr>
              <w:pStyle w:val="28"/>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6E534D97">
            <w:pPr>
              <w:pStyle w:val="28"/>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1C58B349">
            <w:pPr>
              <w:pStyle w:val="28"/>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2BD48D68">
            <w:pPr>
              <w:pStyle w:val="28"/>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4CA09E17">
            <w:pPr>
              <w:pStyle w:val="28"/>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567463BB">
            <w:pPr>
              <w:pStyle w:val="28"/>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49323AC7">
            <w:pPr>
              <w:pStyle w:val="28"/>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0A8B218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117576BD">
            <w:pPr>
              <w:pStyle w:val="28"/>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2B44D3EF">
            <w:pPr>
              <w:pStyle w:val="28"/>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00E1F400">
            <w:pPr>
              <w:pStyle w:val="28"/>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394FD5F2">
            <w:pPr>
              <w:pStyle w:val="28"/>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41E64AAB">
            <w:pPr>
              <w:pStyle w:val="28"/>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0DDAE16E">
            <w:pPr>
              <w:pStyle w:val="28"/>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3E812F6E">
            <w:pPr>
              <w:pStyle w:val="28"/>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0D7EB775">
            <w:pPr>
              <w:pStyle w:val="28"/>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1652F4AD">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65615"/>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32BB72D2">
          <w:pPr>
            <w:spacing w:before="0" w:beforeLines="0" w:after="0" w:afterLines="0" w:line="240" w:lineRule="auto"/>
            <w:ind w:left="0" w:leftChars="0" w:right="0" w:rightChars="0" w:firstLine="0" w:firstLineChars="0"/>
            <w:jc w:val="center"/>
          </w:pPr>
          <w:bookmarkStart w:id="4" w:name="heading_2"/>
          <w:r>
            <w:rPr>
              <w:rFonts w:ascii="宋体" w:hAnsi="宋体" w:eastAsia="宋体"/>
              <w:sz w:val="21"/>
            </w:rPr>
            <w:t>目录</w:t>
          </w:r>
        </w:p>
        <w:p w14:paraId="022A388F">
          <w:pPr>
            <w:pStyle w:val="16"/>
            <w:tabs>
              <w:tab w:val="right" w:leader="dot" w:pos="8306"/>
            </w:tabs>
          </w:pPr>
          <w:r>
            <w:fldChar w:fldCharType="begin"/>
          </w:r>
          <w:r>
            <w:instrText xml:space="preserve">TOC \o "1-3" \h \u </w:instrText>
          </w:r>
          <w:r>
            <w:fldChar w:fldCharType="separate"/>
          </w:r>
          <w:r>
            <w:fldChar w:fldCharType="begin"/>
          </w:r>
          <w:r>
            <w:instrText xml:space="preserve"> HYPERLINK \l _Toc32335 </w:instrText>
          </w:r>
          <w:r>
            <w:fldChar w:fldCharType="separate"/>
          </w:r>
          <w:r>
            <w:rPr>
              <w:rFonts w:hint="eastAsia"/>
              <w:lang w:val="en-US" w:eastAsia="zh-CN"/>
            </w:rPr>
            <w:t>天津市华夏电缆有限公司</w:t>
          </w:r>
          <w:r>
            <w:tab/>
          </w:r>
          <w:r>
            <w:fldChar w:fldCharType="begin"/>
          </w:r>
          <w:r>
            <w:instrText xml:space="preserve"> PAGEREF _Toc32335 \h </w:instrText>
          </w:r>
          <w:r>
            <w:fldChar w:fldCharType="separate"/>
          </w:r>
          <w:r>
            <w:t>1</w:t>
          </w:r>
          <w:r>
            <w:fldChar w:fldCharType="end"/>
          </w:r>
          <w:r>
            <w:fldChar w:fldCharType="end"/>
          </w:r>
        </w:p>
        <w:p w14:paraId="2CC91058">
          <w:pPr>
            <w:pStyle w:val="16"/>
            <w:tabs>
              <w:tab w:val="right" w:leader="dot" w:pos="8306"/>
            </w:tabs>
          </w:pPr>
          <w:r>
            <w:fldChar w:fldCharType="begin"/>
          </w:r>
          <w:r>
            <w:instrText xml:space="preserve"> HYPERLINK \l _Toc1693 </w:instrText>
          </w:r>
          <w:r>
            <w:fldChar w:fldCharType="separate"/>
          </w:r>
          <w:r>
            <w:rPr>
              <w:rFonts w:hint="eastAsia"/>
              <w:lang w:val="en-US" w:eastAsia="zh-CN"/>
            </w:rPr>
            <w:t>备品备件管理制度</w:t>
          </w:r>
          <w:r>
            <w:tab/>
          </w:r>
          <w:r>
            <w:fldChar w:fldCharType="begin"/>
          </w:r>
          <w:r>
            <w:instrText xml:space="preserve"> PAGEREF _Toc1693 \h </w:instrText>
          </w:r>
          <w:r>
            <w:fldChar w:fldCharType="separate"/>
          </w:r>
          <w:r>
            <w:t>1</w:t>
          </w:r>
          <w:r>
            <w:fldChar w:fldCharType="end"/>
          </w:r>
          <w:r>
            <w:fldChar w:fldCharType="end"/>
          </w:r>
        </w:p>
        <w:p w14:paraId="3F8D3CB7">
          <w:pPr>
            <w:pStyle w:val="16"/>
            <w:tabs>
              <w:tab w:val="right" w:leader="dot" w:pos="8306"/>
            </w:tabs>
          </w:pPr>
          <w:r>
            <w:fldChar w:fldCharType="begin"/>
          </w:r>
          <w:r>
            <w:instrText xml:space="preserve"> HYPERLINK \l _Toc11812 </w:instrText>
          </w:r>
          <w:r>
            <w:fldChar w:fldCharType="separate"/>
          </w:r>
          <w:r>
            <w:rPr>
              <w:rFonts w:hint="eastAsia"/>
              <w:lang w:val="en-US" w:eastAsia="zh-CN"/>
            </w:rPr>
            <w:t>（HXDL-ITSS-0803）</w:t>
          </w:r>
          <w:r>
            <w:tab/>
          </w:r>
          <w:r>
            <w:fldChar w:fldCharType="begin"/>
          </w:r>
          <w:r>
            <w:instrText xml:space="preserve"> PAGEREF _Toc11812 \h </w:instrText>
          </w:r>
          <w:r>
            <w:fldChar w:fldCharType="separate"/>
          </w:r>
          <w:r>
            <w:t>1</w:t>
          </w:r>
          <w:r>
            <w:fldChar w:fldCharType="end"/>
          </w:r>
          <w:r>
            <w:fldChar w:fldCharType="end"/>
          </w:r>
        </w:p>
        <w:p w14:paraId="032F4F5F">
          <w:pPr>
            <w:pStyle w:val="16"/>
            <w:tabs>
              <w:tab w:val="right" w:leader="dot" w:pos="8306"/>
            </w:tabs>
          </w:pPr>
          <w:r>
            <w:fldChar w:fldCharType="begin"/>
          </w:r>
          <w:r>
            <w:instrText xml:space="preserve"> HYPERLINK \l _Toc554 </w:instrText>
          </w:r>
          <w:r>
            <w:fldChar w:fldCharType="separate"/>
          </w:r>
          <w:r>
            <w:rPr>
              <w:rFonts w:ascii="宋体" w:hAnsi="宋体" w:eastAsia="宋体" w:cs="宋体"/>
              <w:bCs/>
              <w:spacing w:val="-4"/>
              <w:szCs w:val="30"/>
            </w:rPr>
            <w:t>文件编制和变更履历</w:t>
          </w:r>
          <w:r>
            <w:tab/>
          </w:r>
          <w:r>
            <w:fldChar w:fldCharType="begin"/>
          </w:r>
          <w:r>
            <w:instrText xml:space="preserve"> PAGEREF _Toc554 \h </w:instrText>
          </w:r>
          <w:r>
            <w:fldChar w:fldCharType="separate"/>
          </w:r>
          <w:r>
            <w:t>2</w:t>
          </w:r>
          <w:r>
            <w:fldChar w:fldCharType="end"/>
          </w:r>
          <w:r>
            <w:fldChar w:fldCharType="end"/>
          </w:r>
        </w:p>
        <w:p w14:paraId="20FE56E8">
          <w:pPr>
            <w:pStyle w:val="16"/>
            <w:tabs>
              <w:tab w:val="right" w:leader="dot" w:pos="8306"/>
            </w:tabs>
          </w:pPr>
          <w:r>
            <w:fldChar w:fldCharType="begin"/>
          </w:r>
          <w:r>
            <w:instrText xml:space="preserve"> HYPERLINK \l _Toc17019 </w:instrText>
          </w:r>
          <w:r>
            <w:fldChar w:fldCharType="separate"/>
          </w:r>
          <w:r>
            <w:rPr>
              <w:rFonts w:hint="default"/>
            </w:rPr>
            <w:t xml:space="preserve">1. </w:t>
          </w:r>
          <w:r>
            <w:t>目的</w:t>
          </w:r>
          <w:r>
            <w:tab/>
          </w:r>
          <w:r>
            <w:fldChar w:fldCharType="begin"/>
          </w:r>
          <w:r>
            <w:instrText xml:space="preserve"> PAGEREF _Toc17019 \h </w:instrText>
          </w:r>
          <w:r>
            <w:fldChar w:fldCharType="separate"/>
          </w:r>
          <w:r>
            <w:t>5</w:t>
          </w:r>
          <w:r>
            <w:fldChar w:fldCharType="end"/>
          </w:r>
          <w:r>
            <w:fldChar w:fldCharType="end"/>
          </w:r>
        </w:p>
        <w:p w14:paraId="0097F699">
          <w:pPr>
            <w:pStyle w:val="16"/>
            <w:tabs>
              <w:tab w:val="right" w:leader="dot" w:pos="8306"/>
            </w:tabs>
          </w:pPr>
          <w:r>
            <w:fldChar w:fldCharType="begin"/>
          </w:r>
          <w:r>
            <w:instrText xml:space="preserve"> HYPERLINK \l _Toc14282 </w:instrText>
          </w:r>
          <w:r>
            <w:fldChar w:fldCharType="separate"/>
          </w:r>
          <w:r>
            <w:rPr>
              <w:rFonts w:hint="default"/>
            </w:rPr>
            <w:t xml:space="preserve">2. </w:t>
          </w:r>
          <w:r>
            <w:t>适用范围</w:t>
          </w:r>
          <w:r>
            <w:tab/>
          </w:r>
          <w:r>
            <w:fldChar w:fldCharType="begin"/>
          </w:r>
          <w:r>
            <w:instrText xml:space="preserve"> PAGEREF _Toc14282 \h </w:instrText>
          </w:r>
          <w:r>
            <w:fldChar w:fldCharType="separate"/>
          </w:r>
          <w:r>
            <w:t>5</w:t>
          </w:r>
          <w:r>
            <w:fldChar w:fldCharType="end"/>
          </w:r>
          <w:r>
            <w:fldChar w:fldCharType="end"/>
          </w:r>
        </w:p>
        <w:p w14:paraId="187DB7FD">
          <w:pPr>
            <w:pStyle w:val="16"/>
            <w:tabs>
              <w:tab w:val="right" w:leader="dot" w:pos="8306"/>
            </w:tabs>
          </w:pPr>
          <w:r>
            <w:fldChar w:fldCharType="begin"/>
          </w:r>
          <w:r>
            <w:instrText xml:space="preserve"> HYPERLINK \l _Toc12994 </w:instrText>
          </w:r>
          <w:r>
            <w:fldChar w:fldCharType="separate"/>
          </w:r>
          <w:r>
            <w:rPr>
              <w:rFonts w:hint="default"/>
            </w:rPr>
            <w:t xml:space="preserve">3. </w:t>
          </w:r>
          <w:r>
            <w:t>职责</w:t>
          </w:r>
          <w:r>
            <w:tab/>
          </w:r>
          <w:r>
            <w:fldChar w:fldCharType="begin"/>
          </w:r>
          <w:r>
            <w:instrText xml:space="preserve"> PAGEREF _Toc12994 \h </w:instrText>
          </w:r>
          <w:r>
            <w:fldChar w:fldCharType="separate"/>
          </w:r>
          <w:r>
            <w:t>5</w:t>
          </w:r>
          <w:r>
            <w:fldChar w:fldCharType="end"/>
          </w:r>
          <w:r>
            <w:fldChar w:fldCharType="end"/>
          </w:r>
        </w:p>
        <w:p w14:paraId="29F28984">
          <w:pPr>
            <w:pStyle w:val="17"/>
            <w:tabs>
              <w:tab w:val="right" w:leader="dot" w:pos="8306"/>
            </w:tabs>
          </w:pPr>
          <w:r>
            <w:fldChar w:fldCharType="begin"/>
          </w:r>
          <w:r>
            <w:instrText xml:space="preserve"> HYPERLINK \l _Toc30748 </w:instrText>
          </w:r>
          <w:r>
            <w:fldChar w:fldCharType="separate"/>
          </w:r>
          <w:r>
            <w:rPr>
              <w:rFonts w:hint="default"/>
            </w:rPr>
            <w:t xml:space="preserve">3.1. </w:t>
          </w:r>
          <w:r>
            <w:rPr>
              <w:rFonts w:hint="eastAsia"/>
              <w:lang w:val="en-US" w:eastAsia="zh-CN"/>
            </w:rPr>
            <w:t>运维部</w:t>
          </w:r>
          <w:r>
            <w:t>经理</w:t>
          </w:r>
          <w:r>
            <w:tab/>
          </w:r>
          <w:r>
            <w:fldChar w:fldCharType="begin"/>
          </w:r>
          <w:r>
            <w:instrText xml:space="preserve"> PAGEREF _Toc30748 \h </w:instrText>
          </w:r>
          <w:r>
            <w:fldChar w:fldCharType="separate"/>
          </w:r>
          <w:r>
            <w:t>5</w:t>
          </w:r>
          <w:r>
            <w:fldChar w:fldCharType="end"/>
          </w:r>
          <w:r>
            <w:fldChar w:fldCharType="end"/>
          </w:r>
        </w:p>
        <w:p w14:paraId="549D1C88">
          <w:pPr>
            <w:pStyle w:val="17"/>
            <w:tabs>
              <w:tab w:val="right" w:leader="dot" w:pos="8306"/>
            </w:tabs>
          </w:pPr>
          <w:r>
            <w:fldChar w:fldCharType="begin"/>
          </w:r>
          <w:r>
            <w:instrText xml:space="preserve"> HYPERLINK \l _Toc28795 </w:instrText>
          </w:r>
          <w:r>
            <w:fldChar w:fldCharType="separate"/>
          </w:r>
          <w:r>
            <w:rPr>
              <w:rFonts w:hint="default"/>
              <w:lang w:val="en-US" w:eastAsia="zh-CN"/>
            </w:rPr>
            <w:t xml:space="preserve">3.2. </w:t>
          </w:r>
          <w:r>
            <w:rPr>
              <w:rFonts w:hint="eastAsia"/>
              <w:lang w:val="en-US" w:eastAsia="zh-CN"/>
            </w:rPr>
            <w:t>备件库</w:t>
          </w:r>
          <w:r>
            <w:tab/>
          </w:r>
          <w:r>
            <w:fldChar w:fldCharType="begin"/>
          </w:r>
          <w:r>
            <w:instrText xml:space="preserve"> PAGEREF _Toc28795 \h </w:instrText>
          </w:r>
          <w:r>
            <w:fldChar w:fldCharType="separate"/>
          </w:r>
          <w:r>
            <w:t>5</w:t>
          </w:r>
          <w:r>
            <w:fldChar w:fldCharType="end"/>
          </w:r>
          <w:r>
            <w:fldChar w:fldCharType="end"/>
          </w:r>
        </w:p>
        <w:p w14:paraId="491E8D85">
          <w:pPr>
            <w:pStyle w:val="17"/>
            <w:tabs>
              <w:tab w:val="right" w:leader="dot" w:pos="8306"/>
            </w:tabs>
          </w:pPr>
          <w:r>
            <w:fldChar w:fldCharType="begin"/>
          </w:r>
          <w:r>
            <w:instrText xml:space="preserve"> HYPERLINK \l _Toc11401 </w:instrText>
          </w:r>
          <w:r>
            <w:fldChar w:fldCharType="separate"/>
          </w:r>
          <w:r>
            <w:rPr>
              <w:rFonts w:hint="default"/>
            </w:rPr>
            <w:t xml:space="preserve">3.3. </w:t>
          </w:r>
          <w:r>
            <w:rPr>
              <w:rFonts w:hint="eastAsia"/>
              <w:lang w:val="en-US" w:eastAsia="zh-CN"/>
            </w:rPr>
            <w:t>备件库专员</w:t>
          </w:r>
          <w:r>
            <w:tab/>
          </w:r>
          <w:r>
            <w:fldChar w:fldCharType="begin"/>
          </w:r>
          <w:r>
            <w:instrText xml:space="preserve"> PAGEREF _Toc11401 \h </w:instrText>
          </w:r>
          <w:r>
            <w:fldChar w:fldCharType="separate"/>
          </w:r>
          <w:r>
            <w:t>5</w:t>
          </w:r>
          <w:r>
            <w:fldChar w:fldCharType="end"/>
          </w:r>
          <w:r>
            <w:fldChar w:fldCharType="end"/>
          </w:r>
        </w:p>
        <w:p w14:paraId="5141A5AD">
          <w:pPr>
            <w:pStyle w:val="17"/>
            <w:tabs>
              <w:tab w:val="right" w:leader="dot" w:pos="8306"/>
            </w:tabs>
          </w:pPr>
          <w:r>
            <w:fldChar w:fldCharType="begin"/>
          </w:r>
          <w:r>
            <w:instrText xml:space="preserve"> HYPERLINK \l _Toc19859 </w:instrText>
          </w:r>
          <w:r>
            <w:fldChar w:fldCharType="separate"/>
          </w:r>
          <w:r>
            <w:rPr>
              <w:rFonts w:hint="default"/>
            </w:rPr>
            <w:t xml:space="preserve">3.4. </w:t>
          </w:r>
          <w:r>
            <w:t>备品备件使用部门</w:t>
          </w:r>
          <w:r>
            <w:tab/>
          </w:r>
          <w:r>
            <w:fldChar w:fldCharType="begin"/>
          </w:r>
          <w:r>
            <w:instrText xml:space="preserve"> PAGEREF _Toc19859 \h </w:instrText>
          </w:r>
          <w:r>
            <w:fldChar w:fldCharType="separate"/>
          </w:r>
          <w:r>
            <w:t>5</w:t>
          </w:r>
          <w:r>
            <w:fldChar w:fldCharType="end"/>
          </w:r>
          <w:r>
            <w:fldChar w:fldCharType="end"/>
          </w:r>
        </w:p>
        <w:p w14:paraId="36A8D098">
          <w:pPr>
            <w:pStyle w:val="16"/>
            <w:tabs>
              <w:tab w:val="right" w:leader="dot" w:pos="8306"/>
            </w:tabs>
          </w:pPr>
          <w:r>
            <w:fldChar w:fldCharType="begin"/>
          </w:r>
          <w:r>
            <w:instrText xml:space="preserve"> HYPERLINK \l _Toc23753 </w:instrText>
          </w:r>
          <w:r>
            <w:fldChar w:fldCharType="separate"/>
          </w:r>
          <w:r>
            <w:rPr>
              <w:rFonts w:hint="default"/>
            </w:rPr>
            <w:t xml:space="preserve">4. </w:t>
          </w:r>
          <w:r>
            <w:t>备品备件的分类和定义</w:t>
          </w:r>
          <w:r>
            <w:tab/>
          </w:r>
          <w:r>
            <w:fldChar w:fldCharType="begin"/>
          </w:r>
          <w:r>
            <w:instrText xml:space="preserve"> PAGEREF _Toc23753 \h </w:instrText>
          </w:r>
          <w:r>
            <w:fldChar w:fldCharType="separate"/>
          </w:r>
          <w:r>
            <w:t>5</w:t>
          </w:r>
          <w:r>
            <w:fldChar w:fldCharType="end"/>
          </w:r>
          <w:r>
            <w:fldChar w:fldCharType="end"/>
          </w:r>
        </w:p>
        <w:p w14:paraId="3AC1A613">
          <w:pPr>
            <w:pStyle w:val="16"/>
            <w:tabs>
              <w:tab w:val="right" w:leader="dot" w:pos="8306"/>
            </w:tabs>
          </w:pPr>
          <w:r>
            <w:fldChar w:fldCharType="begin"/>
          </w:r>
          <w:r>
            <w:instrText xml:space="preserve"> HYPERLINK \l _Toc16983 </w:instrText>
          </w:r>
          <w:r>
            <w:fldChar w:fldCharType="separate"/>
          </w:r>
          <w:r>
            <w:rPr>
              <w:rFonts w:hint="default"/>
            </w:rPr>
            <w:t xml:space="preserve">5. </w:t>
          </w:r>
          <w:r>
            <w:t>备品备件库的响应级别管理</w:t>
          </w:r>
          <w:r>
            <w:tab/>
          </w:r>
          <w:r>
            <w:fldChar w:fldCharType="begin"/>
          </w:r>
          <w:r>
            <w:instrText xml:space="preserve"> PAGEREF _Toc16983 \h </w:instrText>
          </w:r>
          <w:r>
            <w:fldChar w:fldCharType="separate"/>
          </w:r>
          <w:r>
            <w:t>6</w:t>
          </w:r>
          <w:r>
            <w:fldChar w:fldCharType="end"/>
          </w:r>
          <w:r>
            <w:fldChar w:fldCharType="end"/>
          </w:r>
        </w:p>
        <w:p w14:paraId="0E2A1901">
          <w:pPr>
            <w:pStyle w:val="17"/>
            <w:tabs>
              <w:tab w:val="right" w:leader="dot" w:pos="8306"/>
            </w:tabs>
          </w:pPr>
          <w:r>
            <w:fldChar w:fldCharType="begin"/>
          </w:r>
          <w:r>
            <w:instrText xml:space="preserve"> HYPERLINK \l _Toc22920 </w:instrText>
          </w:r>
          <w:r>
            <w:fldChar w:fldCharType="separate"/>
          </w:r>
          <w:r>
            <w:rPr>
              <w:rFonts w:hint="default"/>
            </w:rPr>
            <w:t xml:space="preserve">5.1. </w:t>
          </w:r>
          <w:r>
            <w:t>故障级别判定原则</w:t>
          </w:r>
          <w:r>
            <w:tab/>
          </w:r>
          <w:r>
            <w:fldChar w:fldCharType="begin"/>
          </w:r>
          <w:r>
            <w:instrText xml:space="preserve"> PAGEREF _Toc22920 \h </w:instrText>
          </w:r>
          <w:r>
            <w:fldChar w:fldCharType="separate"/>
          </w:r>
          <w:r>
            <w:t>6</w:t>
          </w:r>
          <w:r>
            <w:fldChar w:fldCharType="end"/>
          </w:r>
          <w:r>
            <w:fldChar w:fldCharType="end"/>
          </w:r>
        </w:p>
        <w:p w14:paraId="1E4A406A">
          <w:pPr>
            <w:pStyle w:val="17"/>
            <w:tabs>
              <w:tab w:val="right" w:leader="dot" w:pos="8306"/>
            </w:tabs>
          </w:pPr>
          <w:r>
            <w:fldChar w:fldCharType="begin"/>
          </w:r>
          <w:r>
            <w:instrText xml:space="preserve"> HYPERLINK \l _Toc30740 </w:instrText>
          </w:r>
          <w:r>
            <w:fldChar w:fldCharType="separate"/>
          </w:r>
          <w:r>
            <w:rPr>
              <w:rFonts w:hint="default"/>
            </w:rPr>
            <w:t xml:space="preserve">5.2. </w:t>
          </w:r>
          <w:r>
            <w:t>响应级别定义</w:t>
          </w:r>
          <w:r>
            <w:tab/>
          </w:r>
          <w:r>
            <w:fldChar w:fldCharType="begin"/>
          </w:r>
          <w:r>
            <w:instrText xml:space="preserve"> PAGEREF _Toc30740 \h </w:instrText>
          </w:r>
          <w:r>
            <w:fldChar w:fldCharType="separate"/>
          </w:r>
          <w:r>
            <w:t>6</w:t>
          </w:r>
          <w:r>
            <w:fldChar w:fldCharType="end"/>
          </w:r>
          <w:r>
            <w:fldChar w:fldCharType="end"/>
          </w:r>
        </w:p>
        <w:p w14:paraId="72C4737C">
          <w:pPr>
            <w:pStyle w:val="16"/>
            <w:tabs>
              <w:tab w:val="right" w:leader="dot" w:pos="8306"/>
            </w:tabs>
          </w:pPr>
          <w:r>
            <w:fldChar w:fldCharType="begin"/>
          </w:r>
          <w:r>
            <w:instrText xml:space="preserve"> HYPERLINK \l _Toc32007 </w:instrText>
          </w:r>
          <w:r>
            <w:fldChar w:fldCharType="separate"/>
          </w:r>
          <w:r>
            <w:rPr>
              <w:rFonts w:hint="default"/>
            </w:rPr>
            <w:t xml:space="preserve">6. </w:t>
          </w:r>
          <w:r>
            <w:t>备品备件规则</w:t>
          </w:r>
          <w:r>
            <w:tab/>
          </w:r>
          <w:r>
            <w:fldChar w:fldCharType="begin"/>
          </w:r>
          <w:r>
            <w:instrText xml:space="preserve"> PAGEREF _Toc32007 \h </w:instrText>
          </w:r>
          <w:r>
            <w:fldChar w:fldCharType="separate"/>
          </w:r>
          <w:r>
            <w:t>6</w:t>
          </w:r>
          <w:r>
            <w:fldChar w:fldCharType="end"/>
          </w:r>
          <w:r>
            <w:fldChar w:fldCharType="end"/>
          </w:r>
        </w:p>
        <w:p w14:paraId="60DDEBC3">
          <w:pPr>
            <w:pStyle w:val="16"/>
            <w:tabs>
              <w:tab w:val="right" w:leader="dot" w:pos="8306"/>
            </w:tabs>
          </w:pPr>
          <w:r>
            <w:fldChar w:fldCharType="begin"/>
          </w:r>
          <w:r>
            <w:instrText xml:space="preserve"> HYPERLINK \l _Toc26016 </w:instrText>
          </w:r>
          <w:r>
            <w:fldChar w:fldCharType="separate"/>
          </w:r>
          <w:r>
            <w:rPr>
              <w:rFonts w:hint="default"/>
            </w:rPr>
            <w:t xml:space="preserve">7. </w:t>
          </w:r>
          <w:r>
            <w:t>备品备件备货出入库流程</w:t>
          </w:r>
          <w:r>
            <w:tab/>
          </w:r>
          <w:r>
            <w:fldChar w:fldCharType="begin"/>
          </w:r>
          <w:r>
            <w:instrText xml:space="preserve"> PAGEREF _Toc26016 \h </w:instrText>
          </w:r>
          <w:r>
            <w:fldChar w:fldCharType="separate"/>
          </w:r>
          <w:r>
            <w:t>7</w:t>
          </w:r>
          <w:r>
            <w:fldChar w:fldCharType="end"/>
          </w:r>
          <w:r>
            <w:fldChar w:fldCharType="end"/>
          </w:r>
        </w:p>
        <w:p w14:paraId="64A9D00A">
          <w:pPr>
            <w:pStyle w:val="17"/>
            <w:tabs>
              <w:tab w:val="right" w:leader="dot" w:pos="8306"/>
            </w:tabs>
          </w:pPr>
          <w:r>
            <w:fldChar w:fldCharType="begin"/>
          </w:r>
          <w:r>
            <w:instrText xml:space="preserve"> HYPERLINK \l _Toc14830 </w:instrText>
          </w:r>
          <w:r>
            <w:fldChar w:fldCharType="separate"/>
          </w:r>
          <w:r>
            <w:rPr>
              <w:rFonts w:hint="default"/>
            </w:rPr>
            <w:t xml:space="preserve">7.1. </w:t>
          </w:r>
          <w:r>
            <w:t>入库流程</w:t>
          </w:r>
          <w:r>
            <w:tab/>
          </w:r>
          <w:r>
            <w:fldChar w:fldCharType="begin"/>
          </w:r>
          <w:r>
            <w:instrText xml:space="preserve"> PAGEREF _Toc14830 \h </w:instrText>
          </w:r>
          <w:r>
            <w:fldChar w:fldCharType="separate"/>
          </w:r>
          <w:r>
            <w:t>7</w:t>
          </w:r>
          <w:r>
            <w:fldChar w:fldCharType="end"/>
          </w:r>
          <w:r>
            <w:fldChar w:fldCharType="end"/>
          </w:r>
        </w:p>
        <w:p w14:paraId="638F2815">
          <w:pPr>
            <w:pStyle w:val="17"/>
            <w:tabs>
              <w:tab w:val="right" w:leader="dot" w:pos="8306"/>
            </w:tabs>
          </w:pPr>
          <w:r>
            <w:fldChar w:fldCharType="begin"/>
          </w:r>
          <w:r>
            <w:instrText xml:space="preserve"> HYPERLINK \l _Toc30057 </w:instrText>
          </w:r>
          <w:r>
            <w:fldChar w:fldCharType="separate"/>
          </w:r>
          <w:r>
            <w:rPr>
              <w:rFonts w:hint="default"/>
            </w:rPr>
            <w:t xml:space="preserve">7.2. </w:t>
          </w:r>
          <w:r>
            <w:t>出库流程</w:t>
          </w:r>
          <w:r>
            <w:tab/>
          </w:r>
          <w:r>
            <w:fldChar w:fldCharType="begin"/>
          </w:r>
          <w:r>
            <w:instrText xml:space="preserve"> PAGEREF _Toc30057 \h </w:instrText>
          </w:r>
          <w:r>
            <w:fldChar w:fldCharType="separate"/>
          </w:r>
          <w:r>
            <w:t>7</w:t>
          </w:r>
          <w:r>
            <w:fldChar w:fldCharType="end"/>
          </w:r>
          <w:r>
            <w:fldChar w:fldCharType="end"/>
          </w:r>
        </w:p>
        <w:p w14:paraId="4FD59670">
          <w:pPr>
            <w:pStyle w:val="17"/>
            <w:tabs>
              <w:tab w:val="right" w:leader="dot" w:pos="8306"/>
            </w:tabs>
          </w:pPr>
          <w:r>
            <w:fldChar w:fldCharType="begin"/>
          </w:r>
          <w:r>
            <w:instrText xml:space="preserve"> HYPERLINK \l _Toc12727 </w:instrText>
          </w:r>
          <w:r>
            <w:fldChar w:fldCharType="separate"/>
          </w:r>
          <w:r>
            <w:rPr>
              <w:rFonts w:hint="default"/>
            </w:rPr>
            <w:t xml:space="preserve">7.3. </w:t>
          </w:r>
          <w:r>
            <w:t>出入库管理及注意事项</w:t>
          </w:r>
          <w:r>
            <w:tab/>
          </w:r>
          <w:r>
            <w:fldChar w:fldCharType="begin"/>
          </w:r>
          <w:r>
            <w:instrText xml:space="preserve"> PAGEREF _Toc12727 \h </w:instrText>
          </w:r>
          <w:r>
            <w:fldChar w:fldCharType="separate"/>
          </w:r>
          <w:r>
            <w:t>7</w:t>
          </w:r>
          <w:r>
            <w:fldChar w:fldCharType="end"/>
          </w:r>
          <w:r>
            <w:fldChar w:fldCharType="end"/>
          </w:r>
        </w:p>
        <w:p w14:paraId="0C021E27">
          <w:pPr>
            <w:pStyle w:val="13"/>
            <w:tabs>
              <w:tab w:val="right" w:leader="dot" w:pos="8306"/>
            </w:tabs>
          </w:pPr>
          <w:r>
            <w:fldChar w:fldCharType="begin"/>
          </w:r>
          <w:r>
            <w:instrText xml:space="preserve"> HYPERLINK \l _Toc10427 </w:instrText>
          </w:r>
          <w:r>
            <w:fldChar w:fldCharType="separate"/>
          </w:r>
          <w:r>
            <w:rPr>
              <w:rFonts w:hint="default"/>
            </w:rPr>
            <w:t xml:space="preserve">7.3.1. </w:t>
          </w:r>
          <w:r>
            <w:t>备品备件的入库检验</w:t>
          </w:r>
          <w:r>
            <w:tab/>
          </w:r>
          <w:r>
            <w:fldChar w:fldCharType="begin"/>
          </w:r>
          <w:r>
            <w:instrText xml:space="preserve"> PAGEREF _Toc10427 \h </w:instrText>
          </w:r>
          <w:r>
            <w:fldChar w:fldCharType="separate"/>
          </w:r>
          <w:r>
            <w:t>7</w:t>
          </w:r>
          <w:r>
            <w:fldChar w:fldCharType="end"/>
          </w:r>
          <w:r>
            <w:fldChar w:fldCharType="end"/>
          </w:r>
        </w:p>
        <w:p w14:paraId="60D0CDE4">
          <w:pPr>
            <w:pStyle w:val="13"/>
            <w:tabs>
              <w:tab w:val="right" w:leader="dot" w:pos="8306"/>
            </w:tabs>
          </w:pPr>
          <w:r>
            <w:fldChar w:fldCharType="begin"/>
          </w:r>
          <w:r>
            <w:instrText xml:space="preserve"> HYPERLINK \l _Toc5972 </w:instrText>
          </w:r>
          <w:r>
            <w:fldChar w:fldCharType="separate"/>
          </w:r>
          <w:r>
            <w:rPr>
              <w:rFonts w:hint="default"/>
            </w:rPr>
            <w:t xml:space="preserve">7.3.2. </w:t>
          </w:r>
          <w:r>
            <w:t>备品备件的出库</w:t>
          </w:r>
          <w:r>
            <w:tab/>
          </w:r>
          <w:r>
            <w:fldChar w:fldCharType="begin"/>
          </w:r>
          <w:r>
            <w:instrText xml:space="preserve"> PAGEREF _Toc5972 \h </w:instrText>
          </w:r>
          <w:r>
            <w:fldChar w:fldCharType="separate"/>
          </w:r>
          <w:r>
            <w:t>7</w:t>
          </w:r>
          <w:r>
            <w:fldChar w:fldCharType="end"/>
          </w:r>
          <w:r>
            <w:fldChar w:fldCharType="end"/>
          </w:r>
        </w:p>
        <w:p w14:paraId="517E3EB0">
          <w:pPr>
            <w:pStyle w:val="13"/>
            <w:tabs>
              <w:tab w:val="right" w:leader="dot" w:pos="8306"/>
            </w:tabs>
          </w:pPr>
          <w:r>
            <w:fldChar w:fldCharType="begin"/>
          </w:r>
          <w:r>
            <w:instrText xml:space="preserve"> HYPERLINK \l _Toc2641 </w:instrText>
          </w:r>
          <w:r>
            <w:fldChar w:fldCharType="separate"/>
          </w:r>
          <w:r>
            <w:rPr>
              <w:rFonts w:hint="default"/>
            </w:rPr>
            <w:t xml:space="preserve">7.3.3. </w:t>
          </w:r>
          <w:r>
            <w:t>备品备件的保管、定期检测</w:t>
          </w:r>
          <w:r>
            <w:tab/>
          </w:r>
          <w:r>
            <w:fldChar w:fldCharType="begin"/>
          </w:r>
          <w:r>
            <w:instrText xml:space="preserve"> PAGEREF _Toc2641 \h </w:instrText>
          </w:r>
          <w:r>
            <w:fldChar w:fldCharType="separate"/>
          </w:r>
          <w:r>
            <w:t>7</w:t>
          </w:r>
          <w:r>
            <w:fldChar w:fldCharType="end"/>
          </w:r>
          <w:r>
            <w:fldChar w:fldCharType="end"/>
          </w:r>
        </w:p>
        <w:p w14:paraId="08D855EE">
          <w:pPr>
            <w:pStyle w:val="13"/>
            <w:tabs>
              <w:tab w:val="right" w:leader="dot" w:pos="8306"/>
            </w:tabs>
          </w:pPr>
          <w:r>
            <w:fldChar w:fldCharType="begin"/>
          </w:r>
          <w:r>
            <w:instrText xml:space="preserve"> HYPERLINK \l _Toc2032 </w:instrText>
          </w:r>
          <w:r>
            <w:fldChar w:fldCharType="separate"/>
          </w:r>
          <w:r>
            <w:rPr>
              <w:rFonts w:hint="default"/>
            </w:rPr>
            <w:t xml:space="preserve">7.3.4. </w:t>
          </w:r>
          <w:r>
            <w:t>备品备件的返修</w:t>
          </w:r>
          <w:r>
            <w:tab/>
          </w:r>
          <w:r>
            <w:fldChar w:fldCharType="begin"/>
          </w:r>
          <w:r>
            <w:instrText xml:space="preserve"> PAGEREF _Toc2032 \h </w:instrText>
          </w:r>
          <w:r>
            <w:fldChar w:fldCharType="separate"/>
          </w:r>
          <w:r>
            <w:t>8</w:t>
          </w:r>
          <w:r>
            <w:fldChar w:fldCharType="end"/>
          </w:r>
          <w:r>
            <w:fldChar w:fldCharType="end"/>
          </w:r>
        </w:p>
        <w:p w14:paraId="275D3BDE">
          <w:pPr>
            <w:pStyle w:val="13"/>
            <w:tabs>
              <w:tab w:val="right" w:leader="dot" w:pos="8306"/>
            </w:tabs>
          </w:pPr>
          <w:r>
            <w:fldChar w:fldCharType="begin"/>
          </w:r>
          <w:r>
            <w:instrText xml:space="preserve"> HYPERLINK \l _Toc4732 </w:instrText>
          </w:r>
          <w:r>
            <w:fldChar w:fldCharType="separate"/>
          </w:r>
          <w:r>
            <w:rPr>
              <w:rFonts w:hint="default"/>
            </w:rPr>
            <w:t xml:space="preserve">7.3.5. </w:t>
          </w:r>
          <w:r>
            <w:t>注意事项</w:t>
          </w:r>
          <w:r>
            <w:tab/>
          </w:r>
          <w:r>
            <w:fldChar w:fldCharType="begin"/>
          </w:r>
          <w:r>
            <w:instrText xml:space="preserve"> PAGEREF _Toc4732 \h </w:instrText>
          </w:r>
          <w:r>
            <w:fldChar w:fldCharType="separate"/>
          </w:r>
          <w:r>
            <w:t>8</w:t>
          </w:r>
          <w:r>
            <w:fldChar w:fldCharType="end"/>
          </w:r>
          <w:r>
            <w:fldChar w:fldCharType="end"/>
          </w:r>
        </w:p>
        <w:p w14:paraId="7E74BCE1">
          <w:pPr>
            <w:pStyle w:val="17"/>
            <w:tabs>
              <w:tab w:val="right" w:leader="dot" w:pos="8306"/>
            </w:tabs>
          </w:pPr>
          <w:r>
            <w:fldChar w:fldCharType="begin"/>
          </w:r>
          <w:r>
            <w:instrText xml:space="preserve"> HYPERLINK \l _Toc4880 </w:instrText>
          </w:r>
          <w:r>
            <w:fldChar w:fldCharType="separate"/>
          </w:r>
          <w:r>
            <w:rPr>
              <w:rFonts w:hint="default"/>
            </w:rPr>
            <w:t xml:space="preserve">7.4. </w:t>
          </w:r>
          <w:r>
            <w:t>备品备件的报废</w:t>
          </w:r>
          <w:r>
            <w:tab/>
          </w:r>
          <w:r>
            <w:fldChar w:fldCharType="begin"/>
          </w:r>
          <w:r>
            <w:instrText xml:space="preserve"> PAGEREF _Toc4880 \h </w:instrText>
          </w:r>
          <w:r>
            <w:fldChar w:fldCharType="separate"/>
          </w:r>
          <w:r>
            <w:t>9</w:t>
          </w:r>
          <w:r>
            <w:fldChar w:fldCharType="end"/>
          </w:r>
          <w:r>
            <w:fldChar w:fldCharType="end"/>
          </w:r>
        </w:p>
        <w:p w14:paraId="6F992BA4">
          <w:pPr>
            <w:pStyle w:val="16"/>
            <w:tabs>
              <w:tab w:val="right" w:leader="dot" w:pos="8306"/>
            </w:tabs>
          </w:pPr>
          <w:r>
            <w:fldChar w:fldCharType="begin"/>
          </w:r>
          <w:r>
            <w:instrText xml:space="preserve"> HYPERLINK \l _Toc29018 </w:instrText>
          </w:r>
          <w:r>
            <w:fldChar w:fldCharType="separate"/>
          </w:r>
          <w:r>
            <w:rPr>
              <w:rFonts w:hint="default"/>
            </w:rPr>
            <w:t xml:space="preserve">8. </w:t>
          </w:r>
          <w:r>
            <w:t>KPI指标</w:t>
          </w:r>
          <w:r>
            <w:tab/>
          </w:r>
          <w:r>
            <w:fldChar w:fldCharType="begin"/>
          </w:r>
          <w:r>
            <w:instrText xml:space="preserve"> PAGEREF _Toc29018 \h </w:instrText>
          </w:r>
          <w:r>
            <w:fldChar w:fldCharType="separate"/>
          </w:r>
          <w:r>
            <w:t>9</w:t>
          </w:r>
          <w:r>
            <w:fldChar w:fldCharType="end"/>
          </w:r>
          <w:r>
            <w:fldChar w:fldCharType="end"/>
          </w:r>
        </w:p>
        <w:p w14:paraId="02554114">
          <w:pPr>
            <w:pStyle w:val="16"/>
            <w:tabs>
              <w:tab w:val="right" w:leader="dot" w:pos="8306"/>
            </w:tabs>
          </w:pPr>
          <w:r>
            <w:fldChar w:fldCharType="begin"/>
          </w:r>
          <w:r>
            <w:instrText xml:space="preserve"> HYPERLINK \l _Toc13402 </w:instrText>
          </w:r>
          <w:r>
            <w:fldChar w:fldCharType="separate"/>
          </w:r>
          <w:r>
            <w:rPr>
              <w:rFonts w:hint="default"/>
            </w:rPr>
            <w:t xml:space="preserve">9. </w:t>
          </w:r>
          <w:r>
            <w:t>相关记录</w:t>
          </w:r>
          <w:r>
            <w:tab/>
          </w:r>
          <w:r>
            <w:fldChar w:fldCharType="begin"/>
          </w:r>
          <w:r>
            <w:instrText xml:space="preserve"> PAGEREF _Toc13402 \h </w:instrText>
          </w:r>
          <w:r>
            <w:fldChar w:fldCharType="separate"/>
          </w:r>
          <w:r>
            <w:t>9</w:t>
          </w:r>
          <w:r>
            <w:fldChar w:fldCharType="end"/>
          </w:r>
          <w:r>
            <w:fldChar w:fldCharType="end"/>
          </w:r>
        </w:p>
        <w:p w14:paraId="4AC0DE31">
          <w:r>
            <w:fldChar w:fldCharType="end"/>
          </w:r>
        </w:p>
      </w:sdtContent>
    </w:sdt>
    <w:p w14:paraId="17C99093">
      <w:r>
        <w:br w:type="page"/>
      </w:r>
    </w:p>
    <w:p w14:paraId="5BD5B7E8">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_Toc17019"/>
      <w:r>
        <w:t>目的</w:t>
      </w:r>
      <w:bookmarkEnd w:id="4"/>
      <w:bookmarkEnd w:id="5"/>
    </w:p>
    <w:p w14:paraId="1C35F89D">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为加强公司备品备件管理，提高资金周转率，加大备品备件使用效率，特制订本制度。</w:t>
      </w:r>
    </w:p>
    <w:p w14:paraId="12E48D83">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6" w:name="heading_3"/>
      <w:bookmarkStart w:id="7" w:name="_Toc14282"/>
      <w:r>
        <w:t>适用范围</w:t>
      </w:r>
      <w:bookmarkEnd w:id="6"/>
      <w:bookmarkEnd w:id="7"/>
    </w:p>
    <w:p w14:paraId="52DC1105">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本制度适用于公司对备品备件及其使用环境进行管理的一切活动，包括备品备件库的响应、管理、活动定期总结及持续改进等。</w:t>
      </w:r>
    </w:p>
    <w:p w14:paraId="287D3F83">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8" w:name="heading_4"/>
      <w:bookmarkStart w:id="9" w:name="_Toc12994"/>
      <w:r>
        <w:t>职责</w:t>
      </w:r>
      <w:bookmarkEnd w:id="8"/>
      <w:bookmarkEnd w:id="9"/>
    </w:p>
    <w:p w14:paraId="14C5F818">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 w:name="_Toc30748"/>
      <w:r>
        <w:rPr>
          <w:rFonts w:hint="eastAsia"/>
          <w:lang w:val="en-US" w:eastAsia="zh-CN"/>
        </w:rPr>
        <w:t>运维部</w:t>
      </w:r>
      <w:r>
        <w:t>经理</w:t>
      </w:r>
      <w:bookmarkEnd w:id="10"/>
    </w:p>
    <w:p w14:paraId="29B3C6F4">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负责公司所有备品备件的备货计划制定，保证备品备件的按时供应，同时尽可能降低库存，减少占用资金。</w:t>
      </w:r>
    </w:p>
    <w:p w14:paraId="0E51F757">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1" w:name="_Toc28795"/>
      <w:r>
        <w:rPr>
          <w:rFonts w:hint="eastAsia"/>
          <w:lang w:val="en-US" w:eastAsia="zh-CN"/>
        </w:rPr>
        <w:t>备件库</w:t>
      </w:r>
      <w:bookmarkEnd w:id="11"/>
    </w:p>
    <w:p w14:paraId="428FA62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负责对</w:t>
      </w:r>
      <w:r>
        <w:rPr>
          <w:rFonts w:hint="eastAsia"/>
          <w:lang w:val="en-US" w:eastAsia="zh-CN"/>
        </w:rPr>
        <w:t>服务台</w:t>
      </w:r>
      <w:r>
        <w:t>提交的采购计划清单落实采购，确保及时、保质保量提供物资供应。</w:t>
      </w:r>
    </w:p>
    <w:p w14:paraId="1D0BD2EC">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_Toc11401"/>
      <w:r>
        <w:rPr>
          <w:rFonts w:hint="eastAsia"/>
          <w:lang w:val="en-US" w:eastAsia="zh-CN"/>
        </w:rPr>
        <w:t>备件库专员</w:t>
      </w:r>
      <w:bookmarkEnd w:id="12"/>
    </w:p>
    <w:p w14:paraId="46449144">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负责备品备件的到货确认、送检和入库，并严格按照仓库管理制度要求对物资进行存放和出入库操作。</w:t>
      </w:r>
    </w:p>
    <w:p w14:paraId="1AB4F471">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 w:name="_Toc19859"/>
      <w:r>
        <w:t>备品备件使用部门</w:t>
      </w:r>
      <w:bookmarkEnd w:id="13"/>
    </w:p>
    <w:p w14:paraId="19E928E3">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负责提供备品备件的使用计划，并安排备品备件的领用和寄修。</w:t>
      </w:r>
    </w:p>
    <w:p w14:paraId="45590794">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备件库</w:t>
      </w:r>
      <w:r>
        <w:t>对备品备件完好性管理、</w:t>
      </w:r>
      <w:r>
        <w:rPr>
          <w:rFonts w:hint="eastAsia"/>
          <w:lang w:eastAsia="zh-CN"/>
        </w:rPr>
        <w:t>运维部</w:t>
      </w:r>
      <w:r>
        <w:t>对完好性检测的技术支持。</w:t>
      </w:r>
    </w:p>
    <w:p w14:paraId="62CB37E7">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 w:name="heading_5"/>
      <w:bookmarkStart w:id="15" w:name="_Toc23753"/>
      <w:r>
        <w:t>备品备件的分类和定义</w:t>
      </w:r>
      <w:bookmarkEnd w:id="14"/>
      <w:bookmarkEnd w:id="15"/>
    </w:p>
    <w:p w14:paraId="7910CC50">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备品备件包含公司运维过程中为产品检修、正常运行维护所提供的外购设备。根据存储地点和用途，将备品备件分为二类：</w:t>
      </w:r>
    </w:p>
    <w:p w14:paraId="4ABA718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第一类为常规备货，存储地点在公司仓库；</w:t>
      </w:r>
    </w:p>
    <w:p w14:paraId="377A2682">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第二类为合同规定要求现场备货，存储在用户现场。</w:t>
      </w:r>
    </w:p>
    <w:p w14:paraId="316344E0">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 w:name="heading_6"/>
      <w:bookmarkStart w:id="17" w:name="_Toc16983"/>
      <w:r>
        <w:t>备品备件库的响应级别管理</w:t>
      </w:r>
      <w:bookmarkEnd w:id="16"/>
      <w:bookmarkEnd w:id="17"/>
    </w:p>
    <w:p w14:paraId="73AB2213">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备品备件响应按照发生的故障级别及跟客户的合同来进行分级别响应。</w:t>
      </w:r>
    </w:p>
    <w:p w14:paraId="00F68310">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 w:name="heading_7"/>
      <w:bookmarkStart w:id="19" w:name="_Toc22920"/>
      <w:r>
        <w:t>故障级别判定原则</w:t>
      </w:r>
      <w:bookmarkEnd w:id="18"/>
      <w:bookmarkEnd w:id="19"/>
    </w:p>
    <w:p w14:paraId="696185F5">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一级(重大)故障：因核心系统设备或服务端软件系统瘫痪，造成关键业务或整个业务系统功能丧失性故障（如：数据库瘫痪、核心服务程序故障、整个系统无数据等）。</w:t>
      </w:r>
    </w:p>
    <w:p w14:paraId="21CB8353">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二级(严重)故障：因主要系统设备或服务端软件系统故障，造成部分关键业务或整个业务系统功能间歇性不可用或数据丢失（如无法产生预警、中心部分无数据采集、终端无法登陆等）。</w:t>
      </w:r>
    </w:p>
    <w:p w14:paraId="23B96364">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三级(一般)故障：辅助系统在运行过程中发生的不影响主要业务系统使用或间接性故障（如：个别站点无数据上报、终端软件偶尔报错等）。</w:t>
      </w:r>
    </w:p>
    <w:p w14:paraId="458202E8">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0" w:name="heading_8"/>
      <w:bookmarkStart w:id="21" w:name="_Toc30740"/>
      <w:r>
        <w:t>响应级别定义</w:t>
      </w:r>
      <w:bookmarkEnd w:id="20"/>
      <w:bookmarkEnd w:id="21"/>
    </w:p>
    <w:p w14:paraId="39125082">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一级备件响应：24 小时响应维护现场对备品备件的需求，及时向维护单位寄送备件，备件寄送一般不超过4 小时，发生重大故障时备件送达现场时间不超过12 小时（不含跨省异地调拨时间）。</w:t>
      </w:r>
    </w:p>
    <w:p w14:paraId="57364750">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二级备件响应：24 小时响应维护现场对备品备件的需求，及时向维护单位寄送备件，备件寄送一般不超过8 小时，发生重大故障时备件送达现场时间不超过24 小时（不含跨省异地调拨时间）。</w:t>
      </w:r>
    </w:p>
    <w:p w14:paraId="7926A92A">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三级备件响应：24 小时响应维护现场对备品备件的需求，及时向维护单位寄送备件，备件寄送一般不超过24 小时，发生重大故障时备件送达现场时间不超过48 小时（不含跨省异地调拨时间）。</w:t>
      </w:r>
    </w:p>
    <w:p w14:paraId="5A5C7FE8">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对在本地有项目现场备件</w:t>
      </w:r>
      <w:r>
        <w:rPr>
          <w:rFonts w:hint="eastAsia"/>
          <w:lang w:eastAsia="zh-CN"/>
        </w:rPr>
        <w:t>备件库</w:t>
      </w:r>
      <w:r>
        <w:t>的项目，24 小时响应维护现场对备件的需求。</w:t>
      </w:r>
    </w:p>
    <w:p w14:paraId="156B83CA">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22" w:name="heading_9"/>
      <w:bookmarkStart w:id="23" w:name="_Toc32007"/>
      <w:r>
        <w:t>备品备件规则</w:t>
      </w:r>
      <w:bookmarkEnd w:id="22"/>
      <w:bookmarkEnd w:id="23"/>
    </w:p>
    <w:p w14:paraId="634B307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服务台</w:t>
      </w:r>
      <w:r>
        <w:t>根据上一年度公司的运维服务情况，统计出全年各备品备件的使用量，并提交</w:t>
      </w:r>
      <w:r>
        <w:rPr>
          <w:rFonts w:hint="eastAsia"/>
          <w:lang w:eastAsia="zh-CN"/>
        </w:rPr>
        <w:t>运维部</w:t>
      </w:r>
      <w:r>
        <w:t>经理，由</w:t>
      </w:r>
      <w:r>
        <w:rPr>
          <w:rFonts w:hint="eastAsia"/>
          <w:lang w:eastAsia="zh-CN"/>
        </w:rPr>
        <w:t>运维部</w:t>
      </w:r>
      <w:r>
        <w:t>经理来制定整个年度备货计划。</w:t>
      </w:r>
    </w:p>
    <w:p w14:paraId="77AC4E09">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24" w:name="heading_10"/>
      <w:bookmarkStart w:id="25" w:name="_Toc26016"/>
      <w:r>
        <w:rPr>
          <w:rFonts w:hint="eastAsia"/>
          <w:lang w:val="en-US" w:eastAsia="zh-CN"/>
        </w:rPr>
        <w:t>应急采购</w:t>
      </w:r>
    </w:p>
    <w:p w14:paraId="7EC9B4E8">
      <w:pPr>
        <w:pStyle w:val="30"/>
        <w:rPr>
          <w:rFonts w:hint="eastAsia"/>
        </w:rPr>
      </w:pPr>
      <w:r>
        <w:rPr>
          <w:rFonts w:hint="eastAsia"/>
        </w:rPr>
        <w:t>为应对突发故障、紧急项目需求或计划外备件短缺，保障运维服务不中断，特设立应急采购机制。</w:t>
      </w:r>
    </w:p>
    <w:p w14:paraId="53798693">
      <w:pPr>
        <w:pStyle w:val="31"/>
        <w:bidi w:val="0"/>
        <w:rPr>
          <w:rFonts w:hint="eastAsia"/>
        </w:rPr>
      </w:pPr>
      <w:r>
        <w:rPr>
          <w:rFonts w:hint="eastAsia"/>
        </w:rPr>
        <w:t>应急采购触发条件</w:t>
      </w:r>
    </w:p>
    <w:p w14:paraId="0B72B13A">
      <w:pPr>
        <w:pStyle w:val="30"/>
        <w:rPr>
          <w:rFonts w:hint="eastAsia"/>
        </w:rPr>
      </w:pPr>
      <w:r>
        <w:rPr>
          <w:rFonts w:hint="eastAsia"/>
        </w:rPr>
        <w:t>符合以下任一情形，可启动应急采购流程：</w:t>
      </w:r>
    </w:p>
    <w:p w14:paraId="251EDD00">
      <w:pPr>
        <w:pStyle w:val="30"/>
        <w:rPr>
          <w:rFonts w:hint="eastAsia"/>
        </w:rPr>
      </w:pPr>
      <w:r>
        <w:rPr>
          <w:rFonts w:hint="eastAsia"/>
        </w:rPr>
        <w:t>发生一级或二级</w:t>
      </w:r>
      <w:bookmarkStart w:id="48" w:name="_GoBack"/>
      <w:bookmarkEnd w:id="48"/>
      <w:r>
        <w:rPr>
          <w:rFonts w:hint="eastAsia"/>
        </w:rPr>
        <w:t>故障，且现有库存无法满足修复需求；</w:t>
      </w:r>
    </w:p>
    <w:p w14:paraId="32F773AF">
      <w:pPr>
        <w:pStyle w:val="30"/>
        <w:rPr>
          <w:rFonts w:hint="eastAsia"/>
        </w:rPr>
      </w:pPr>
      <w:r>
        <w:rPr>
          <w:rFonts w:hint="eastAsia"/>
        </w:rPr>
        <w:t>备品备件使用部门提出紧急需求，且常规采购周期无法满足时限要求；</w:t>
      </w:r>
    </w:p>
    <w:p w14:paraId="11980E6E">
      <w:pPr>
        <w:pStyle w:val="30"/>
        <w:rPr>
          <w:rFonts w:hint="eastAsia"/>
        </w:rPr>
      </w:pPr>
      <w:r>
        <w:rPr>
          <w:rFonts w:hint="eastAsia"/>
        </w:rPr>
        <w:t>合同或客户明确要求特急响应的特殊情况；</w:t>
      </w:r>
    </w:p>
    <w:p w14:paraId="4D3FB7C7">
      <w:pPr>
        <w:pStyle w:val="30"/>
        <w:rPr>
          <w:rFonts w:hint="eastAsia"/>
        </w:rPr>
      </w:pPr>
      <w:r>
        <w:rPr>
          <w:rFonts w:hint="eastAsia"/>
        </w:rPr>
        <w:t>其他经运维部经理认定为紧急的情况。</w:t>
      </w:r>
    </w:p>
    <w:p w14:paraId="3333F7B8">
      <w:pPr>
        <w:pStyle w:val="31"/>
        <w:bidi w:val="0"/>
        <w:rPr>
          <w:rFonts w:hint="eastAsia"/>
        </w:rPr>
      </w:pPr>
      <w:r>
        <w:rPr>
          <w:rFonts w:hint="eastAsia"/>
        </w:rPr>
        <w:t>应急采购流程</w:t>
      </w:r>
    </w:p>
    <w:p w14:paraId="3D0E62D2">
      <w:pPr>
        <w:pStyle w:val="30"/>
        <w:rPr>
          <w:rFonts w:hint="eastAsia"/>
        </w:rPr>
      </w:pPr>
      <w:r>
        <w:rPr>
          <w:rFonts w:hint="eastAsia"/>
        </w:rPr>
        <w:t>应急采购应遵循“快速响应、事后补单、闭环管理”的原则，具体流程如下：</w:t>
      </w:r>
    </w:p>
    <w:p w14:paraId="75FB5A8D">
      <w:pPr>
        <w:pStyle w:val="30"/>
        <w:rPr>
          <w:rFonts w:hint="eastAsia"/>
        </w:rPr>
      </w:pPr>
      <w:r>
        <w:rPr>
          <w:rFonts w:hint="eastAsia"/>
        </w:rPr>
        <w:t>发起申请：使用部门或服务台填写《应急采购申请单》，说明紧急事由、所需物资、需求时限等，并通过电话、即时通讯等方式先行报备运维部经理；</w:t>
      </w:r>
    </w:p>
    <w:p w14:paraId="3D030035">
      <w:pPr>
        <w:pStyle w:val="30"/>
        <w:rPr>
          <w:rFonts w:hint="eastAsia"/>
        </w:rPr>
      </w:pPr>
      <w:r>
        <w:rPr>
          <w:rFonts w:hint="eastAsia"/>
        </w:rPr>
        <w:t>快速审批：运维部经理在2小时内完成审批，必要时同步报备分管副总；</w:t>
      </w:r>
    </w:p>
    <w:p w14:paraId="6016005C">
      <w:pPr>
        <w:pStyle w:val="30"/>
        <w:rPr>
          <w:rFonts w:hint="eastAsia"/>
        </w:rPr>
      </w:pPr>
      <w:r>
        <w:rPr>
          <w:rFonts w:hint="eastAsia"/>
        </w:rPr>
        <w:t>采购执行：采购部接到应急采购指令后，优先安排资源，采取绿色通道方式落实采购，确保在规定时限内完成物资供应；</w:t>
      </w:r>
    </w:p>
    <w:p w14:paraId="797E0A20">
      <w:pPr>
        <w:pStyle w:val="30"/>
        <w:rPr>
          <w:rFonts w:hint="eastAsia"/>
        </w:rPr>
      </w:pPr>
      <w:r>
        <w:rPr>
          <w:rFonts w:hint="eastAsia"/>
        </w:rPr>
        <w:t>补录手续：应急采购完成后，发起单位应在3个工作日内补全《应急采购申请单》及相关采购单据，完成正式审批流程，归档备查；</w:t>
      </w:r>
    </w:p>
    <w:p w14:paraId="6A6A40B8">
      <w:pPr>
        <w:pStyle w:val="30"/>
        <w:rPr>
          <w:rFonts w:hint="eastAsia"/>
        </w:rPr>
      </w:pPr>
      <w:r>
        <w:rPr>
          <w:rFonts w:hint="eastAsia"/>
        </w:rPr>
        <w:t>入库登记：物资到货后，备件库专员应立即办理入库手续，并在《备品备件库存月报》中注明为应急采购物资。</w:t>
      </w:r>
    </w:p>
    <w:p w14:paraId="235D9DCD">
      <w:pPr>
        <w:pStyle w:val="31"/>
        <w:bidi w:val="0"/>
        <w:rPr>
          <w:rFonts w:hint="eastAsia"/>
        </w:rPr>
      </w:pPr>
      <w:r>
        <w:rPr>
          <w:rFonts w:hint="eastAsia"/>
        </w:rPr>
        <w:t>应急采购注意事项</w:t>
      </w:r>
    </w:p>
    <w:p w14:paraId="2265443A">
      <w:pPr>
        <w:pStyle w:val="30"/>
        <w:rPr>
          <w:rFonts w:hint="eastAsia"/>
        </w:rPr>
      </w:pPr>
      <w:r>
        <w:rPr>
          <w:rFonts w:hint="eastAsia"/>
        </w:rPr>
        <w:t>应急采购不得规避正常审批流程，所有应急采购均需事后补单并存档；</w:t>
      </w:r>
    </w:p>
    <w:p w14:paraId="029A863B">
      <w:pPr>
        <w:pStyle w:val="30"/>
        <w:rPr>
          <w:rFonts w:hint="eastAsia"/>
        </w:rPr>
      </w:pPr>
      <w:r>
        <w:rPr>
          <w:rFonts w:hint="eastAsia"/>
        </w:rPr>
        <w:t>应急采购频次和金额应纳入季度KPI分析，作为备货计划优化依据；</w:t>
      </w:r>
    </w:p>
    <w:p w14:paraId="0175AA11">
      <w:pPr>
        <w:pStyle w:val="30"/>
        <w:rPr>
          <w:rFonts w:hint="eastAsia"/>
        </w:rPr>
      </w:pPr>
      <w:r>
        <w:rPr>
          <w:rFonts w:hint="eastAsia"/>
        </w:rPr>
        <w:t>对因应急采购产生的额外费用，应如实记录并说明原因；</w:t>
      </w:r>
    </w:p>
    <w:p w14:paraId="367625ED">
      <w:pPr>
        <w:pStyle w:val="30"/>
      </w:pPr>
      <w:r>
        <w:rPr>
          <w:rFonts w:hint="eastAsia"/>
        </w:rPr>
        <w:t>应急采购物资应优先用于紧急需求，使用后及时补充库存，防止重复触发应急机制。</w:t>
      </w:r>
    </w:p>
    <w:p w14:paraId="62843951">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备品备件备货出入库流程</w:t>
      </w:r>
      <w:bookmarkEnd w:id="24"/>
      <w:bookmarkEnd w:id="25"/>
    </w:p>
    <w:p w14:paraId="2898D0DD">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6" w:name="heading_11"/>
      <w:bookmarkStart w:id="27" w:name="_Toc14830"/>
      <w:r>
        <w:t>入库流程</w:t>
      </w:r>
      <w:bookmarkEnd w:id="26"/>
      <w:bookmarkEnd w:id="27"/>
    </w:p>
    <w:p w14:paraId="7F02CD6E">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备品备件入库需经过以下环节，涉及岗位及流程如下：</w:t>
      </w:r>
    </w:p>
    <w:p w14:paraId="4232BD16">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服务台</w:t>
      </w:r>
      <w:r>
        <w:rPr>
          <w:rFonts w:hint="eastAsia"/>
          <w:lang w:val="en-US" w:eastAsia="zh-CN"/>
        </w:rPr>
        <w:t>经理</w:t>
      </w:r>
      <w:r>
        <w:t>发起采购需求→</w:t>
      </w:r>
      <w:r>
        <w:rPr>
          <w:rFonts w:hint="eastAsia"/>
          <w:lang w:val="en-US" w:eastAsia="zh-CN"/>
        </w:rPr>
        <w:t>运维部</w:t>
      </w:r>
      <w:r>
        <w:t>经理审核→</w:t>
      </w:r>
      <w:r>
        <w:rPr>
          <w:rFonts w:hint="eastAsia"/>
          <w:lang w:val="en-US" w:eastAsia="zh-CN"/>
        </w:rPr>
        <w:t>人力资源部</w:t>
      </w:r>
      <w:r>
        <w:t>经理审核→分管副总审批 →</w:t>
      </w:r>
      <w:r>
        <w:rPr>
          <w:rFonts w:hint="eastAsia"/>
          <w:lang w:val="en-US" w:eastAsia="zh-CN"/>
        </w:rPr>
        <w:t>采购部</w:t>
      </w:r>
      <w:r>
        <w:t>落实采购→</w:t>
      </w:r>
      <w:r>
        <w:rPr>
          <w:rFonts w:hint="eastAsia"/>
          <w:lang w:eastAsia="zh-CN"/>
        </w:rPr>
        <w:t>备件库专员</w:t>
      </w:r>
      <w:r>
        <w:t>进行到货确认、送检及入库登记。</w:t>
      </w:r>
    </w:p>
    <w:p w14:paraId="5EAF8F39">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8" w:name="heading_12"/>
      <w:bookmarkStart w:id="29" w:name="_Toc30057"/>
      <w:r>
        <w:t>出库流程</w:t>
      </w:r>
      <w:bookmarkEnd w:id="28"/>
      <w:bookmarkEnd w:id="29"/>
    </w:p>
    <w:p w14:paraId="4B53EB32">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备品备件出库需经过以下环节，涉及岗位及流程如下：</w:t>
      </w:r>
    </w:p>
    <w:p w14:paraId="400E67D8">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领用人提交《领料单》→</w:t>
      </w:r>
      <w:r>
        <w:rPr>
          <w:rFonts w:hint="eastAsia"/>
          <w:lang w:val="en-US" w:eastAsia="zh-CN"/>
        </w:rPr>
        <w:t>运维部</w:t>
      </w:r>
      <w:r>
        <w:t>经理审批→</w:t>
      </w:r>
      <w:r>
        <w:rPr>
          <w:rFonts w:hint="eastAsia"/>
          <w:lang w:eastAsia="zh-CN"/>
        </w:rPr>
        <w:t>备件库</w:t>
      </w:r>
      <w:r>
        <w:t>审核→</w:t>
      </w:r>
      <w:r>
        <w:rPr>
          <w:rFonts w:hint="eastAsia"/>
          <w:lang w:eastAsia="zh-CN"/>
        </w:rPr>
        <w:t>备件库专员</w:t>
      </w:r>
      <w:r>
        <w:t>核对物资并办理出库→ 领用人确认领用 → 流程结束。</w:t>
      </w:r>
    </w:p>
    <w:p w14:paraId="3288FB12">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0" w:name="heading_13"/>
      <w:bookmarkStart w:id="31" w:name="_Toc12727"/>
      <w:r>
        <w:t>出入库管理及注意事项</w:t>
      </w:r>
      <w:bookmarkEnd w:id="30"/>
      <w:bookmarkEnd w:id="31"/>
    </w:p>
    <w:p w14:paraId="6D2DDC39">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32" w:name="heading_14"/>
      <w:bookmarkStart w:id="33" w:name="_Toc10427"/>
      <w:r>
        <w:t>备品备件的入库检验</w:t>
      </w:r>
      <w:bookmarkEnd w:id="32"/>
      <w:bookmarkEnd w:id="33"/>
    </w:p>
    <w:p w14:paraId="5C65408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对于原材料备品备件，由</w:t>
      </w:r>
      <w:r>
        <w:rPr>
          <w:rFonts w:hint="eastAsia"/>
          <w:lang w:val="en-US" w:eastAsia="zh-CN"/>
        </w:rPr>
        <w:t>备件库专员</w:t>
      </w:r>
      <w:r>
        <w:t>进行进货检验。检验合格后开具《入库单》办理入库。</w:t>
      </w:r>
    </w:p>
    <w:p w14:paraId="6B5C1626">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34" w:name="heading_15"/>
      <w:bookmarkStart w:id="35" w:name="_Toc5972"/>
      <w:r>
        <w:t>备品备件的出库</w:t>
      </w:r>
      <w:bookmarkEnd w:id="34"/>
      <w:bookmarkEnd w:id="35"/>
    </w:p>
    <w:p w14:paraId="4BDD5050">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领料人须凭《领料单》从</w:t>
      </w:r>
      <w:r>
        <w:rPr>
          <w:rFonts w:hint="eastAsia"/>
          <w:lang w:eastAsia="zh-CN"/>
        </w:rPr>
        <w:t>备件库</w:t>
      </w:r>
      <w:r>
        <w:t>领用物资。在《领料单》中应明确填写项目名称、领用物资的品牌、规格、型号、数量，经领料人、部门负责人和</w:t>
      </w:r>
      <w:r>
        <w:rPr>
          <w:rFonts w:hint="eastAsia"/>
          <w:lang w:eastAsia="zh-CN"/>
        </w:rPr>
        <w:t>备件库</w:t>
      </w:r>
      <w:r>
        <w:t>签字方为有效。</w:t>
      </w:r>
    </w:p>
    <w:p w14:paraId="015B343C">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出货前，需仔细核对领料单和待发物品，无误后予以领用出库。</w:t>
      </w:r>
    </w:p>
    <w:p w14:paraId="7072607D">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领用物品如自生产日期起已超过6个月未出库的，由领用人领用后提交</w:t>
      </w:r>
      <w:r>
        <w:rPr>
          <w:rFonts w:hint="eastAsia"/>
          <w:lang w:eastAsia="zh-CN"/>
        </w:rPr>
        <w:t>服务台</w:t>
      </w:r>
      <w:r>
        <w:t>进行检验，确保无问题后向客户发出。</w:t>
      </w:r>
    </w:p>
    <w:p w14:paraId="723C0B1F">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36" w:name="heading_16"/>
      <w:bookmarkStart w:id="37" w:name="_Toc2641"/>
      <w:r>
        <w:t>备品备件的保管、定期检测</w:t>
      </w:r>
      <w:bookmarkEnd w:id="36"/>
      <w:bookmarkEnd w:id="37"/>
    </w:p>
    <w:p w14:paraId="68886526">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存放备品备件的仓库内必须合理划分仓位，明确不同种类物资处于各自的区域。</w:t>
      </w:r>
    </w:p>
    <w:p w14:paraId="5C4134BC">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物资入库后须编号、登帐、填卡、存入定点仓位。</w:t>
      </w:r>
    </w:p>
    <w:p w14:paraId="78C4FBD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物资贮存时要求堆放整齐、标识清楚、查找方便。</w:t>
      </w:r>
    </w:p>
    <w:p w14:paraId="4BB407D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贮存记录要准确完整，保证帐、卡、物相一致；每月定期自查并汇总《备品备件库存月报》提交财务部进行复核。</w:t>
      </w:r>
    </w:p>
    <w:p w14:paraId="18B0F38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需定期检测备品备件的完好情况，具体要求如下：</w:t>
      </w:r>
      <w:r>
        <w:br w:type="textWrapping"/>
      </w:r>
      <w:r>
        <w:t>检测频次：常用备件按照时间顺序，一般满六个月的，检测一次，确认设备可用性。</w:t>
      </w:r>
    </w:p>
    <w:p w14:paraId="3B4D8762">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检测比例：入库产品采取每2 件抽取1 件的抽检比例。</w:t>
      </w:r>
    </w:p>
    <w:p w14:paraId="0FCD753E">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检测方式：通过备机或者测试机进行检测。针对重要备件（比如存储电源），在更换前会先在备件或者测试机上测试，确认正常后再投入生产机更换。</w:t>
      </w:r>
    </w:p>
    <w:p w14:paraId="0B41D71F">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后续处理：对备品备件进行盘点、性能检测后，如发现库存备品备件出现故障，应及时对坏损的备品备件进行返修，并及时增补备品备件。</w:t>
      </w:r>
    </w:p>
    <w:p w14:paraId="28A2AEF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备品备件应按照响应方式和级别定义、备品备件的数量和类型、类别与编码，进行分类存放。</w:t>
      </w:r>
    </w:p>
    <w:p w14:paraId="2524D30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备件库专员</w:t>
      </w:r>
      <w:r>
        <w:t>对备品备件的管理，需加强检查跟踪，确保物资状态清晰。</w:t>
      </w:r>
    </w:p>
    <w:p w14:paraId="2257C5BD">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38" w:name="heading_17"/>
      <w:bookmarkStart w:id="39" w:name="_Toc2032"/>
      <w:r>
        <w:t>备品备件的返修</w:t>
      </w:r>
      <w:bookmarkEnd w:id="38"/>
      <w:bookmarkEnd w:id="39"/>
    </w:p>
    <w:p w14:paraId="588AE0B6">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对顾客或现场实施人员退回来的零部件或成品，由寄修人员填写《设备返修单》提交</w:t>
      </w:r>
      <w:r>
        <w:rPr>
          <w:rFonts w:hint="eastAsia"/>
          <w:lang w:eastAsia="zh-CN"/>
        </w:rPr>
        <w:t>备件库</w:t>
      </w:r>
      <w:r>
        <w:t>进行询价、核价，经部门经理、分管副总审批同意后由</w:t>
      </w:r>
      <w:r>
        <w:rPr>
          <w:rFonts w:hint="eastAsia"/>
          <w:lang w:eastAsia="zh-CN"/>
        </w:rPr>
        <w:t>备件库</w:t>
      </w:r>
      <w:r>
        <w:t>联系供应商作检修处理。检修完毕后通知寄修人进行维修备件的领用。</w:t>
      </w:r>
    </w:p>
    <w:p w14:paraId="70FD677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备品备件返修流程涉及岗位：</w:t>
      </w:r>
      <w:r>
        <w:rPr>
          <w:rFonts w:hint="eastAsia"/>
          <w:lang w:eastAsia="zh-CN"/>
        </w:rPr>
        <w:t>备件库</w:t>
      </w:r>
      <w:r>
        <w:t xml:space="preserve"> → </w:t>
      </w:r>
      <w:r>
        <w:rPr>
          <w:rFonts w:hint="eastAsia"/>
          <w:lang w:eastAsia="zh-CN"/>
        </w:rPr>
        <w:t>运维部经理</w:t>
      </w:r>
      <w:r>
        <w:t xml:space="preserve"> → 分管副总 → </w:t>
      </w:r>
      <w:r>
        <w:rPr>
          <w:rFonts w:hint="eastAsia"/>
          <w:lang w:eastAsia="zh-CN"/>
        </w:rPr>
        <w:t>服务台</w:t>
      </w:r>
      <w:r>
        <w:t>。各岗位需按照职责分工推进返修工作，确保返修流程高效闭环。</w:t>
      </w:r>
    </w:p>
    <w:p w14:paraId="3E6FFD71">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40" w:name="heading_18"/>
      <w:bookmarkStart w:id="41" w:name="_Toc4732"/>
      <w:r>
        <w:t>注意事项</w:t>
      </w:r>
      <w:bookmarkEnd w:id="40"/>
      <w:bookmarkEnd w:id="41"/>
    </w:p>
    <w:p w14:paraId="0691E1C5">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备件库</w:t>
      </w:r>
      <w:r>
        <w:t>属设备重地，应严加管理，注意防潮、防尘、防火、防盗、防鼠等安全问题；备品备件库钥匙由库管员专人管理，不得外借。</w:t>
      </w:r>
      <w:r>
        <w:rPr>
          <w:rFonts w:hint="eastAsia"/>
          <w:lang w:eastAsia="zh-CN"/>
        </w:rPr>
        <w:t>备件库</w:t>
      </w:r>
      <w:r>
        <w:t>钥匙须妥善保管，如有丢失、损坏须立即向</w:t>
      </w:r>
      <w:r>
        <w:rPr>
          <w:rFonts w:hint="eastAsia"/>
          <w:lang w:eastAsia="zh-CN"/>
        </w:rPr>
        <w:t>服务台</w:t>
      </w:r>
      <w:r>
        <w:t>主管报告，及时采取补救措施。</w:t>
      </w:r>
    </w:p>
    <w:p w14:paraId="6CBF0BC4">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42" w:name="heading_19"/>
      <w:bookmarkStart w:id="43" w:name="_Toc4880"/>
      <w:r>
        <w:t>备品备件的报废</w:t>
      </w:r>
      <w:bookmarkEnd w:id="42"/>
      <w:bookmarkEnd w:id="43"/>
    </w:p>
    <w:p w14:paraId="53323362">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当产品修理后无法修复或不具备使用价值时，作报废处理。由</w:t>
      </w:r>
      <w:r>
        <w:rPr>
          <w:rFonts w:hint="eastAsia"/>
          <w:lang w:eastAsia="zh-CN"/>
        </w:rPr>
        <w:t>备件库</w:t>
      </w:r>
      <w:r>
        <w:t>填写《产品报废申请表》，经相关领导审批后，按照公司规定流程做报废处理。报废处理需确保合规性，做好相关记录存档。</w:t>
      </w:r>
    </w:p>
    <w:p w14:paraId="6DC36D80">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44" w:name="heading_20"/>
      <w:bookmarkStart w:id="45" w:name="_Toc29018"/>
      <w:r>
        <w:t>KPI指标</w:t>
      </w:r>
      <w:bookmarkEnd w:id="44"/>
      <w:bookmarkEnd w:id="45"/>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070"/>
        <w:gridCol w:w="2070"/>
        <w:gridCol w:w="2070"/>
        <w:gridCol w:w="2070"/>
      </w:tblGrid>
      <w:tr w14:paraId="5CED8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545DF7C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指标名称</w:t>
            </w:r>
          </w:p>
        </w:tc>
        <w:tc>
          <w:tcPr>
            <w:tcW w:w="2070" w:type="dxa"/>
            <w:tcMar>
              <w:top w:w="60" w:type="dxa"/>
              <w:left w:w="120" w:type="dxa"/>
              <w:bottom w:w="30" w:type="dxa"/>
              <w:right w:w="120" w:type="dxa"/>
            </w:tcMar>
          </w:tcPr>
          <w:p w14:paraId="388C62AD">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计算公式</w:t>
            </w:r>
          </w:p>
        </w:tc>
        <w:tc>
          <w:tcPr>
            <w:tcW w:w="2070" w:type="dxa"/>
            <w:tcMar>
              <w:top w:w="60" w:type="dxa"/>
              <w:left w:w="120" w:type="dxa"/>
              <w:bottom w:w="30" w:type="dxa"/>
              <w:right w:w="120" w:type="dxa"/>
            </w:tcMar>
          </w:tcPr>
          <w:p w14:paraId="5A032F36">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考核要求</w:t>
            </w:r>
          </w:p>
        </w:tc>
        <w:tc>
          <w:tcPr>
            <w:tcW w:w="2070" w:type="dxa"/>
            <w:tcMar>
              <w:top w:w="60" w:type="dxa"/>
              <w:left w:w="120" w:type="dxa"/>
              <w:bottom w:w="30" w:type="dxa"/>
              <w:right w:w="120" w:type="dxa"/>
            </w:tcMar>
          </w:tcPr>
          <w:p w14:paraId="4F8E730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考核周期</w:t>
            </w:r>
          </w:p>
        </w:tc>
      </w:tr>
      <w:tr w14:paraId="69969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70" w:type="dxa"/>
            <w:shd w:val="clear" w:color="auto" w:fill="auto"/>
            <w:tcMar>
              <w:top w:w="60" w:type="dxa"/>
              <w:left w:w="120" w:type="dxa"/>
              <w:bottom w:w="30" w:type="dxa"/>
              <w:right w:w="120" w:type="dxa"/>
            </w:tcMar>
          </w:tcPr>
          <w:p w14:paraId="35306CCF">
            <w:pPr>
              <w:pStyle w:val="28"/>
              <w:spacing w:before="234" w:line="218" w:lineRule="auto"/>
              <w:ind w:left="375" w:leftChars="0"/>
              <w:rPr>
                <w:rFonts w:ascii="宋体" w:hAnsi="宋体" w:eastAsia="宋体" w:cs="宋体"/>
                <w:snapToGrid w:val="0"/>
                <w:color w:val="000000"/>
                <w:kern w:val="0"/>
                <w:sz w:val="24"/>
                <w:szCs w:val="24"/>
                <w:lang w:val="en-US" w:eastAsia="en-US" w:bidi="ar-SA"/>
              </w:rPr>
            </w:pPr>
            <w:r>
              <w:rPr>
                <w:spacing w:val="-3"/>
                <w:sz w:val="24"/>
                <w:szCs w:val="24"/>
              </w:rPr>
              <w:t>备件可用率</w:t>
            </w:r>
          </w:p>
        </w:tc>
        <w:tc>
          <w:tcPr>
            <w:tcW w:w="2070" w:type="dxa"/>
            <w:shd w:val="clear" w:color="auto" w:fill="auto"/>
            <w:tcMar>
              <w:top w:w="60" w:type="dxa"/>
              <w:left w:w="120" w:type="dxa"/>
              <w:bottom w:w="30" w:type="dxa"/>
              <w:right w:w="120" w:type="dxa"/>
            </w:tcMar>
          </w:tcPr>
          <w:p w14:paraId="100D687E">
            <w:pPr>
              <w:pStyle w:val="28"/>
              <w:spacing w:before="78" w:line="238" w:lineRule="auto"/>
              <w:ind w:left="128" w:leftChars="0" w:right="113" w:rightChars="0" w:hanging="8" w:firstLineChars="0"/>
              <w:rPr>
                <w:rFonts w:ascii="宋体" w:hAnsi="宋体" w:eastAsia="宋体" w:cs="宋体"/>
                <w:snapToGrid w:val="0"/>
                <w:color w:val="000000"/>
                <w:kern w:val="0"/>
                <w:sz w:val="24"/>
                <w:szCs w:val="24"/>
                <w:lang w:val="en-US" w:eastAsia="en-US" w:bidi="ar-SA"/>
              </w:rPr>
            </w:pPr>
            <w:r>
              <w:rPr>
                <w:spacing w:val="-4"/>
                <w:sz w:val="24"/>
                <w:szCs w:val="24"/>
              </w:rPr>
              <w:t>备品备件出库合格数/备品备件出库总数</w:t>
            </w:r>
            <w:r>
              <w:rPr>
                <w:spacing w:val="58"/>
                <w:sz w:val="24"/>
                <w:szCs w:val="24"/>
              </w:rPr>
              <w:t xml:space="preserve"> </w:t>
            </w:r>
            <w:r>
              <w:rPr>
                <w:spacing w:val="-4"/>
                <w:sz w:val="24"/>
                <w:szCs w:val="24"/>
              </w:rPr>
              <w:t>×</w:t>
            </w:r>
            <w:r>
              <w:rPr>
                <w:sz w:val="24"/>
                <w:szCs w:val="24"/>
              </w:rPr>
              <w:t xml:space="preserve"> </w:t>
            </w:r>
            <w:r>
              <w:rPr>
                <w:spacing w:val="-7"/>
                <w:sz w:val="24"/>
                <w:szCs w:val="24"/>
              </w:rPr>
              <w:t>100</w:t>
            </w:r>
            <w:r>
              <w:rPr>
                <w:spacing w:val="2"/>
                <w:sz w:val="24"/>
                <w:szCs w:val="24"/>
              </w:rPr>
              <w:t xml:space="preserve"> </w:t>
            </w:r>
            <w:r>
              <w:rPr>
                <w:spacing w:val="-7"/>
                <w:sz w:val="24"/>
                <w:szCs w:val="24"/>
              </w:rPr>
              <w:t>%</w:t>
            </w:r>
          </w:p>
        </w:tc>
        <w:tc>
          <w:tcPr>
            <w:tcW w:w="2070" w:type="dxa"/>
            <w:shd w:val="clear" w:color="auto" w:fill="auto"/>
            <w:tcMar>
              <w:top w:w="60" w:type="dxa"/>
              <w:left w:w="120" w:type="dxa"/>
              <w:bottom w:w="30" w:type="dxa"/>
              <w:right w:w="120" w:type="dxa"/>
            </w:tcMar>
          </w:tcPr>
          <w:p w14:paraId="0D041C29">
            <w:pPr>
              <w:pStyle w:val="28"/>
              <w:spacing w:before="233" w:line="237" w:lineRule="auto"/>
              <w:ind w:left="168" w:leftChars="0"/>
              <w:rPr>
                <w:rFonts w:ascii="宋体" w:hAnsi="宋体" w:eastAsia="宋体" w:cs="宋体"/>
                <w:snapToGrid w:val="0"/>
                <w:color w:val="000000"/>
                <w:kern w:val="0"/>
                <w:sz w:val="24"/>
                <w:szCs w:val="24"/>
                <w:lang w:val="en-US" w:eastAsia="en-US" w:bidi="ar-SA"/>
              </w:rPr>
            </w:pPr>
            <w:r>
              <w:rPr>
                <w:spacing w:val="-9"/>
                <w:sz w:val="24"/>
                <w:szCs w:val="24"/>
              </w:rPr>
              <w:t>≥95%</w:t>
            </w:r>
          </w:p>
        </w:tc>
        <w:tc>
          <w:tcPr>
            <w:tcW w:w="2070" w:type="dxa"/>
            <w:shd w:val="clear" w:color="auto" w:fill="auto"/>
            <w:tcMar>
              <w:top w:w="60" w:type="dxa"/>
              <w:left w:w="120" w:type="dxa"/>
              <w:bottom w:w="30" w:type="dxa"/>
              <w:right w:w="120" w:type="dxa"/>
            </w:tcMar>
          </w:tcPr>
          <w:p w14:paraId="72A8A37D">
            <w:pPr>
              <w:pStyle w:val="28"/>
              <w:spacing w:before="233" w:line="219" w:lineRule="auto"/>
              <w:ind w:left="161" w:leftChars="0"/>
              <w:rPr>
                <w:rFonts w:ascii="宋体" w:hAnsi="宋体" w:eastAsia="宋体" w:cs="宋体"/>
                <w:snapToGrid w:val="0"/>
                <w:color w:val="000000"/>
                <w:kern w:val="0"/>
                <w:sz w:val="24"/>
                <w:szCs w:val="24"/>
                <w:lang w:val="en-US" w:eastAsia="en-US" w:bidi="ar-SA"/>
              </w:rPr>
            </w:pPr>
            <w:r>
              <w:rPr>
                <w:spacing w:val="-5"/>
                <w:sz w:val="24"/>
                <w:szCs w:val="24"/>
              </w:rPr>
              <w:t>季度</w:t>
            </w:r>
          </w:p>
        </w:tc>
      </w:tr>
    </w:tbl>
    <w:p w14:paraId="3A6D5095">
      <w:pPr>
        <w:pStyle w:val="29"/>
        <w:bidi w:val="0"/>
      </w:pPr>
      <w:bookmarkStart w:id="46" w:name="heading_21"/>
      <w:bookmarkStart w:id="47" w:name="_Toc13402"/>
      <w:r>
        <w:t>相关记录</w:t>
      </w:r>
      <w:bookmarkEnd w:id="46"/>
      <w:bookmarkEnd w:id="47"/>
    </w:p>
    <w:p w14:paraId="2620E676">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《入库单》</w:t>
      </w:r>
    </w:p>
    <w:p w14:paraId="7910E240">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《领料单》</w:t>
      </w:r>
    </w:p>
    <w:p w14:paraId="5E20DA9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《备品备件库存月报》</w:t>
      </w:r>
    </w:p>
    <w:p w14:paraId="5BC0CEB3">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《备品备件检测记录》</w:t>
      </w:r>
    </w:p>
    <w:p w14:paraId="78100492">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《设备返修单》</w:t>
      </w:r>
    </w:p>
    <w:p w14:paraId="76AABFA0">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《产品报废申请表》</w:t>
      </w:r>
    </w:p>
    <w:p w14:paraId="70315C5E">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37B5129E"/>
    <w:rsid w:val="68C006D4"/>
    <w:rsid w:val="75EB60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character" w:styleId="24">
    <w:name w:val="Emphasis"/>
    <w:basedOn w:val="22"/>
    <w:qFormat/>
    <w:uiPriority w:val="0"/>
    <w:rPr>
      <w:i/>
    </w:rPr>
  </w:style>
  <w:style w:type="paragraph" w:customStyle="1" w:styleId="25">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6">
    <w:name w:val="柴_文档名"/>
    <w:basedOn w:val="19"/>
    <w:qFormat/>
    <w:uiPriority w:val="0"/>
    <w:pPr>
      <w:spacing w:after="900" w:afterLines="900"/>
    </w:pPr>
    <w:rPr>
      <w:rFonts w:ascii="黑体" w:hAnsi="黑体" w:eastAsia="黑体" w:cs="黑体"/>
      <w:bCs/>
      <w:spacing w:val="-7"/>
      <w:sz w:val="52"/>
      <w:szCs w:val="52"/>
    </w:rPr>
  </w:style>
  <w:style w:type="table" w:customStyle="1" w:styleId="27">
    <w:name w:val="Table Normal_0"/>
    <w:semiHidden/>
    <w:unhideWhenUsed/>
    <w:qFormat/>
    <w:uiPriority w:val="0"/>
    <w:tblPr>
      <w:tblCellMar>
        <w:top w:w="0" w:type="dxa"/>
        <w:left w:w="0" w:type="dxa"/>
        <w:bottom w:w="0" w:type="dxa"/>
        <w:right w:w="0" w:type="dxa"/>
      </w:tblCellMar>
    </w:tblPr>
  </w:style>
  <w:style w:type="paragraph" w:customStyle="1" w:styleId="28">
    <w:name w:val="Table Text"/>
    <w:basedOn w:val="1"/>
    <w:semiHidden/>
    <w:qFormat/>
    <w:uiPriority w:val="0"/>
    <w:rPr>
      <w:rFonts w:ascii="宋体" w:hAnsi="宋体" w:eastAsia="宋体" w:cs="宋体"/>
      <w:sz w:val="21"/>
      <w:szCs w:val="21"/>
      <w:lang w:val="en-US" w:eastAsia="en-US" w:bidi="ar-SA"/>
    </w:rPr>
  </w:style>
  <w:style w:type="paragraph" w:customStyle="1" w:styleId="29">
    <w:name w:val="柴_标题1"/>
    <w:basedOn w:val="2"/>
    <w:next w:val="30"/>
    <w:link w:val="39"/>
    <w:qFormat/>
    <w:uiPriority w:val="0"/>
    <w:pPr>
      <w:spacing w:before="100" w:after="90" w:line="360" w:lineRule="auto"/>
    </w:pPr>
    <w:rPr>
      <w:rFonts w:ascii="Arial" w:hAnsi="Arial" w:eastAsia="宋体"/>
      <w:sz w:val="32"/>
    </w:rPr>
  </w:style>
  <w:style w:type="paragraph" w:customStyle="1" w:styleId="30">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1">
    <w:name w:val="柴_标题2"/>
    <w:basedOn w:val="3"/>
    <w:next w:val="30"/>
    <w:qFormat/>
    <w:uiPriority w:val="0"/>
    <w:pPr>
      <w:spacing w:line="360" w:lineRule="auto"/>
    </w:pPr>
    <w:rPr>
      <w:rFonts w:ascii="Arial" w:hAnsi="Arial" w:eastAsia="宋体"/>
      <w:sz w:val="28"/>
    </w:rPr>
  </w:style>
  <w:style w:type="paragraph" w:customStyle="1" w:styleId="32">
    <w:name w:val="柴_标题3"/>
    <w:basedOn w:val="4"/>
    <w:next w:val="30"/>
    <w:qFormat/>
    <w:uiPriority w:val="0"/>
    <w:pPr>
      <w:spacing w:line="360" w:lineRule="auto"/>
      <w:ind w:left="0" w:firstLine="472" w:firstLineChars="200"/>
    </w:pPr>
    <w:rPr>
      <w:rFonts w:ascii="宋体" w:hAnsi="宋体" w:eastAsia="宋体" w:cs="宋体"/>
      <w:spacing w:val="-2"/>
      <w:sz w:val="24"/>
      <w:szCs w:val="24"/>
    </w:rPr>
  </w:style>
  <w:style w:type="paragraph" w:customStyle="1" w:styleId="33">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4">
    <w:name w:val="WPSOffice手动目录 1"/>
    <w:qFormat/>
    <w:uiPriority w:val="0"/>
    <w:pPr>
      <w:ind w:leftChars="0"/>
    </w:pPr>
    <w:rPr>
      <w:rFonts w:ascii="Times New Roman" w:hAnsi="Times New Roman" w:eastAsia="宋体" w:cs="Times New Roman"/>
      <w:sz w:val="20"/>
      <w:szCs w:val="20"/>
    </w:rPr>
  </w:style>
  <w:style w:type="paragraph" w:customStyle="1" w:styleId="35">
    <w:name w:val="WPSOffice手动目录 2"/>
    <w:qFormat/>
    <w:uiPriority w:val="0"/>
    <w:pPr>
      <w:ind w:leftChars="200"/>
    </w:pPr>
    <w:rPr>
      <w:rFonts w:ascii="Times New Roman" w:hAnsi="Times New Roman" w:eastAsia="宋体" w:cs="Times New Roman"/>
      <w:sz w:val="20"/>
      <w:szCs w:val="20"/>
    </w:rPr>
  </w:style>
  <w:style w:type="paragraph" w:customStyle="1" w:styleId="36">
    <w:name w:val="WPSOffice手动目录 3"/>
    <w:qFormat/>
    <w:uiPriority w:val="0"/>
    <w:pPr>
      <w:ind w:leftChars="400"/>
    </w:pPr>
    <w:rPr>
      <w:rFonts w:ascii="Times New Roman" w:hAnsi="Times New Roman" w:eastAsia="宋体" w:cs="Times New Roman"/>
      <w:sz w:val="20"/>
      <w:szCs w:val="20"/>
    </w:rPr>
  </w:style>
  <w:style w:type="paragraph" w:customStyle="1" w:styleId="37">
    <w:name w:val="Compact"/>
    <w:basedOn w:val="12"/>
    <w:qFormat/>
    <w:uiPriority w:val="0"/>
    <w:pPr>
      <w:spacing w:before="36" w:after="36"/>
    </w:pPr>
  </w:style>
  <w:style w:type="table" w:customStyle="1" w:styleId="38">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9">
    <w:name w:val="柴_标题1 Char"/>
    <w:link w:val="29"/>
    <w:qFormat/>
    <w:uiPriority w:val="0"/>
    <w:rPr>
      <w:rFonts w:ascii="Arial" w:hAnsi="Arial" w:eastAsia="宋体"/>
      <w:sz w:val="32"/>
    </w:r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30"/>
    <w:qFormat/>
    <w:uiPriority w:val="0"/>
    <w:rPr>
      <w:rFonts w:ascii="Arial" w:hAnsi="Arial" w:eastAsia="宋体"/>
      <w:sz w:val="24"/>
      <w:lang w:eastAsia="zh-CN"/>
    </w:rPr>
  </w:style>
  <w:style w:type="table" w:customStyle="1" w:styleId="43">
    <w:name w:val="Table Normal_0_0"/>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2676</Words>
  <Characters>2836</Characters>
  <Lines>0</Lines>
  <Paragraphs>0</Paragraphs>
  <TotalTime>6</TotalTime>
  <ScaleCrop>false</ScaleCrop>
  <LinksUpToDate>false</LinksUpToDate>
  <CharactersWithSpaces>2969</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2026-02-19T04:42:20Z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0D32182671224755A6D4CE835A5A6EA6_12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