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559D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02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182F967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7629"/>
      <w:r>
        <w:rPr>
          <w:rFonts w:hint="eastAsia"/>
          <w:lang w:val="en-US" w:eastAsia="zh-CN"/>
        </w:rPr>
        <w:t>服务台应用情况说明</w:t>
      </w:r>
      <w:bookmarkEnd w:id="1"/>
    </w:p>
    <w:p w14:paraId="5F361F1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6613"/>
      <w:r>
        <w:rPr>
          <w:rFonts w:hint="eastAsia"/>
          <w:lang w:val="en-US" w:eastAsia="zh-CN"/>
        </w:rPr>
        <w:t>（HXDL-ITSS-0810）</w:t>
      </w:r>
      <w:bookmarkEnd w:id="2"/>
    </w:p>
    <w:p w14:paraId="309BB8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D0CB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7C156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03C170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4E7D0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546EB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4DCB11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07219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3CB80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68553B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095103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2AF804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6147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 w14:paraId="62DCC1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30FB9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DF7A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82941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24ECE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3809C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081FCE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6BA950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F4D8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6B80A3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C17BF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B1907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4F99D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37A39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7E761A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 w14:paraId="6B118A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 w:val="continue"/>
            <w:tcBorders>
              <w:top w:val="nil"/>
              <w:right w:val="single" w:color="000000" w:sz="10" w:space="0"/>
            </w:tcBorders>
          </w:tcPr>
          <w:p w14:paraId="6013A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615821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7EDD5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0BC740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539C8E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242916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4B51F0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82411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28" w:type="dxa"/>
          </w:tcPr>
          <w:p w14:paraId="299925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38B29F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152AFB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1BCCC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507F92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19B011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00C252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397BF8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395D07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 w14:paraId="484CEA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202FA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35D74E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74C27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3DBC14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7344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02B9B2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03CE4D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24920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color="000000" w:sz="10" w:space="0"/>
            </w:tcBorders>
          </w:tcPr>
          <w:p w14:paraId="3964A8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color="000000" w:sz="10" w:space="0"/>
              <w:right w:val="single" w:color="000000" w:sz="10" w:space="0"/>
            </w:tcBorders>
          </w:tcPr>
          <w:p w14:paraId="2EA43A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4D6029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862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6646B9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B313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_Toc2022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70EE9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_Toc17629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A8A006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（HXDL-ITSS-0810）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7C635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_Toc26147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_Toc26147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D038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_Toc5354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_Toc5354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0A101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_Toc11659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服务职责概述</w:t>
          </w:r>
          <w:r>
            <w:tab/>
          </w:r>
          <w:r>
            <w:fldChar w:fldCharType="begin"/>
          </w:r>
          <w:r>
            <w:instrText xml:space="preserve"> PAGEREF _Toc11659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D42B4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_Toc20983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服务模式概述</w:t>
          </w:r>
          <w:r>
            <w:tab/>
          </w:r>
          <w:r>
            <w:fldChar w:fldCharType="begin"/>
          </w:r>
          <w:r>
            <w:instrText xml:space="preserve"> PAGEREF _Toc20983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DA35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_Toc16950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工具与记录</w:t>
          </w:r>
          <w:r>
            <w:tab/>
          </w:r>
          <w:r>
            <w:fldChar w:fldCharType="begin"/>
          </w:r>
          <w:r>
            <w:instrText xml:space="preserve"> PAGEREF _Toc16950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8983E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_Toc8100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智能一体化运维支撑平台 SG-I6000</w:t>
          </w:r>
          <w:r>
            <w:tab/>
          </w:r>
          <w:r>
            <w:fldChar w:fldCharType="begin"/>
          </w:r>
          <w:r>
            <w:instrText xml:space="preserve"> PAGEREF _Toc8100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CAC14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_Toc26827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DD0B1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_Toc25907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监督与管理</w:t>
          </w:r>
          <w:r>
            <w:tab/>
          </w:r>
          <w:r>
            <w:fldChar w:fldCharType="begin"/>
          </w:r>
          <w:r>
            <w:instrText xml:space="preserve"> PAGEREF _Toc25907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9AAB5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_Toc13270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服务台工作情况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6CDB7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_Toc23049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服务热线工作情况</w:t>
          </w:r>
          <w:r>
            <w:tab/>
          </w:r>
          <w:r>
            <w:fldChar w:fldCharType="begin"/>
          </w:r>
          <w:r>
            <w:instrText xml:space="preserve"> PAGEREF _Toc23049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BA412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_Toc22539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即时通讯渠道</w:t>
          </w:r>
          <w:r>
            <w:tab/>
          </w:r>
          <w:r>
            <w:fldChar w:fldCharType="begin"/>
          </w:r>
          <w:r>
            <w:instrText xml:space="preserve"> PAGEREF _Toc22539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93564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KPI完成情况</w:t>
          </w:r>
          <w:r>
            <w:tab/>
          </w:r>
          <w:r>
            <w:fldChar w:fldCharType="begin"/>
          </w:r>
          <w:r>
            <w:instrText xml:space="preserve"> PAGEREF _Toc22378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57FDEE">
          <w:r>
            <w:fldChar w:fldCharType="end"/>
          </w:r>
        </w:p>
      </w:sdtContent>
    </w:sdt>
    <w:p w14:paraId="39BFEF93"/>
    <w:p w14:paraId="67C14B29">
      <w:r>
        <w:br w:type="page"/>
      </w:r>
    </w:p>
    <w:p w14:paraId="31C6B97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5354"/>
      <w:r>
        <w:t>服务台职责</w:t>
      </w:r>
      <w:bookmarkEnd w:id="4"/>
    </w:p>
    <w:p w14:paraId="4FDF22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1659"/>
      <w:r>
        <w:t>服务职责概述</w:t>
      </w:r>
      <w:bookmarkEnd w:id="5"/>
    </w:p>
    <w:p w14:paraId="0B1F99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主要</w:t>
      </w:r>
      <w:r>
        <w:rPr>
          <w:rFonts w:hint="eastAsia"/>
          <w:lang w:val="en-US" w:eastAsia="zh-CN"/>
        </w:rPr>
        <w:t>工作内容如下：</w:t>
      </w:r>
    </w:p>
    <w:p w14:paraId="6CF1C5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lang w:val="en-US" w:eastAsia="zh-CN"/>
        </w:rPr>
      </w:pPr>
      <w:r>
        <w:rPr>
          <w:lang w:val="en-US" w:eastAsia="zh-CN"/>
        </w:rPr>
        <w:t>受理公司</w:t>
      </w:r>
      <w:r>
        <w:rPr>
          <w:rFonts w:hint="eastAsia"/>
          <w:lang w:val="en-US" w:eastAsia="zh-CN"/>
        </w:rPr>
        <w:t>电缆线路检测、通信机感知</w:t>
      </w:r>
      <w:bookmarkStart w:id="20" w:name="_GoBack"/>
      <w:bookmarkEnd w:id="20"/>
      <w:r>
        <w:rPr>
          <w:lang w:val="en-US" w:eastAsia="zh-CN"/>
        </w:rPr>
        <w:t>类信息系统的业务应用问题；</w:t>
      </w:r>
    </w:p>
    <w:p w14:paraId="16ED6C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负责省公司本部行政电话查号、报装、维修以及桌面终端和网络的使用问题处理。</w:t>
      </w:r>
    </w:p>
    <w:p w14:paraId="2442E8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完成相关数据统计任务，为系统稳定运行提供支撑。</w:t>
      </w:r>
    </w:p>
    <w:p w14:paraId="1185F5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0983"/>
      <w:r>
        <w:t>服务模式概述</w:t>
      </w:r>
      <w:bookmarkEnd w:id="6"/>
    </w:p>
    <w:p w14:paraId="42258D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</w:t>
      </w:r>
      <w:r>
        <w:rPr>
          <w:lang w:val="en-US" w:eastAsia="zh-CN"/>
        </w:rPr>
        <w:t>实行“7×24小时服务响应+5×8小时值班”的双重保障制度，通过电话、邮件、客服网站等多渠道受理信息通信用户的服务请求。非工作时日，由应急坐席（通常为监控组值班员）专门对接客户的紧急业务需求，确保服务不中断。</w:t>
      </w:r>
    </w:p>
    <w:p w14:paraId="06B21A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针对客户来电，系统会依据服务请求的业务类别，通过语音导航与自动识别功能，精准引导至对应业务坐席，由</w:t>
      </w: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进行受理与解答。若坐席无法直接解决问题，将以派发工单的形式转交二线运维人员处理，并同步跟踪运维结果，及时反馈给客户，形成“受理-处理-反馈”的闭环管理。对于客户桌面终端的服务请求，系统则会引导至各公司远程坐席进行专属受理。</w:t>
      </w:r>
    </w:p>
    <w:p w14:paraId="1CC7CC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实行7×24小时不间断值班制度，采用四班二运转模式，每班配置信息、通信值班员各1名。值班员通过实时监视与周期巡视相结合的方式，及时捕捉系统异常情况并第一时间告知值长；在值长的监督指导下，开展业务影响情况核查、通知上传下达及数据统计分析等后续工作。</w:t>
      </w:r>
    </w:p>
    <w:p w14:paraId="3320386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6950"/>
      <w:r>
        <w:t>工具与记录</w:t>
      </w:r>
      <w:bookmarkEnd w:id="7"/>
      <w:bookmarkEnd w:id="8"/>
    </w:p>
    <w:p w14:paraId="6F3C70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服务台日常运营依赖专业工具平台支撑，核心工具及用途如下：</w:t>
      </w:r>
    </w:p>
    <w:p w14:paraId="077EC20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8100"/>
      <w:r>
        <w:t>智能一体化运维支撑平台 SG-I6000</w:t>
      </w:r>
      <w:bookmarkEnd w:id="9"/>
    </w:p>
    <w:p w14:paraId="61A74CC9">
      <w:pPr>
        <w:pStyle w:val="31"/>
        <w:bidi w:val="0"/>
        <w:rPr>
          <w:rFonts w:hint="eastAsia"/>
          <w:lang w:val="en-US" w:eastAsia="zh-CN"/>
        </w:rPr>
      </w:pPr>
      <w:bookmarkStart w:id="10" w:name="_Toc26827"/>
      <w:r>
        <w:rPr>
          <w:rFonts w:hint="eastAsia"/>
          <w:lang w:val="en-US" w:eastAsia="zh-CN"/>
        </w:rPr>
        <w:t>服务台</w:t>
      </w:r>
      <w:bookmarkEnd w:id="10"/>
    </w:p>
    <w:p w14:paraId="24FD454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  <w:szCs w:val="24"/>
        </w:rPr>
      </w:pPr>
      <w:r>
        <w:drawing>
          <wp:inline distT="0" distB="0" distL="114300" distR="114300">
            <wp:extent cx="4653280" cy="2230755"/>
            <wp:effectExtent l="0" t="0" r="10160" b="952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50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台作为信息部门和服务客户之间的唯一联系点，提供了一个化被动管理为主动管理的有效工具，它既可以响应客户的询问和请求，也可以解决客户的故障和疑问，对事件的处理过程进行全面监控，提高事件的处理效率和客户的满意度。</w:t>
      </w:r>
    </w:p>
    <w:p w14:paraId="66FBE2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台提供受理服务请求的功能，基于客户提交的服务请求，依据统一的紧急度、影响度、优先级判断标准，将服务请求转化为事件工单，并按匹配的服务目录分配给运维团队支持。对于处理中的事件工单，服务台支持跟踪工单处理过程，支持按需进行干预（如更换处理人、强制接管、强制完成）或挂起（主要针对因客观原因无法继续处理的工单），确保服务质量。</w:t>
      </w:r>
    </w:p>
    <w:p w14:paraId="39B037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cs="宋体"/>
          <w:szCs w:val="24"/>
        </w:rPr>
      </w:pPr>
      <w:r>
        <w:rPr>
          <w:rFonts w:hint="eastAsia"/>
        </w:rPr>
        <w:t>服务台目的是为了加强客户与IT服务管理之间的联系，并作为IT服务部门与客户之间的连接点。服务台可以根据客户的简单查询需求调用IT服务管理系统中已有资源或解决方案，为客户提供自助服务并自我解决部分事件；同时，服务台亦承担收集并记录客户提交的服务请求，创建并维护与事件或服务请求相关的针对性记录，并由此启动“事件管理流程”。</w:t>
      </w:r>
    </w:p>
    <w:p w14:paraId="50E3E8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 w:ascii="宋体" w:hAnsi="宋体" w:cs="宋体"/>
          <w:sz w:val="24"/>
          <w:szCs w:val="24"/>
        </w:rPr>
      </w:pPr>
      <w:r>
        <w:drawing>
          <wp:inline distT="0" distB="0" distL="114300" distR="114300">
            <wp:extent cx="4137660" cy="1477645"/>
            <wp:effectExtent l="0" t="0" r="7620" b="635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A9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  <w:rPr>
          <w:rFonts w:hint="eastAsia"/>
        </w:rPr>
      </w:pPr>
      <w:r>
        <w:rPr>
          <w:rFonts w:hint="eastAsia"/>
        </w:rPr>
        <w:t>填写故障单</w:t>
      </w:r>
    </w:p>
    <w:p w14:paraId="5BCE3EE2"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eastAsia"/>
        </w:rPr>
      </w:pPr>
    </w:p>
    <w:p w14:paraId="762AF482"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70500" cy="2903220"/>
            <wp:effectExtent l="0" t="0" r="254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6176"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70500" cy="2914650"/>
            <wp:effectExtent l="0" t="0" r="254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FFF3"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sz w:val="24"/>
          <w:szCs w:val="24"/>
        </w:rPr>
      </w:pPr>
      <w:r>
        <w:rPr>
          <w:rFonts w:hint="eastAsia"/>
        </w:rPr>
        <w:t>填写故障内容，处理完成</w:t>
      </w:r>
    </w:p>
    <w:p w14:paraId="3BE6CB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5907"/>
      <w:r>
        <w:t>监督与管理</w:t>
      </w:r>
      <w:bookmarkEnd w:id="11"/>
      <w:bookmarkEnd w:id="12"/>
    </w:p>
    <w:p w14:paraId="7D7E7B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服务台不仅是运维服务的前端窗口，更是运维服务能力与质量管理的关键环节，其在运维管控中的作用主要体现在以下方面：</w:t>
      </w:r>
    </w:p>
    <w:p w14:paraId="4B5642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全程监控事件处理进程，通过及时协调技术、人力等各方资源，有效缩短事件解决周期，提升服务效率。</w:t>
      </w:r>
    </w:p>
    <w:p w14:paraId="101A33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系统收集与统计运维服务能力指标数据，主动与客户就指标达成情况进行沟通，并将数据作为运维服务绩效考核的核心依据。</w:t>
      </w:r>
    </w:p>
    <w:p w14:paraId="55494D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针对绩效考核结果中不理想的指标，组织客户、运维团队开展联合分析，精准定位问题根源，提出针对性改进措施或设立专项改进任务，并推动落地实施。</w:t>
      </w:r>
    </w:p>
    <w:p w14:paraId="586899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跟踪改进措施的执行结果，完成效果确认与经验总结，同时组织开展经验巩固与推广工作，实现运维服务能力的持续提升。</w:t>
      </w:r>
    </w:p>
    <w:p w14:paraId="026DACD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3270"/>
      <w:bookmarkStart w:id="14" w:name="heading_7"/>
      <w:r>
        <w:t>服务台工作情况</w:t>
      </w:r>
      <w:bookmarkEnd w:id="13"/>
      <w:bookmarkEnd w:id="14"/>
    </w:p>
    <w:p w14:paraId="078688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1月</w:t>
      </w:r>
      <w:r>
        <w:t>，服务台围绕客户需求扎实开展工作，各项工作指标表现良好，具体情况如下：</w:t>
      </w:r>
    </w:p>
    <w:p w14:paraId="097EDE5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8"/>
      <w:bookmarkStart w:id="16" w:name="_Toc23049"/>
      <w:r>
        <w:t>服务热线工作情况</w:t>
      </w:r>
      <w:bookmarkEnd w:id="15"/>
      <w:bookmarkEnd w:id="16"/>
    </w:p>
    <w:p w14:paraId="66CAE0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累计受理客户各类申告、咨询</w:t>
      </w:r>
      <w:r>
        <w:rPr>
          <w:rFonts w:hint="eastAsia"/>
          <w:lang w:val="en-US" w:eastAsia="zh-CN"/>
        </w:rPr>
        <w:t>200余件，全部处理回复</w:t>
      </w:r>
      <w:r>
        <w:t>，实现问题“件件有回音、事事有着落”。</w:t>
      </w:r>
    </w:p>
    <w:p w14:paraId="682F5C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服务台在20秒内接通</w:t>
      </w:r>
      <w:r>
        <w:t>，有效避免客户长时间等待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提高客户满意度</w:t>
      </w:r>
      <w:r>
        <w:t>。</w:t>
      </w:r>
    </w:p>
    <w:p w14:paraId="5ED8AC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截止目前</w:t>
      </w:r>
      <w:r>
        <w:t>受理到客户投诉，客户满意度保持高位，服务质量获得认可。</w:t>
      </w:r>
    </w:p>
    <w:p w14:paraId="19D483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9"/>
      <w:bookmarkStart w:id="18" w:name="_Toc22539"/>
      <w:r>
        <w:t>即时通讯渠道</w:t>
      </w:r>
      <w:bookmarkEnd w:id="17"/>
      <w:bookmarkEnd w:id="18"/>
    </w:p>
    <w:p w14:paraId="73E16B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通过即时通讯渠道受理各类客户申告</w:t>
      </w:r>
      <w:r>
        <w:rPr>
          <w:rFonts w:hint="eastAsia"/>
          <w:lang w:val="en-US" w:eastAsia="zh-CN"/>
        </w:rPr>
        <w:t>130</w:t>
      </w:r>
      <w:r>
        <w:t>单，其中操作咨询类问题占比</w:t>
      </w:r>
      <w:r>
        <w:rPr>
          <w:rFonts w:hint="eastAsia"/>
          <w:lang w:val="en-US" w:eastAsia="zh-CN"/>
        </w:rPr>
        <w:t>较高</w:t>
      </w:r>
      <w:r>
        <w:t>，反映出客户对系统操作指导的需求较为集中，为后续</w:t>
      </w:r>
      <w:r>
        <w:rPr>
          <w:rFonts w:hint="eastAsia"/>
          <w:lang w:val="en-US" w:eastAsia="zh-CN"/>
        </w:rPr>
        <w:t>服务知识</w:t>
      </w:r>
      <w:r>
        <w:t>优化与针对性培训提供了方向。</w:t>
      </w:r>
    </w:p>
    <w:p w14:paraId="7CEF72D8">
      <w:pPr>
        <w:pStyle w:val="30"/>
        <w:bidi w:val="0"/>
        <w:rPr>
          <w:rFonts w:hint="eastAsia"/>
          <w:lang w:val="en-US" w:eastAsia="zh-CN"/>
        </w:rPr>
      </w:pPr>
      <w:bookmarkStart w:id="19" w:name="_Toc22378"/>
      <w:r>
        <w:rPr>
          <w:rFonts w:hint="eastAsia"/>
          <w:lang w:val="en-US" w:eastAsia="zh-CN"/>
        </w:rPr>
        <w:t>KPI完成情况</w:t>
      </w:r>
      <w:bookmarkEnd w:id="19"/>
    </w:p>
    <w:p w14:paraId="4BD643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截止2026年1月份的服务台事件共320件，回访320件，回访率达到100%，满足KPI指标要求的服务台回访率≥95%的指标。</w:t>
      </w:r>
    </w:p>
    <w:p w14:paraId="3ACFA3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统计2025年第三和四季度的服务台派单成功率得出，派单成功率分别是95%和100%。满足KPI指标要求的每季度</w:t>
      </w:r>
      <w:r>
        <w:rPr>
          <w:spacing w:val="-3"/>
          <w:sz w:val="24"/>
          <w:szCs w:val="24"/>
        </w:rPr>
        <w:t>服务台派单成功</w:t>
      </w:r>
      <w:r>
        <w:rPr>
          <w:sz w:val="24"/>
          <w:szCs w:val="24"/>
        </w:rPr>
        <w:t>率</w:t>
      </w:r>
      <w:r>
        <w:rPr>
          <w:rFonts w:hint="eastAsia"/>
          <w:lang w:val="en-US" w:eastAsia="zh-CN"/>
        </w:rPr>
        <w:t>≥95%的指标并且呈上升趋势。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4521E3"/>
    <w:rsid w:val="20A34C1D"/>
    <w:rsid w:val="2C0066CB"/>
    <w:rsid w:val="32543208"/>
    <w:rsid w:val="346D42FC"/>
    <w:rsid w:val="3DB66B25"/>
    <w:rsid w:val="48934632"/>
    <w:rsid w:val="49153299"/>
    <w:rsid w:val="4DE2168A"/>
    <w:rsid w:val="4FEF0EC8"/>
    <w:rsid w:val="545C4D54"/>
    <w:rsid w:val="6422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1882</Words>
  <Characters>2062</Characters>
  <Lines>0</Lines>
  <Paragraphs>0</Paragraphs>
  <TotalTime>2</TotalTime>
  <ScaleCrop>false</ScaleCrop>
  <LinksUpToDate>false</LinksUpToDate>
  <CharactersWithSpaces>2120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2026-03-10T10:58:16Z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A7B0DB8F1B344033B028922772E6E9C0_13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