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8BBBA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194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16B3E363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8335"/>
      <w:r>
        <w:rPr>
          <w:rFonts w:hint="eastAsia"/>
          <w:lang w:val="en-US" w:eastAsia="zh-CN"/>
        </w:rPr>
        <w:t>天津市电力公司110kV变电站电力监控系统网络安全态势感知系统建设-项目实施计划（HXDL-ITSS-0903）</w:t>
      </w:r>
      <w:bookmarkEnd w:id="1"/>
    </w:p>
    <w:p w14:paraId="55C92E36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1B20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B3680CF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6264107C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2A10D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77535B9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C088ABA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449F9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FDBD5D2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4A07F2FF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 w14:paraId="4E762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D4EB73B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2493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0D0988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38D2B84E">
            <w:pPr>
              <w:spacing w:line="350" w:lineRule="auto"/>
              <w:rPr>
                <w:rFonts w:ascii="Arial"/>
                <w:sz w:val="21"/>
              </w:rPr>
            </w:pPr>
          </w:p>
          <w:p w14:paraId="5A2B5DD8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B0FB659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51193D8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9CD21F0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5BA003F">
            <w:pPr>
              <w:spacing w:line="350" w:lineRule="auto"/>
              <w:rPr>
                <w:rFonts w:ascii="Arial"/>
                <w:sz w:val="21"/>
              </w:rPr>
            </w:pPr>
          </w:p>
          <w:p w14:paraId="1EAC6DE1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2867D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565F965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3F9182D2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6486918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D0387C7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708BBD11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F1F2883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02C246D5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47D1B295">
            <w:pPr>
              <w:rPr>
                <w:rFonts w:ascii="Arial"/>
                <w:sz w:val="21"/>
              </w:rPr>
            </w:pPr>
          </w:p>
        </w:tc>
      </w:tr>
      <w:tr w14:paraId="77B494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FFA935B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4A7A950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15639B61">
            <w:pPr>
              <w:pStyle w:val="27"/>
              <w:spacing w:before="230" w:line="237" w:lineRule="auto"/>
              <w:ind w:left="104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 w14:paraId="34DE5AC7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23C70333">
            <w:pPr>
              <w:pStyle w:val="27"/>
              <w:spacing w:before="230" w:line="237" w:lineRule="auto"/>
              <w:ind w:left="161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 w14:paraId="6C75FA48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49941AE9">
            <w:pPr>
              <w:pStyle w:val="27"/>
              <w:spacing w:before="230" w:line="237" w:lineRule="auto"/>
              <w:ind w:left="220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3F5EDE5E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61769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52A8FE9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AD5F297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1DB24220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D19030C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215AA624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27080DF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070BFFC6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73ECDBA">
            <w:pPr>
              <w:pStyle w:val="27"/>
              <w:spacing w:before="152" w:line="219" w:lineRule="auto"/>
              <w:ind w:left="436"/>
            </w:pPr>
          </w:p>
        </w:tc>
      </w:tr>
      <w:tr w14:paraId="5BD3A6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0317F142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30CF735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6A89C0B1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4C832A81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50A41805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49F3A6FA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5C07D755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129AA067">
            <w:pPr>
              <w:pStyle w:val="27"/>
              <w:spacing w:before="157" w:line="219" w:lineRule="auto"/>
              <w:ind w:left="436"/>
            </w:pPr>
          </w:p>
        </w:tc>
      </w:tr>
    </w:tbl>
    <w:p w14:paraId="33400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7087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5F745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1714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_Toc1947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_Toc1947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FFAFFD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天津市电力公司110kV变电站电力监控系统网络安全态势感知系统建设-项目实施计划（HXDL-ITSS-0903）</w:t>
          </w:r>
          <w:r>
            <w:tab/>
          </w:r>
          <w:r>
            <w:fldChar w:fldCharType="begin"/>
          </w:r>
          <w:r>
            <w:instrText xml:space="preserve"> PAGEREF _Toc28335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57A1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_Toc24938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_Toc24938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AEFDE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项目总览与目标</w:t>
          </w:r>
          <w:r>
            <w:tab/>
          </w:r>
          <w:r>
            <w:fldChar w:fldCharType="begin"/>
          </w:r>
          <w:r>
            <w:instrText xml:space="preserve"> PAGEREF _Toc16318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DBB96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项目组织与职责矩阵</w:t>
          </w:r>
          <w:r>
            <w:tab/>
          </w:r>
          <w:r>
            <w:fldChar w:fldCharType="begin"/>
          </w:r>
          <w:r>
            <w:instrText xml:space="preserve"> PAGEREF _Toc13794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0850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详细实施阶段与任务分解</w:t>
          </w:r>
          <w:r>
            <w:tab/>
          </w:r>
          <w:r>
            <w:fldChar w:fldCharType="begin"/>
          </w:r>
          <w:r>
            <w:instrText xml:space="preserve"> PAGEREF _Toc16903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9907D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第一阶段：项目启动与蓝图设计</w:t>
          </w:r>
          <w:r>
            <w:tab/>
          </w:r>
          <w:r>
            <w:fldChar w:fldCharType="begin"/>
          </w:r>
          <w:r>
            <w:instrText xml:space="preserve"> PAGEREF _Toc11286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BFC05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第二阶段：平台部署与数据接入 (2025.</w:t>
          </w:r>
          <w:r>
            <w:rPr>
              <w:rFonts w:hint="eastAsia"/>
              <w:lang w:val="en-US" w:eastAsia="zh-CN"/>
            </w:rPr>
            <w:t>10</w:t>
          </w:r>
          <w:r>
            <w:rPr>
              <w:rFonts w:hint="default"/>
              <w:lang w:val="en-US" w:eastAsia="zh-CN"/>
            </w:rPr>
            <w:t>.08 - 2025.</w:t>
          </w:r>
          <w:r>
            <w:rPr>
              <w:rFonts w:hint="eastAsia"/>
              <w:lang w:val="en-US" w:eastAsia="zh-CN"/>
            </w:rPr>
            <w:t>12</w:t>
          </w:r>
          <w:r>
            <w:rPr>
              <w:rFonts w:hint="default"/>
              <w:lang w:val="en-US" w:eastAsia="zh-CN"/>
            </w:rPr>
            <w:t>.19)</w:t>
          </w:r>
          <w:r>
            <w:tab/>
          </w:r>
          <w:r>
            <w:fldChar w:fldCharType="begin"/>
          </w:r>
          <w:r>
            <w:instrText xml:space="preserve"> PAGEREF _Toc29665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EE414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第三阶段：功能实现与策略调优 (2026.01.02 - 2026.02.28)</w:t>
          </w:r>
          <w:r>
            <w:tab/>
          </w:r>
          <w:r>
            <w:fldChar w:fldCharType="begin"/>
          </w:r>
          <w:r>
            <w:instrText xml:space="preserve"> PAGEREF _Toc13899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9ABB3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第四阶段：系统试运行与优化 (2026.03.01 - 2026.03.31)</w:t>
          </w:r>
          <w:r>
            <w:tab/>
          </w:r>
          <w:r>
            <w:fldChar w:fldCharType="begin"/>
          </w:r>
          <w:r>
            <w:instrText xml:space="preserve"> PAGEREF _Toc24220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B72BAB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第五阶段：项目收尾与验收交付 (2026.04.01 - 2026.04.30)</w:t>
          </w:r>
          <w:r>
            <w:tab/>
          </w:r>
          <w:r>
            <w:fldChar w:fldCharType="begin"/>
          </w:r>
          <w:r>
            <w:instrText xml:space="preserve"> PAGEREF _Toc8233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21C66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风险管理计划</w:t>
          </w:r>
          <w:r>
            <w:tab/>
          </w:r>
          <w:r>
            <w:fldChar w:fldCharType="begin"/>
          </w:r>
          <w:r>
            <w:instrText xml:space="preserve"> PAGEREF _Toc20599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BE648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沟通管理计划</w:t>
          </w:r>
          <w:r>
            <w:tab/>
          </w:r>
          <w:r>
            <w:fldChar w:fldCharType="begin"/>
          </w:r>
          <w:r>
            <w:instrText xml:space="preserve"> PAGEREF _Toc13150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C8E79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交付成果清单</w:t>
          </w:r>
          <w:r>
            <w:tab/>
          </w:r>
          <w:r>
            <w:fldChar w:fldCharType="begin"/>
          </w:r>
          <w:r>
            <w:instrText xml:space="preserve"> PAGEREF _Toc30500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17F823">
          <w:r>
            <w:fldChar w:fldCharType="end"/>
          </w:r>
        </w:p>
      </w:sdtContent>
    </w:sdt>
    <w:p w14:paraId="31BF72B4"/>
    <w:p w14:paraId="179EB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7E6DF96">
      <w:pPr>
        <w:pStyle w:val="28"/>
        <w:bidi w:val="0"/>
        <w:rPr>
          <w:rFonts w:hint="default"/>
          <w:lang w:val="en-US" w:eastAsia="zh-CN"/>
        </w:rPr>
      </w:pPr>
      <w:bookmarkStart w:id="3" w:name="_Toc16318"/>
      <w:r>
        <w:rPr>
          <w:rFonts w:hint="default"/>
          <w:lang w:val="en-US" w:eastAsia="zh-CN"/>
        </w:rPr>
        <w:t>项目总览与目标</w:t>
      </w:r>
      <w:bookmarkEnd w:id="3"/>
    </w:p>
    <w:p w14:paraId="3E147CC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本计划旨在为“</w:t>
      </w:r>
      <w:r>
        <w:rPr>
          <w:rFonts w:hint="eastAsia"/>
          <w:lang w:val="en-US" w:eastAsia="zh-CN"/>
        </w:rPr>
        <w:t>天津市电力公司</w:t>
      </w:r>
      <w:r>
        <w:rPr>
          <w:rFonts w:hint="default"/>
          <w:lang w:val="en-US" w:eastAsia="zh-CN"/>
        </w:rPr>
        <w:t>110kV变电站电力监控系统网络安全态势感知系统建设项目”提供详尽的行动路线图与执行基准。项目旨在构建一套技术先进、贴合业务、持续运营的网络安全主动防御体系。本计划将项目生命周期划分为五个阶段，明确各阶段的任务、产出、责任分工与时间节点，确保项目于 2026年4月30日前 高质量完成交付与验收。</w:t>
      </w:r>
    </w:p>
    <w:p w14:paraId="1C61794F">
      <w:pPr>
        <w:pStyle w:val="28"/>
        <w:bidi w:val="0"/>
        <w:rPr>
          <w:rFonts w:hint="default"/>
          <w:lang w:val="en-US" w:eastAsia="zh-CN"/>
        </w:rPr>
      </w:pPr>
      <w:bookmarkStart w:id="4" w:name="_Toc13794"/>
      <w:r>
        <w:rPr>
          <w:rFonts w:hint="default"/>
          <w:lang w:val="en-US" w:eastAsia="zh-CN"/>
        </w:rPr>
        <w:t>项目组织与职责矩阵</w:t>
      </w:r>
      <w:bookmarkEnd w:id="4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2245"/>
        <w:gridCol w:w="2686"/>
        <w:gridCol w:w="2546"/>
      </w:tblGrid>
      <w:tr w14:paraId="2EE3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F4DC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0E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（总包方）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813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 (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天津市华夏电缆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5B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天津市电力公司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 xml:space="preserve"> (业主方)</w:t>
            </w:r>
          </w:p>
        </w:tc>
      </w:tr>
      <w:tr w14:paraId="0738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3167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领导小组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54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负责项目整体协调、资源保障、重大决策审批。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CC7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承担项目总体交付责任，对技术方案与最终成果负责。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7A81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提出核心需求，审批总体方案与里程碑，组织最终验收。</w:t>
            </w:r>
          </w:p>
        </w:tc>
      </w:tr>
      <w:tr w14:paraId="6A0D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B56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7E2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作为甲方总代表，负责需求确认、进度监督、内外部协调及验收组织。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4D1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负责计划的全面执行、团队管理、风险控制、沟通汇报及交付物管理。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E07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指定业务接口人，参与关键节点评审，监督项目符合业务与安全要求。</w:t>
            </w:r>
          </w:p>
        </w:tc>
      </w:tr>
      <w:tr w14:paraId="76CA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57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D41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提供必要的技术资料与环境访问权限，配合进行联调测试与业务验证。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3B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负责系统设计、部署、配置、开发、测试、调优等全部技术实施工作。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BE0E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审核技术方案的安全性与合规性，参与系统功能与性能测试。</w:t>
            </w:r>
          </w:p>
        </w:tc>
      </w:tr>
      <w:tr w14:paraId="6D10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4FB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D4A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派员全程参与，为后续运维接管做准备。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90C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提供全面的知识转移培训，交付完整运维文档与工具。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8872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确认培训效果与运维文档的适用性。</w:t>
            </w:r>
          </w:p>
        </w:tc>
      </w:tr>
    </w:tbl>
    <w:p w14:paraId="032425A9">
      <w:pPr>
        <w:pStyle w:val="29"/>
        <w:bidi w:val="0"/>
        <w:rPr>
          <w:rFonts w:hint="default"/>
          <w:lang w:val="en-US" w:eastAsia="zh-CN"/>
        </w:rPr>
      </w:pPr>
    </w:p>
    <w:p w14:paraId="7A6C5944">
      <w:pPr>
        <w:pStyle w:val="28"/>
        <w:bidi w:val="0"/>
        <w:rPr>
          <w:rFonts w:hint="default"/>
          <w:lang w:val="en-US" w:eastAsia="zh-CN"/>
        </w:rPr>
      </w:pPr>
      <w:bookmarkStart w:id="5" w:name="_Toc16903"/>
      <w:r>
        <w:rPr>
          <w:rFonts w:hint="default"/>
          <w:lang w:val="en-US" w:eastAsia="zh-CN"/>
        </w:rPr>
        <w:t>详细实施阶段与任务分解</w:t>
      </w:r>
      <w:bookmarkEnd w:id="5"/>
    </w:p>
    <w:p w14:paraId="2F61CEF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本计划严格遵循总体技术架构，划分为五个循序渐进的阶段。</w:t>
      </w:r>
    </w:p>
    <w:p w14:paraId="1F79577F">
      <w:pPr>
        <w:pStyle w:val="30"/>
        <w:bidi w:val="0"/>
        <w:rPr>
          <w:rFonts w:hint="default"/>
          <w:lang w:val="en-US" w:eastAsia="zh-CN"/>
        </w:rPr>
      </w:pPr>
      <w:bookmarkStart w:id="6" w:name="_Toc11286"/>
      <w:r>
        <w:rPr>
          <w:rFonts w:hint="default"/>
          <w:lang w:val="en-US" w:eastAsia="zh-CN"/>
        </w:rPr>
        <w:t>第一阶段：项目启动与蓝图设计</w:t>
      </w:r>
      <w:bookmarkEnd w:id="6"/>
      <w:r>
        <w:rPr>
          <w:rFonts w:hint="eastAsia"/>
          <w:lang w:val="en-US" w:eastAsia="zh-CN"/>
        </w:rPr>
        <w:t>（2025.08-2025.09</w:t>
      </w:r>
      <w:bookmarkStart w:id="14" w:name="_GoBack"/>
      <w:bookmarkEnd w:id="14"/>
      <w:r>
        <w:rPr>
          <w:rFonts w:hint="eastAsia"/>
          <w:lang w:val="en-US" w:eastAsia="zh-CN"/>
        </w:rPr>
        <w:t>）</w:t>
      </w:r>
    </w:p>
    <w:p w14:paraId="665790F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完成项目初始化，明确需求细节，输出指导后续工作的详细设计方案。</w:t>
      </w:r>
    </w:p>
    <w:p w14:paraId="45C17977">
      <w:pPr>
        <w:pStyle w:val="29"/>
        <w:bidi w:val="0"/>
        <w:rPr>
          <w:rFonts w:hint="default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1599"/>
        <w:gridCol w:w="2242"/>
        <w:gridCol w:w="1612"/>
        <w:gridCol w:w="1027"/>
        <w:gridCol w:w="1187"/>
      </w:tblGrid>
      <w:tr w14:paraId="234E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34B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4FF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0BB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82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FD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547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12EF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E84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6C4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项目启动与开工会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643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明确项目目标、范围、组织、沟通机制及本计划评审。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1CA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《项目启动会纪要》、《项目章程》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AE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67F1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2025.08.01 - 08.02</w:t>
            </w:r>
          </w:p>
        </w:tc>
      </w:tr>
      <w:tr w14:paraId="3EBE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DC1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283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现状与需求深度调研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B80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走访关键站点，访谈相关业务与技术人员，收集网络拓扑、资产列表、安全策略等资料。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30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《现状调研报告》、《详细需求规格说明书》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72F7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乙方主导，甲方配合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219C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2025.08.05 - 08.16</w:t>
            </w:r>
          </w:p>
        </w:tc>
      </w:tr>
      <w:tr w14:paraId="4508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1E2E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6DC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A22E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完成技术架构、部署架构、数据流、功能模块、接口及安全设计的详细方案。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0C9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《系统详细设计说明书》(含架构图)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0D1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58F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2025.08.19 - 09.06</w:t>
            </w:r>
          </w:p>
        </w:tc>
      </w:tr>
      <w:tr w14:paraId="2E56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43E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905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F42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组织甲方、业主方进行多轮技术方案评审，并根据意见修改完善。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835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经三方签字确认的《详细设计说明书》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CAC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17F1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2025.09.09 - 09.30</w:t>
            </w:r>
          </w:p>
        </w:tc>
      </w:tr>
      <w:tr w14:paraId="1E4A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43D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39D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蓝图设计获得正式批准，项目进入实质性建设阶段。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4EFA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261D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132BD1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49AF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02497165">
      <w:pPr>
        <w:pStyle w:val="30"/>
        <w:bidi w:val="0"/>
        <w:rPr>
          <w:rFonts w:hint="default"/>
          <w:lang w:val="en-US" w:eastAsia="zh-CN"/>
        </w:rPr>
      </w:pPr>
      <w:bookmarkStart w:id="7" w:name="_Toc29665"/>
      <w:r>
        <w:rPr>
          <w:rFonts w:hint="default"/>
          <w:lang w:val="en-US" w:eastAsia="zh-CN"/>
        </w:rPr>
        <w:t>第二阶段：平台部署与数据接入 (2025.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.08 - 2025.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.19)</w:t>
      </w:r>
      <w:bookmarkEnd w:id="7"/>
    </w:p>
    <w:p w14:paraId="59F9B3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完成软硬件基础环境搭建，实现核心平台部署与首批关键数据源接入。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1878"/>
        <w:gridCol w:w="1984"/>
        <w:gridCol w:w="1563"/>
        <w:gridCol w:w="1082"/>
        <w:gridCol w:w="1177"/>
      </w:tblGrid>
      <w:tr w14:paraId="55E5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83A5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E6D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887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E59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8D5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B9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55A1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083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20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硬件环境准备与部署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48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完成服务器、存储、网络设备的上架、加电、网络配置及系统初始化安装。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91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《硬件部署报告》、《系统环境检查清单》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0B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乙方执行，甲方提供环境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B678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.08 - 10.25</w:t>
            </w:r>
          </w:p>
        </w:tc>
      </w:tr>
      <w:tr w14:paraId="07277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9B7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FCB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态势感知平台软件部署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A6F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安装部署大数据平台、分析引擎、可视化平台等核心软件组件。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92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《软件部署手册》、《平台安装报告》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DD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955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.28 - 11.08</w:t>
            </w:r>
          </w:p>
        </w:tc>
      </w:tr>
      <w:tr w14:paraId="7D62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7199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5C8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采集探针部署与调试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3B8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在指定网络节点及服务器上部署流量探针或日志代理，完成数据采集调试。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463D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《采集点部署清单》、《数据接入测试报告》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0BF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乙方执行，甲方协调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E16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.11 - 12.06</w:t>
            </w:r>
          </w:p>
        </w:tc>
      </w:tr>
      <w:tr w14:paraId="48FA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78D2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51C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基础数据接入与标准化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15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配置日志解析规则，实现网络设备、安全设备等首批日志的标准化接入与处理。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5CC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《数据标准化规范》、《数据接入验证报告》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4C7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788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.09 - 12.19</w:t>
            </w:r>
          </w:p>
        </w:tc>
      </w:tr>
      <w:tr w14:paraId="024C1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4E6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3D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核心平台运行正常，具备基础数据接入与分析能力，完成内部功能联调。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686A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F753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6A69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A94E4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3C330372">
      <w:pPr>
        <w:pStyle w:val="30"/>
        <w:bidi w:val="0"/>
        <w:rPr>
          <w:rFonts w:hint="default"/>
          <w:lang w:val="en-US" w:eastAsia="zh-CN"/>
        </w:rPr>
      </w:pPr>
      <w:bookmarkStart w:id="8" w:name="_Toc13899"/>
      <w:r>
        <w:rPr>
          <w:rFonts w:hint="default"/>
          <w:lang w:val="en-US" w:eastAsia="zh-CN"/>
        </w:rPr>
        <w:t>第三阶段：功能实现与策略调优 (2026.01.02 - 2026.02.28)</w:t>
      </w:r>
      <w:bookmarkEnd w:id="8"/>
    </w:p>
    <w:p w14:paraId="51EE7D6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构建核心安全分析能力，完成态势可视化展示，实现初步的监测预警。</w:t>
      </w:r>
    </w:p>
    <w:tbl>
      <w:tblPr>
        <w:tblStyle w:val="20"/>
        <w:tblW w:w="84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1420"/>
        <w:gridCol w:w="2154"/>
        <w:gridCol w:w="2087"/>
        <w:gridCol w:w="982"/>
        <w:gridCol w:w="1053"/>
      </w:tblGrid>
      <w:tr w14:paraId="048B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1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E656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145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1F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221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CA9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21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A75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72F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88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0E1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5152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E89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145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CDF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威胁检测模型与规则配置</w:t>
            </w:r>
          </w:p>
        </w:tc>
        <w:tc>
          <w:tcPr>
            <w:tcW w:w="221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223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基于行业情报和本地需求，配置入侵检测、异常行为、合规检查等分析规则与模型。</w:t>
            </w:r>
          </w:p>
        </w:tc>
        <w:tc>
          <w:tcPr>
            <w:tcW w:w="21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8D1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《威胁检测规则集》、《模型配置文档》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747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88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023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2026.01.02 - 01.17</w:t>
            </w:r>
          </w:p>
        </w:tc>
      </w:tr>
      <w:tr w14:paraId="0189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CD6E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3.2</w:t>
            </w:r>
          </w:p>
        </w:tc>
        <w:tc>
          <w:tcPr>
            <w:tcW w:w="145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DAE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态势可视化开发</w:t>
            </w:r>
          </w:p>
        </w:tc>
        <w:tc>
          <w:tcPr>
            <w:tcW w:w="221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C6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开发定制化的安全态势总览、资产风险、攻击溯源、报表统计等可视化大屏及页面。</w:t>
            </w:r>
          </w:p>
        </w:tc>
        <w:tc>
          <w:tcPr>
            <w:tcW w:w="21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CDE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《态势可视化大屏》、《定制化报表》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96A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88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C380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2026.01.20 - 02.07</w:t>
            </w:r>
          </w:p>
        </w:tc>
      </w:tr>
      <w:tr w14:paraId="0EA9C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67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3.3</w:t>
            </w:r>
          </w:p>
        </w:tc>
        <w:tc>
          <w:tcPr>
            <w:tcW w:w="145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A57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告警策略与响应流程配置</w:t>
            </w:r>
          </w:p>
        </w:tc>
        <w:tc>
          <w:tcPr>
            <w:tcW w:w="221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B9A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设定告警级别、通知方式（邮件、短信），并与甲方现有工单流程进行初步对接。</w:t>
            </w:r>
          </w:p>
        </w:tc>
        <w:tc>
          <w:tcPr>
            <w:tcW w:w="21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D96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《告警策略配置手册》、《事件响应流程V1.0》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054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乙方主导，甲方确认</w:t>
            </w:r>
          </w:p>
        </w:tc>
        <w:tc>
          <w:tcPr>
            <w:tcW w:w="88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273B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2026.02.10 - 02.21</w:t>
            </w:r>
          </w:p>
        </w:tc>
      </w:tr>
      <w:tr w14:paraId="5985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75C0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3.4</w:t>
            </w:r>
          </w:p>
        </w:tc>
        <w:tc>
          <w:tcPr>
            <w:tcW w:w="145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C54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系统集成与接口联调</w:t>
            </w:r>
          </w:p>
        </w:tc>
        <w:tc>
          <w:tcPr>
            <w:tcW w:w="221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1B2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与现有网管、安管平台等进行接口（如有）联调，验证数据交互与功能调用。</w:t>
            </w:r>
          </w:p>
        </w:tc>
        <w:tc>
          <w:tcPr>
            <w:tcW w:w="21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56D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《系统集成测试报告》</w:t>
            </w:r>
          </w:p>
        </w:tc>
        <w:tc>
          <w:tcPr>
            <w:tcW w:w="99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511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88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BA3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2026.02.24 - 02.28</w:t>
            </w:r>
          </w:p>
        </w:tc>
      </w:tr>
      <w:tr w14:paraId="16CA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F7D4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第三阶段里程碑：</w:t>
            </w:r>
          </w:p>
        </w:tc>
        <w:tc>
          <w:tcPr>
            <w:tcW w:w="145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37A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系统核心监测与展示功能全部实现，具备上线试运行条件。</w:t>
            </w:r>
          </w:p>
        </w:tc>
        <w:tc>
          <w:tcPr>
            <w:tcW w:w="221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BFC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1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006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B6F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88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3D34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72549857">
      <w:pPr>
        <w:pStyle w:val="30"/>
        <w:bidi w:val="0"/>
        <w:rPr>
          <w:rFonts w:hint="default"/>
          <w:lang w:val="en-US" w:eastAsia="zh-CN"/>
        </w:rPr>
      </w:pPr>
      <w:bookmarkStart w:id="9" w:name="_Toc24220"/>
      <w:r>
        <w:rPr>
          <w:rFonts w:hint="default"/>
          <w:lang w:val="en-US" w:eastAsia="zh-CN"/>
        </w:rPr>
        <w:t>第四阶段：系统试运行与优化 (2026.03.01 - 2026.03.31)</w:t>
      </w:r>
      <w:bookmarkEnd w:id="9"/>
    </w:p>
    <w:p w14:paraId="41CFBD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系统正式上线试运行，通过实战检验并持续优化，固化运维流程。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952"/>
        <w:gridCol w:w="1938"/>
        <w:gridCol w:w="1568"/>
        <w:gridCol w:w="1010"/>
        <w:gridCol w:w="1214"/>
      </w:tblGrid>
      <w:tr w14:paraId="5E4A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FE8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532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43C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2B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6A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7F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01D8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07E3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B42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试运行上线发布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4DD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召开试运行启动会，发布正式用户手册，系统全面投入生产监测。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958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《试运行发布通告》、《用户操作手册V1.0》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72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524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2026.03.01</w:t>
            </w:r>
          </w:p>
        </w:tc>
      </w:tr>
      <w:tr w14:paraId="46AA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893A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95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监控与日常支持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77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乙方提供7x24小时监控与支持，每日检查系统状态，及时处理告警与事件。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1F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《试运行日报/周报》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D6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CDF0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2026.03.02 - 03.31</w:t>
            </w:r>
          </w:p>
        </w:tc>
      </w:tr>
      <w:tr w14:paraId="2ECD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4B9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79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策略与性能持续调优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640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根据试运行期间的告警数据与用户反馈，持续优化检测规则和系统性能。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E7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《系统优化记录》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45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EE7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试运行期间持续进行</w:t>
            </w:r>
          </w:p>
        </w:tc>
      </w:tr>
      <w:tr w14:paraId="677E0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CAB7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F0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模拟攻防演练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38E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在可控范围内，组织一次小规模模拟攻击测试，验证系统检测与响应能力。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FCD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《攻防演练方案与报告》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F0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乙方设计，甲方参与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68E8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2026.03.18 - 03.22</w:t>
            </w:r>
          </w:p>
        </w:tc>
      </w:tr>
      <w:tr w14:paraId="2102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F10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84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系统稳定试运行满1个月，核心功能与性能得到实际验证，未出现重大缺陷。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AE03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1941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5E50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8FF8A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13BCE7A2">
      <w:pPr>
        <w:pStyle w:val="29"/>
        <w:bidi w:val="0"/>
        <w:rPr>
          <w:rFonts w:hint="default"/>
          <w:lang w:val="en-US" w:eastAsia="zh-CN"/>
        </w:rPr>
      </w:pPr>
    </w:p>
    <w:p w14:paraId="0F214925">
      <w:pPr>
        <w:pStyle w:val="30"/>
        <w:bidi w:val="0"/>
        <w:rPr>
          <w:rFonts w:hint="default"/>
          <w:lang w:val="en-US" w:eastAsia="zh-CN"/>
        </w:rPr>
      </w:pPr>
      <w:bookmarkStart w:id="10" w:name="_Toc8233"/>
      <w:r>
        <w:rPr>
          <w:rFonts w:hint="default"/>
          <w:lang w:val="en-US" w:eastAsia="zh-CN"/>
        </w:rPr>
        <w:t>第五阶段：项目收尾与验收交付 (2026.04.01 - 2026.04.30)</w:t>
      </w:r>
      <w:bookmarkEnd w:id="10"/>
    </w:p>
    <w:p w14:paraId="6B8733F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完成项目所有工作，整理交付成果，通过正式验收，实现项目闭环。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020"/>
        <w:gridCol w:w="2115"/>
        <w:gridCol w:w="1686"/>
        <w:gridCol w:w="667"/>
        <w:gridCol w:w="1221"/>
      </w:tblGrid>
      <w:tr w14:paraId="5367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92B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98E7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D6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BF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BC0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B98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6D79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6A50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C7A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竣工文档编制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C2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汇总整理项目实施全过程的所有技术与管理文档。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698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《项目竣工报告》、《最终交付物清单》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D9C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FD34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2026.04.01 - 04.10</w:t>
            </w:r>
          </w:p>
        </w:tc>
      </w:tr>
      <w:tr w14:paraId="6089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F59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93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503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面向运维团队和管理层，进行系统性的最终应用培训与考核。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97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《培训签到记录》、《培训效果评估》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87D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3A71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2026.04.15 - 04.17</w:t>
            </w:r>
          </w:p>
        </w:tc>
      </w:tr>
      <w:tr w14:paraId="4452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FF0C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C5C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项目最终验收评审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49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召开验收评审会，汇报项目成果，演示系统功能，审核交付文档。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E5D2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095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23D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2026.04.24</w:t>
            </w:r>
          </w:p>
        </w:tc>
      </w:tr>
      <w:tr w14:paraId="548D8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13BB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5C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项目总结与移交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BF99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进行项目工作总结，签署项目移交备忘录，进入质保运维期。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A90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《项目总结报告》、《系统移交备忘录》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39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90D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2026.04.28 - 04.30</w:t>
            </w:r>
          </w:p>
        </w:tc>
      </w:tr>
      <w:tr w14:paraId="3121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2130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CE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项目获得三方正式验收，完成所有成果移交，项目成功闭环。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19DE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D400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04FF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A7510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50F3E6A4">
      <w:pPr>
        <w:pStyle w:val="28"/>
        <w:bidi w:val="0"/>
        <w:rPr>
          <w:rFonts w:hint="default"/>
          <w:lang w:val="en-US" w:eastAsia="zh-CN"/>
        </w:rPr>
      </w:pPr>
      <w:bookmarkStart w:id="11" w:name="_Toc20599"/>
      <w:r>
        <w:rPr>
          <w:rFonts w:hint="default"/>
          <w:lang w:val="en-US" w:eastAsia="zh-CN"/>
        </w:rPr>
        <w:t>风险管理计划</w:t>
      </w:r>
      <w:bookmarkEnd w:id="11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445"/>
        <w:gridCol w:w="645"/>
        <w:gridCol w:w="645"/>
        <w:gridCol w:w="4141"/>
      </w:tblGrid>
      <w:tr w14:paraId="5B401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621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47D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629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概率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8EC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4F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应对策略</w:t>
            </w:r>
          </w:p>
        </w:tc>
      </w:tr>
      <w:tr w14:paraId="503A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204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4C1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现有网络结构复杂，导致数据采集不全或影响业务。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1A3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ADA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8E6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前期深度调研，制定分步、分区域采集方案；采用流量镜像等无损技术，并进行严格测试。</w:t>
            </w:r>
          </w:p>
        </w:tc>
      </w:tr>
      <w:tr w14:paraId="0D6C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FF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进度风险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3A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硬件采购或到货延迟。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C9E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447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8D5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甲方提前启动采购流程；制定备选设备清单；在计划中预留缓冲时间。</w:t>
            </w:r>
          </w:p>
        </w:tc>
      </w:tr>
      <w:tr w14:paraId="20C5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9D5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BFC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试运行期间用户提出较多变更或新增需求。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7B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92E9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020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建立严格的变更控制流程（CCB），区分缺陷修复与范围变更，评估对工期和成本的影响后决策。</w:t>
            </w:r>
          </w:p>
        </w:tc>
      </w:tr>
      <w:tr w14:paraId="095D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080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780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部署操作可能影响生产网络稳定性。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A98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60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91DE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所有操作均须在甲方批准的维护窗口进行，并提前提交详细实施方案及回退计划。</w:t>
            </w:r>
          </w:p>
        </w:tc>
      </w:tr>
    </w:tbl>
    <w:p w14:paraId="3B8C4ABC">
      <w:pPr>
        <w:pStyle w:val="28"/>
        <w:bidi w:val="0"/>
        <w:rPr>
          <w:rFonts w:hint="default"/>
          <w:lang w:val="en-US" w:eastAsia="zh-CN"/>
        </w:rPr>
      </w:pPr>
      <w:bookmarkStart w:id="12" w:name="_Toc13150"/>
      <w:r>
        <w:rPr>
          <w:rFonts w:hint="default"/>
          <w:lang w:val="en-US" w:eastAsia="zh-CN"/>
        </w:rPr>
        <w:t>沟通管理计划</w:t>
      </w:r>
      <w:bookmarkEnd w:id="12"/>
    </w:p>
    <w:p w14:paraId="4527998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项目周报：乙方项目经理每周五向全体项目组成员发送项目周报，汇报进展、问题和下周计划。</w:t>
      </w:r>
    </w:p>
    <w:p w14:paraId="3F95951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双周例会：每两周召开一次项目例会，由双方项目经理、技术负责人参加，同步进展，解决跨团队问题。</w:t>
      </w:r>
    </w:p>
    <w:p w14:paraId="32AEE29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里程碑评审会：在每个阶段里程碑完成后，召开正式评审会议，邀请领导小组参加。</w:t>
      </w:r>
    </w:p>
    <w:p w14:paraId="7608B48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即时沟通：建立企业微信群，用于日常问题快速沟通与协调。</w:t>
      </w:r>
    </w:p>
    <w:p w14:paraId="1A6D7E5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邮件确认：所有关键决策、方案确认、变更请求等均通过邮件等书面形式存档。</w:t>
      </w:r>
    </w:p>
    <w:p w14:paraId="28B98334">
      <w:pPr>
        <w:pStyle w:val="28"/>
        <w:bidi w:val="0"/>
        <w:rPr>
          <w:rFonts w:hint="default"/>
          <w:lang w:val="en-US" w:eastAsia="zh-CN"/>
        </w:rPr>
      </w:pPr>
      <w:bookmarkStart w:id="13" w:name="_Toc30500"/>
      <w:r>
        <w:rPr>
          <w:rFonts w:hint="default"/>
          <w:lang w:val="en-US" w:eastAsia="zh-CN"/>
        </w:rPr>
        <w:t>交付成果清单</w:t>
      </w:r>
      <w:bookmarkEnd w:id="13"/>
    </w:p>
    <w:p w14:paraId="5CB6DDB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项目最终将向甲方及业主方交付包括但不限于以下成果：</w:t>
      </w:r>
    </w:p>
    <w:p w14:paraId="0E754E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管理文档： 项目计划、会议纪要、验收报告、总结报告。</w:t>
      </w:r>
    </w:p>
    <w:p w14:paraId="6BEBE10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技术文档： 详细设计说明书、部署手册、配置手册、数据接口规范。</w:t>
      </w:r>
    </w:p>
    <w:p w14:paraId="780327A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用户文档： 用户操作手册、管理员运维手册、培训教材。</w:t>
      </w:r>
    </w:p>
    <w:p w14:paraId="74AB163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软件产品： 网络安全态势感知系统软件及其许可。</w:t>
      </w:r>
    </w:p>
    <w:p w14:paraId="1A962E6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有形系统： 部署完成、配置就绪、稳定运行的一整套软件与集成环境。</w:t>
      </w:r>
    </w:p>
    <w:p w14:paraId="35685BF3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7D4B89"/>
    <w:rsid w:val="069C3D43"/>
    <w:rsid w:val="0A426D43"/>
    <w:rsid w:val="0CD242DF"/>
    <w:rsid w:val="12D06EB6"/>
    <w:rsid w:val="159863B1"/>
    <w:rsid w:val="1D44297A"/>
    <w:rsid w:val="257A6DAC"/>
    <w:rsid w:val="28335AC5"/>
    <w:rsid w:val="2F2D14C0"/>
    <w:rsid w:val="33E8369D"/>
    <w:rsid w:val="390C0398"/>
    <w:rsid w:val="40714F85"/>
    <w:rsid w:val="42174CD7"/>
    <w:rsid w:val="43BE6733"/>
    <w:rsid w:val="4D3257EE"/>
    <w:rsid w:val="4EAA7FE0"/>
    <w:rsid w:val="569E667C"/>
    <w:rsid w:val="675608AD"/>
    <w:rsid w:val="6ACF52E2"/>
    <w:rsid w:val="6AEA1A38"/>
    <w:rsid w:val="6F5002D8"/>
    <w:rsid w:val="782B18E2"/>
    <w:rsid w:val="799D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623</Words>
  <Characters>820</Characters>
  <Lines>0</Lines>
  <Paragraphs>0</Paragraphs>
  <TotalTime>0</TotalTime>
  <ScaleCrop>false</ScaleCrop>
  <LinksUpToDate>false</LinksUpToDate>
  <CharactersWithSpaces>889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2026-03-08T09:59:16Z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F41D3CD44E5B48B7B4D45D74A96542DD_13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