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83CC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235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37722C9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5643"/>
      <w:r>
        <w:rPr>
          <w:rFonts w:hint="eastAsia"/>
          <w:lang w:val="en-US" w:eastAsia="zh-CN"/>
        </w:rPr>
        <w:t>天津市电力公司110kV变电站电力监控系统网络安全态势感知项目-应急演练记录（HXDL-ITSS-1005）</w:t>
      </w:r>
      <w:bookmarkEnd w:id="1"/>
    </w:p>
    <w:p w14:paraId="0237A2A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B08B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643DFF4C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3D3CF0C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 w14:paraId="680EE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37A5500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0B1709A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 w14:paraId="0343B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519C6C1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044BB7D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</w:tbl>
    <w:p w14:paraId="0A5D8E3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68203D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b/>
          <w:bCs/>
        </w:rPr>
      </w:pPr>
      <w:r>
        <w:rPr>
          <w:b/>
          <w:bCs/>
        </w:rPr>
        <w:t>文件编制和变更履历</w:t>
      </w:r>
    </w:p>
    <w:tbl>
      <w:tblPr>
        <w:tblStyle w:val="27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7C7A20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054EE860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63D3B45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34483EC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A24994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9C7510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D7DBE53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5CDFBF4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更改记录</w:t>
            </w:r>
          </w:p>
        </w:tc>
      </w:tr>
      <w:tr w14:paraId="1F4166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15A17923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163659B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3423AB6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6EDF79DB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27C5305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58CBB63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056779B6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1268484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2A71D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5F3E8EA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4E1D070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 w14:paraId="57D8DFA3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957" w:type="dxa"/>
          </w:tcPr>
          <w:p w14:paraId="3676530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 w14:paraId="4A8EFBC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17" w:type="dxa"/>
          </w:tcPr>
          <w:p w14:paraId="1A69A02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 w14:paraId="73F2CF88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5C7EDB70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45A8D7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A45144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4009CF1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6479C72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0F358BB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6D5E4F3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0827EFF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52B9B9D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5B09EFDF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B234B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17CA912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2DFDA3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3119C01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0FCFF004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42270D2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3E1806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54F4A30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2B5B97F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26E5A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06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6FF9BF8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2E3FE01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_Toc2353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_Toc2353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A361873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_Toc5643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天津市电力公司110kV变电站电力监控系统网络安全态势感知项目-应急演练记录（HXDL-ITSS-1005）</w:t>
          </w:r>
          <w:r>
            <w:tab/>
          </w:r>
          <w:r>
            <w:fldChar w:fldCharType="begin"/>
          </w:r>
          <w:r>
            <w:instrText xml:space="preserve"> PAGEREF _Toc5643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69D066B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_Toc22304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演练基本信息</w:t>
          </w:r>
          <w:r>
            <w:tab/>
          </w:r>
          <w:r>
            <w:fldChar w:fldCharType="begin"/>
          </w:r>
          <w:r>
            <w:instrText xml:space="preserve"> PAGEREF _Toc22304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CD3FDC1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_Toc19175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演练处置过程记录</w:t>
          </w:r>
          <w:r>
            <w:tab/>
          </w:r>
          <w:r>
            <w:fldChar w:fldCharType="begin"/>
          </w:r>
          <w:r>
            <w:instrText xml:space="preserve"> PAGEREF _Toc19175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A3CB1EA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_Toc16555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2.1. 阶段一：演练准备与启动 (09:00 - 09:15)</w:t>
          </w:r>
          <w:r>
            <w:tab/>
          </w:r>
          <w:r>
            <w:fldChar w:fldCharType="begin"/>
          </w:r>
          <w:r>
            <w:instrText xml:space="preserve"> PAGEREF _Toc16555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A724619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_Toc18821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2.2. 阶段二：事件发生与初期响应 (09:15 - 09:40)</w:t>
          </w:r>
          <w:r>
            <w:tab/>
          </w:r>
          <w:r>
            <w:fldChar w:fldCharType="begin"/>
          </w:r>
          <w:r>
            <w:instrText xml:space="preserve"> PAGEREF _Toc18821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D061279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_Toc6197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2.3. 阶段三：应急响应与现场处置 (09:40 - 10:50)</w:t>
          </w:r>
          <w:r>
            <w:tab/>
          </w:r>
          <w:r>
            <w:fldChar w:fldCharType="begin"/>
          </w:r>
          <w:r>
            <w:instrText xml:space="preserve"> PAGEREF _Toc6197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EAE970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_Toc14685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2.4. 阶段四：演练总结与评估 (10:50 - 11:30)</w:t>
          </w:r>
          <w:r>
            <w:tab/>
          </w:r>
          <w:r>
            <w:fldChar w:fldCharType="begin"/>
          </w:r>
          <w:r>
            <w:instrText xml:space="preserve"> PAGEREF _Toc14685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D816EE3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_Toc4975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处置过程关键结论</w:t>
          </w:r>
          <w:r>
            <w:tab/>
          </w:r>
          <w:r>
            <w:fldChar w:fldCharType="begin"/>
          </w:r>
          <w:r>
            <w:instrText xml:space="preserve"> PAGEREF _Toc4975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C728D42">
          <w:pPr>
            <w:rPr>
              <w:rFonts w:hint="default"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402D9969">
      <w:p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 w14:paraId="12F54FBF">
      <w:pPr>
        <w:pStyle w:val="30"/>
        <w:bidi w:val="0"/>
        <w:rPr>
          <w:rFonts w:hint="default"/>
          <w:lang w:val="en-US" w:eastAsia="zh-CN"/>
        </w:rPr>
      </w:pPr>
      <w:bookmarkStart w:id="2" w:name="_Toc22304"/>
      <w:r>
        <w:rPr>
          <w:rFonts w:hint="default"/>
          <w:lang w:val="en-US" w:eastAsia="zh-CN"/>
        </w:rPr>
        <w:t>演练基本信息</w:t>
      </w:r>
      <w:bookmarkEnd w:id="2"/>
    </w:p>
    <w:p w14:paraId="523A85BF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演练名称： 合同执行专项应急演练（二级响应模拟）</w:t>
      </w:r>
    </w:p>
    <w:p w14:paraId="3ED9EFB6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演练目的： 检验《合同执行专项应急预案》及《应急实施方案》的有效性和可操作性；磨合甲乙双方应急协作机制；重点验证合同约定的“改正通知与费用暂停”流程的执行。</w:t>
      </w:r>
    </w:p>
    <w:p w14:paraId="69064346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演练类型： ☑ 实战演练（桌面+模拟文书）</w:t>
      </w:r>
    </w:p>
    <w:p w14:paraId="40871018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依据文件： 《合同执行专项应急预案》、《应急实施方案》、本项目主合同、《应急演练计划（HXDL-ITSS-1004）》</w:t>
      </w:r>
    </w:p>
    <w:p w14:paraId="19F4365B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演练时间： 2025年9月10日 09:00 - 11:30</w:t>
      </w:r>
    </w:p>
    <w:p w14:paraId="489A1457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 主会场：</w:t>
      </w:r>
      <w:r>
        <w:rPr>
          <w:rFonts w:hint="eastAsia"/>
          <w:lang w:val="en-US" w:eastAsia="zh-CN"/>
        </w:rPr>
        <w:t>甲方</w:t>
      </w:r>
      <w:r>
        <w:rPr>
          <w:rFonts w:hint="default"/>
          <w:lang w:val="en-US" w:eastAsia="zh-CN"/>
        </w:rPr>
        <w:t>项目部会议室；</w:t>
      </w:r>
    </w:p>
    <w:p w14:paraId="597946FA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分会场：</w:t>
      </w:r>
      <w:r>
        <w:rPr>
          <w:rFonts w:hint="eastAsia"/>
          <w:lang w:val="en-US" w:eastAsia="zh-CN"/>
        </w:rPr>
        <w:t>乙方</w:t>
      </w:r>
      <w:r>
        <w:rPr>
          <w:rFonts w:hint="default"/>
          <w:lang w:val="en-US" w:eastAsia="zh-CN"/>
        </w:rPr>
        <w:t>现场办公室</w:t>
      </w:r>
    </w:p>
    <w:p w14:paraId="4E423332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情景设定：模拟乙方技术人员在未充分授权的情况下，于某110kV变电站进行模拟攻击测试，触发调度主站高级别网络安全告警，导致甲方被上级单位质询，项目面临中断风险的突发事件。</w:t>
      </w:r>
    </w:p>
    <w:p w14:paraId="1F7C60A3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参演单位：</w:t>
      </w:r>
      <w:r>
        <w:rPr>
          <w:rFonts w:hint="eastAsia"/>
          <w:lang w:val="en-US" w:eastAsia="zh-CN"/>
        </w:rPr>
        <w:t>天津市电力公司（甲方</w:t>
      </w:r>
      <w:bookmarkStart w:id="9" w:name="_GoBack"/>
      <w:bookmarkEnd w:id="9"/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、天津市华夏电缆有限公司（乙方）</w:t>
      </w:r>
    </w:p>
    <w:p w14:paraId="2E0A11E7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主要参演人员及角色：</w:t>
      </w:r>
    </w:p>
    <w:p w14:paraId="445C582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甲方： 项目总代表（应急组长）李峰、技术负责人王伟、现场监理张明（参演）。</w:t>
      </w:r>
    </w:p>
    <w:p w14:paraId="743E63F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乙方： 现场负责人赵强（应急副组长）、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 w14:paraId="382FD96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 甲方项目经理刘涛（控制），双方各指定记录员一名。</w:t>
      </w:r>
    </w:p>
    <w:p w14:paraId="0FD518FB">
      <w:pPr>
        <w:pStyle w:val="30"/>
        <w:bidi w:val="0"/>
        <w:rPr>
          <w:rFonts w:hint="default"/>
          <w:lang w:val="en-US" w:eastAsia="zh-CN"/>
        </w:rPr>
      </w:pPr>
      <w:bookmarkStart w:id="3" w:name="_Toc19175"/>
      <w:r>
        <w:rPr>
          <w:rFonts w:hint="default"/>
          <w:lang w:val="en-US" w:eastAsia="zh-CN"/>
        </w:rPr>
        <w:t>演练处置过程记录</w:t>
      </w:r>
      <w:bookmarkEnd w:id="3"/>
    </w:p>
    <w:p w14:paraId="324DB8F5">
      <w:pPr>
        <w:pStyle w:val="31"/>
        <w:bidi w:val="0"/>
        <w:rPr>
          <w:rFonts w:hint="default"/>
          <w:lang w:val="en-US" w:eastAsia="zh-CN"/>
        </w:rPr>
      </w:pPr>
      <w:bookmarkStart w:id="4" w:name="_Toc16555"/>
      <w:r>
        <w:rPr>
          <w:rFonts w:hint="default"/>
          <w:lang w:val="en-US" w:eastAsia="zh-CN"/>
        </w:rPr>
        <w:t>阶段一：演练准备与启动 (09:00 - 09:15)</w:t>
      </w:r>
      <w:bookmarkEnd w:id="4"/>
    </w:p>
    <w:p w14:paraId="1AD26F52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09:00，全体参演及控制、记录人员于主、分会场集合完毕。</w:t>
      </w:r>
    </w:p>
    <w:p w14:paraId="7042A3D0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控制员刘涛重申演练规则，强调“是演练不是演戏”及保密要求，明确演练旨在检验流程、非追究个人责任。</w:t>
      </w:r>
    </w:p>
    <w:p w14:paraId="7CC763DB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控制员详细介绍预设的“二级响应”模拟场景、初始条件及预期流程。</w:t>
      </w:r>
    </w:p>
    <w:p w14:paraId="2B46FD1C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双方确认通讯链路（电话、即时通讯工具）畅通，文书模板就绪。</w:t>
      </w:r>
    </w:p>
    <w:p w14:paraId="11531CD9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总指挥李峰宣布演练正式开始，各角色进入预定状态。</w:t>
      </w:r>
    </w:p>
    <w:p w14:paraId="1C9D0A27">
      <w:pPr>
        <w:pStyle w:val="31"/>
        <w:bidi w:val="0"/>
        <w:rPr>
          <w:rFonts w:hint="default"/>
          <w:lang w:val="en-US" w:eastAsia="zh-CN"/>
        </w:rPr>
      </w:pPr>
      <w:bookmarkStart w:id="5" w:name="_Toc18821"/>
      <w:r>
        <w:rPr>
          <w:rFonts w:hint="default"/>
          <w:lang w:val="en-US" w:eastAsia="zh-CN"/>
        </w:rPr>
        <w:t>阶段二：事件发生与初期响应 (09:15 - 09:40)</w:t>
      </w:r>
      <w:bookmarkEnd w:id="5"/>
    </w:p>
    <w:p w14:paraId="34168561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09:15（事件触发）： 控制组向甲方参演员张明发布模拟告警信息：“接到供电局调度中心电话，质询关于某110kV变电站的异常高频扫描告警，要求我方立即说明情况。”</w:t>
      </w:r>
    </w:p>
    <w:p w14:paraId="1BC406F2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09:15-09:30（初期报告）： 甲方参演员张明立即执行“双线报告”：</w:t>
      </w:r>
    </w:p>
    <w:p w14:paraId="4F927CE1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通过电话向甲方应急组长李峰报告事件概况。</w:t>
      </w:r>
    </w:p>
    <w:p w14:paraId="4694B3FA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同时通过即时通讯工具向乙方现场负责人赵强通报情况，并要求其立即核查。</w:t>
      </w:r>
    </w:p>
    <w:p w14:paraId="580D9D58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处置亮点： 报告行动迅速，渠道正确，符合《应急实施方案》2.2条要求。</w:t>
      </w:r>
    </w:p>
    <w:p w14:paraId="67711477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09:30-09:40（应急启动）： 甲方李峰与乙方赵强进行紧急电话会议，快速核实模拟情况。基于事件已引发外部单位质询、存在明显操作违规的事实，根据《实施方案》3.2条及合同精神，甲方李峰决策启动二级应急响应。双方总代表确认响应级别。</w:t>
      </w:r>
    </w:p>
    <w:p w14:paraId="4A901B89">
      <w:pPr>
        <w:pStyle w:val="31"/>
        <w:bidi w:val="0"/>
        <w:rPr>
          <w:rFonts w:hint="default"/>
          <w:lang w:val="en-US" w:eastAsia="zh-CN"/>
        </w:rPr>
      </w:pPr>
      <w:bookmarkStart w:id="6" w:name="_Toc6197"/>
      <w:r>
        <w:rPr>
          <w:rFonts w:hint="default"/>
          <w:lang w:val="en-US" w:eastAsia="zh-CN"/>
        </w:rPr>
        <w:t>阶段三：应急响应与现场处置 (09:40 - 10:50)</w:t>
      </w:r>
      <w:bookmarkEnd w:id="6"/>
    </w:p>
    <w:p w14:paraId="09AF25CA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09:40-10:00（决策与正式通知）：</w:t>
      </w:r>
    </w:p>
    <w:p w14:paraId="2B806C64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甲方李峰作为总指挥，正式模拟签署《费用暂停支付与限期整改通知单》，依据合同第7.2条，宣布暂停相关款项支付，并限令乙方在规定时限内提交正式报告。</w:t>
      </w:r>
    </w:p>
    <w:p w14:paraId="1B49ED2B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处置亮点： 甲方熟练、果断地引用合同具体条款作为决策和行动依据，体现了预案与合同的衔接。</w:t>
      </w:r>
    </w:p>
    <w:p w14:paraId="28B7D297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10:00-10:30（乙方调查与报告）：</w:t>
      </w:r>
    </w:p>
    <w:p w14:paraId="66382B65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乙方赵强组织内部简短复盘，分析“违规操作”原因。</w:t>
      </w:r>
    </w:p>
    <w:p w14:paraId="1AA808C5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乙方在模拟时限（30分钟）内向甲方提交了《事件原因分析报告》和《纠正措施计划》草案。</w:t>
      </w:r>
    </w:p>
    <w:p w14:paraId="3F472B02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暴露问题： 乙方提交的首版《原因分析报告》对责任描述模糊，倾向于归咎于“沟通误会”。经甲方质询后，修正版才正视“操作流程违规”的核心事实。</w:t>
      </w:r>
    </w:p>
    <w:p w14:paraId="73CD87A8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处置结果： 乙方在规定时间内完成了报告提交，且《纠正措施计划》基本涵盖了人员再培训、流程复核等关键措施。</w:t>
      </w:r>
    </w:p>
    <w:p w14:paraId="0E422A8F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10:30-10:50（甲方评估与闭环）：</w:t>
      </w:r>
    </w:p>
    <w:p w14:paraId="0132A7B2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甲方李峰、王伟等对乙方提交的文件进行审查。</w:t>
      </w:r>
    </w:p>
    <w:p w14:paraId="245AD5A8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甲方认为《纠正措施计划》方向正确，但需增加刚性约束条款。经协商，要求乙方在计划中明确加入“所有现场测试操作前必须签署《安全操作确认单》并经甲方书面许可”的内容。</w:t>
      </w:r>
    </w:p>
    <w:p w14:paraId="235E8F2C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乙方接受甲方意见，更新计划。</w:t>
      </w:r>
    </w:p>
    <w:p w14:paraId="416025FA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双方模拟签署《情况说明及复工确认书》，标志着本次模拟事件在处置流程上实现闭环。</w:t>
      </w:r>
    </w:p>
    <w:p w14:paraId="4844CD89">
      <w:pPr>
        <w:pStyle w:val="31"/>
        <w:bidi w:val="0"/>
        <w:rPr>
          <w:rFonts w:hint="default"/>
          <w:lang w:val="en-US" w:eastAsia="zh-CN"/>
        </w:rPr>
      </w:pPr>
      <w:bookmarkStart w:id="7" w:name="_Toc14685"/>
      <w:r>
        <w:rPr>
          <w:rFonts w:hint="default"/>
          <w:lang w:val="en-US" w:eastAsia="zh-CN"/>
        </w:rPr>
        <w:t>阶段四：演练总结与评估 (10:50 - 11:30)</w:t>
      </w:r>
      <w:bookmarkEnd w:id="7"/>
    </w:p>
    <w:p w14:paraId="66702EA7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所有参演、控制、记录人员集中进行复盘总结。</w:t>
      </w:r>
    </w:p>
    <w:p w14:paraId="30C9C66C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氛围坦诚、务实，讨论聚焦于流程改进而非个人问责。</w:t>
      </w:r>
    </w:p>
    <w:p w14:paraId="685FA7D1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记录员汇报关键时间节点和观察到的亮点与问题。</w:t>
      </w:r>
    </w:p>
    <w:p w14:paraId="00107AF7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双方共同讨论了信息记录规范性、乙方报告质量、预案合同衔接清晰度等具体问题，并初步形成了5项改进建议（详见对应报告）。</w:t>
      </w:r>
    </w:p>
    <w:p w14:paraId="76C0055A">
      <w:pPr>
        <w:pStyle w:val="2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明确了《应急演练报告》的编写分工与完成时限。</w:t>
      </w:r>
    </w:p>
    <w:p w14:paraId="204D01AE">
      <w:pPr>
        <w:pStyle w:val="30"/>
        <w:bidi w:val="0"/>
        <w:rPr>
          <w:rFonts w:hint="default"/>
          <w:lang w:val="en-US" w:eastAsia="zh-CN"/>
        </w:rPr>
      </w:pPr>
      <w:bookmarkStart w:id="8" w:name="_Toc4975"/>
      <w:r>
        <w:rPr>
          <w:rFonts w:hint="default"/>
          <w:lang w:val="en-US" w:eastAsia="zh-CN"/>
        </w:rPr>
        <w:t>处置过程关键结论</w:t>
      </w:r>
      <w:bookmarkEnd w:id="8"/>
    </w:p>
    <w:p w14:paraId="4A01D7CA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流程有效性得到验证： 从事件触发到响应启动（25分钟）、决策通知、乙方报告、甲方评估闭环的完整流程得到执行，证明主要应急路径是可行的。</w:t>
      </w:r>
    </w:p>
    <w:p w14:paraId="7EC6001E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协作机制基本畅通： 双方沟通渠道有效，关键决策层能快速对接并做出统一决策。</w:t>
      </w:r>
    </w:p>
    <w:p w14:paraId="613B450E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暴露核心薄弱环节： 应急通讯的“留痕”管理不足、乙方对高级别响应严肃性的认识及初次报告质量需提升、预案与合同后果的联动指引需强化。</w:t>
      </w:r>
    </w:p>
    <w:p w14:paraId="4FEB54E7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达到演练核心目的： 成功检验了预案，锻炼了队伍，并识别出具体、可操作的改进点，为应急体系的完善提供了直接依据。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2125D1"/>
    <w:rsid w:val="090F4071"/>
    <w:rsid w:val="09D75426"/>
    <w:rsid w:val="0D0F4ED6"/>
    <w:rsid w:val="1FBC391F"/>
    <w:rsid w:val="246851A0"/>
    <w:rsid w:val="31D9148B"/>
    <w:rsid w:val="398B3185"/>
    <w:rsid w:val="3CC82828"/>
    <w:rsid w:val="3D121CF5"/>
    <w:rsid w:val="42164036"/>
    <w:rsid w:val="4268065F"/>
    <w:rsid w:val="51621046"/>
    <w:rsid w:val="65A92947"/>
    <w:rsid w:val="68F62348"/>
    <w:rsid w:val="7905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6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26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6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6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2148</Words>
  <Characters>2417</Characters>
  <Lines>0</Lines>
  <Paragraphs>0</Paragraphs>
  <TotalTime>0</TotalTime>
  <ScaleCrop>false</ScaleCrop>
  <LinksUpToDate>false</LinksUpToDate>
  <CharactersWithSpaces>2521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2026-03-08T08:54:39Z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