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5F23">
      <w:pPr>
        <w:pStyle w:val="24"/>
        <w:bidi w:val="0"/>
        <w:ind w:left="0" w:leftChars="0" w:right="0" w:rightChars="0" w:firstLine="0" w:firstLineChars="0"/>
        <w:jc w:val="center"/>
        <w:rPr>
          <w:rFonts w:hint="default"/>
          <w:lang w:val="en-US" w:eastAsia="zh-CN"/>
        </w:rPr>
      </w:pPr>
      <w:bookmarkStart w:id="0" w:name="_GoBack"/>
      <w:r>
        <w:drawing>
          <wp:anchor distT="0" distB="0" distL="114300" distR="114300" simplePos="0" relativeHeight="251659264" behindDoc="1" locked="0" layoutInCell="1" allowOverlap="1">
            <wp:simplePos x="0" y="0"/>
            <wp:positionH relativeFrom="column">
              <wp:posOffset>-1164590</wp:posOffset>
            </wp:positionH>
            <wp:positionV relativeFrom="paragraph">
              <wp:posOffset>38100</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0"/>
      <w:r>
        <w:rPr>
          <w:rFonts w:hint="eastAsia"/>
          <w:lang w:val="en-US" w:eastAsia="zh-CN"/>
        </w:rPr>
        <w:t>天津市华夏电缆有限公司</w:t>
      </w:r>
    </w:p>
    <w:p w14:paraId="0D4A9EAA">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天津市电力公司110kV变电站电力监控系统网络安全态势感知建设项目</w:t>
      </w:r>
    </w:p>
    <w:p w14:paraId="2903388A">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r>
        <w:rPr>
          <w:rFonts w:hint="eastAsia"/>
          <w:lang w:val="en-US" w:eastAsia="zh-CN"/>
        </w:rPr>
        <w:t>扩容报告</w:t>
      </w:r>
    </w:p>
    <w:p w14:paraId="2F1E5D24">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（HXDL-ITSS-0614）</w:t>
      </w:r>
    </w:p>
    <w:p w14:paraId="01AE7DA2">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4"/>
        <w:gridCol w:w="4095"/>
      </w:tblGrid>
      <w:tr w14:paraId="49407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984" w:type="dxa"/>
          </w:tcPr>
          <w:p w14:paraId="46846B2E">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095" w:type="dxa"/>
          </w:tcPr>
          <w:p w14:paraId="6D41CD3B">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r w14:paraId="7F06C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984" w:type="dxa"/>
            <w:shd w:val="clear" w:color="auto" w:fill="auto"/>
          </w:tcPr>
          <w:p w14:paraId="75992B31">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095" w:type="dxa"/>
            <w:shd w:val="clear" w:color="auto" w:fill="auto"/>
          </w:tcPr>
          <w:p w14:paraId="04519C26">
            <w:pPr>
              <w:widowControl w:val="0"/>
              <w:ind w:left="0" w:leftChars="0" w:right="0" w:rightChars="0" w:firstLine="0" w:firstLineChars="0"/>
              <w:jc w:val="righ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r w14:paraId="68CA1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984" w:type="dxa"/>
          </w:tcPr>
          <w:p w14:paraId="08A04767">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095" w:type="dxa"/>
          </w:tcPr>
          <w:p w14:paraId="039F899E">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bl>
    <w:p w14:paraId="28E5188C">
      <w:pPr>
        <w:rPr>
          <w:rFonts w:hint="default"/>
          <w:lang w:val="en-US" w:eastAsia="zh-CN"/>
        </w:rPr>
      </w:pPr>
      <w:r>
        <w:rPr>
          <w:rFonts w:hint="default"/>
          <w:lang w:val="en-US" w:eastAsia="zh-CN"/>
        </w:rPr>
        <w:br w:type="page"/>
      </w:r>
    </w:p>
    <w:p w14:paraId="42BB9266">
      <w:pPr>
        <w:spacing w:before="98" w:line="220" w:lineRule="auto"/>
        <w:ind w:left="3195"/>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26"/>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2818EA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C7A09F5">
            <w:pPr>
              <w:spacing w:line="350" w:lineRule="auto"/>
              <w:rPr>
                <w:rFonts w:ascii="Arial"/>
                <w:sz w:val="21"/>
              </w:rPr>
            </w:pPr>
          </w:p>
          <w:p w14:paraId="39AF4D7B">
            <w:pPr>
              <w:spacing w:before="78" w:line="219" w:lineRule="auto"/>
              <w:ind w:left="0" w:leftChars="0" w:firstLine="0" w:firstLineChars="0"/>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47FAF564">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6247B6CB">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E70E1F5">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25D22D63">
            <w:pPr>
              <w:spacing w:line="350" w:lineRule="auto"/>
              <w:rPr>
                <w:rFonts w:ascii="Arial"/>
                <w:sz w:val="21"/>
              </w:rPr>
            </w:pPr>
          </w:p>
          <w:p w14:paraId="5367FFFC">
            <w:pPr>
              <w:spacing w:before="78" w:line="220" w:lineRule="auto"/>
              <w:ind w:left="0" w:leftChars="0" w:firstLine="0" w:firstLineChars="0"/>
              <w:rPr>
                <w:rFonts w:ascii="宋体" w:hAnsi="宋体" w:eastAsia="宋体" w:cs="宋体"/>
                <w:sz w:val="24"/>
                <w:szCs w:val="24"/>
              </w:rPr>
            </w:pPr>
            <w:r>
              <w:rPr>
                <w:rFonts w:ascii="宋体" w:hAnsi="宋体" w:eastAsia="宋体" w:cs="宋体"/>
                <w:b/>
                <w:bCs/>
                <w:spacing w:val="-5"/>
                <w:sz w:val="24"/>
                <w:szCs w:val="24"/>
              </w:rPr>
              <w:t>更改记录</w:t>
            </w:r>
          </w:p>
        </w:tc>
      </w:tr>
      <w:tr w14:paraId="0F07B1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2F7E6821">
            <w:pPr>
              <w:rPr>
                <w:rFonts w:ascii="Arial"/>
                <w:sz w:val="21"/>
              </w:rPr>
            </w:pPr>
          </w:p>
        </w:tc>
        <w:tc>
          <w:tcPr>
            <w:tcW w:w="881" w:type="dxa"/>
            <w:shd w:val="clear" w:color="auto" w:fill="D9D9D9"/>
          </w:tcPr>
          <w:p w14:paraId="50894954">
            <w:pPr>
              <w:spacing w:before="177" w:line="220" w:lineRule="auto"/>
              <w:ind w:left="0" w:leftChars="0" w:firstLine="0" w:firstLineChars="0"/>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15DFA8F9">
            <w:pPr>
              <w:spacing w:before="177" w:line="220" w:lineRule="auto"/>
              <w:ind w:left="0" w:leftChars="0" w:firstLine="0" w:firstLineChars="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24671150">
            <w:pPr>
              <w:spacing w:before="177" w:line="220" w:lineRule="auto"/>
              <w:ind w:left="0" w:leftChars="0" w:firstLine="0" w:firstLineChars="0"/>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4FEB25A3">
            <w:pPr>
              <w:spacing w:before="177" w:line="220" w:lineRule="auto"/>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6FC00BCC">
            <w:pPr>
              <w:spacing w:before="176" w:line="221" w:lineRule="auto"/>
              <w:ind w:left="0" w:leftChars="0" w:firstLine="0" w:firstLineChars="0"/>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6816E8A">
            <w:pPr>
              <w:spacing w:before="177" w:line="220" w:lineRule="auto"/>
              <w:ind w:left="0" w:leftChars="0" w:firstLine="0" w:firstLineChars="0"/>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55CA1A05">
            <w:pPr>
              <w:rPr>
                <w:rFonts w:ascii="Arial"/>
                <w:sz w:val="21"/>
              </w:rPr>
            </w:pPr>
          </w:p>
        </w:tc>
      </w:tr>
      <w:tr w14:paraId="6E8A5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784F9DDC">
            <w:pPr>
              <w:pStyle w:val="27"/>
              <w:spacing w:before="230" w:line="237" w:lineRule="auto"/>
              <w:ind w:left="0" w:leftChars="0" w:firstLine="0" w:firstLineChars="0"/>
            </w:pPr>
            <w:r>
              <w:rPr>
                <w:spacing w:val="-1"/>
              </w:rPr>
              <w:t>V1.0</w:t>
            </w:r>
          </w:p>
        </w:tc>
        <w:tc>
          <w:tcPr>
            <w:tcW w:w="881" w:type="dxa"/>
          </w:tcPr>
          <w:p w14:paraId="2B97EFCE">
            <w:pPr>
              <w:pStyle w:val="27"/>
              <w:spacing w:before="230" w:line="219" w:lineRule="auto"/>
              <w:ind w:left="0" w:leftChars="0" w:firstLine="0" w:firstLineChars="0"/>
            </w:pPr>
            <w:r>
              <w:rPr>
                <w:spacing w:val="-4"/>
              </w:rPr>
              <w:t>赵川华</w:t>
            </w:r>
          </w:p>
        </w:tc>
        <w:tc>
          <w:tcPr>
            <w:tcW w:w="1274" w:type="dxa"/>
          </w:tcPr>
          <w:p w14:paraId="5CB3E566">
            <w:pPr>
              <w:pStyle w:val="27"/>
              <w:spacing w:before="230" w:line="237" w:lineRule="auto"/>
              <w:ind w:left="0" w:leftChars="0" w:firstLine="0" w:firstLineChars="0"/>
              <w:rPr>
                <w:rFonts w:hint="default" w:eastAsia="宋体"/>
                <w:lang w:val="en-US" w:eastAsia="zh-CN"/>
              </w:rPr>
            </w:pPr>
            <w:r>
              <w:rPr>
                <w:spacing w:val="-1"/>
              </w:rPr>
              <w:t>2025.</w:t>
            </w:r>
            <w:r>
              <w:rPr>
                <w:rFonts w:hint="eastAsia"/>
                <w:spacing w:val="-1"/>
                <w:lang w:val="en-US" w:eastAsia="zh-CN"/>
              </w:rPr>
              <w:t>10</w:t>
            </w:r>
            <w:r>
              <w:rPr>
                <w:spacing w:val="-1"/>
              </w:rPr>
              <w:t>.</w:t>
            </w:r>
            <w:r>
              <w:rPr>
                <w:rFonts w:hint="eastAsia"/>
                <w:spacing w:val="-1"/>
                <w:lang w:val="en-US" w:eastAsia="zh-CN"/>
              </w:rPr>
              <w:t>31</w:t>
            </w:r>
          </w:p>
        </w:tc>
        <w:tc>
          <w:tcPr>
            <w:tcW w:w="957" w:type="dxa"/>
          </w:tcPr>
          <w:p w14:paraId="28FE53EB">
            <w:pPr>
              <w:pStyle w:val="27"/>
              <w:spacing w:before="230" w:line="219" w:lineRule="auto"/>
              <w:ind w:left="0" w:leftChars="0" w:firstLine="0" w:firstLineChars="0"/>
            </w:pPr>
            <w:r>
              <w:rPr>
                <w:spacing w:val="-4"/>
              </w:rPr>
              <w:t>张智宏</w:t>
            </w:r>
          </w:p>
        </w:tc>
        <w:tc>
          <w:tcPr>
            <w:tcW w:w="1377" w:type="dxa"/>
          </w:tcPr>
          <w:p w14:paraId="15B58DA7">
            <w:pPr>
              <w:pStyle w:val="27"/>
              <w:spacing w:before="230" w:line="237" w:lineRule="auto"/>
              <w:ind w:left="0" w:leftChars="0" w:firstLine="0" w:firstLineChars="0"/>
              <w:rPr>
                <w:rFonts w:hint="default" w:eastAsia="宋体"/>
                <w:lang w:val="en-US" w:eastAsia="zh-CN"/>
              </w:rPr>
            </w:pPr>
            <w:r>
              <w:rPr>
                <w:spacing w:val="-1"/>
              </w:rPr>
              <w:t>2025.</w:t>
            </w:r>
            <w:r>
              <w:rPr>
                <w:rFonts w:hint="eastAsia"/>
                <w:spacing w:val="-1"/>
                <w:lang w:val="en-US" w:eastAsia="zh-CN"/>
              </w:rPr>
              <w:t>10</w:t>
            </w:r>
            <w:r>
              <w:rPr>
                <w:spacing w:val="-1"/>
              </w:rPr>
              <w:t>.</w:t>
            </w:r>
            <w:r>
              <w:rPr>
                <w:rFonts w:hint="eastAsia"/>
                <w:spacing w:val="-1"/>
                <w:lang w:val="en-US" w:eastAsia="zh-CN"/>
              </w:rPr>
              <w:t>31</w:t>
            </w:r>
          </w:p>
        </w:tc>
        <w:tc>
          <w:tcPr>
            <w:tcW w:w="1017" w:type="dxa"/>
          </w:tcPr>
          <w:p w14:paraId="0266AE05">
            <w:pPr>
              <w:pStyle w:val="27"/>
              <w:spacing w:before="230" w:line="220" w:lineRule="auto"/>
              <w:ind w:left="0" w:leftChars="0" w:firstLine="0" w:firstLineChars="0"/>
            </w:pPr>
            <w:r>
              <w:rPr>
                <w:spacing w:val="-3"/>
              </w:rPr>
              <w:t>陈垒</w:t>
            </w:r>
          </w:p>
        </w:tc>
        <w:tc>
          <w:tcPr>
            <w:tcW w:w="1271" w:type="dxa"/>
          </w:tcPr>
          <w:p w14:paraId="63E656BF">
            <w:pPr>
              <w:pStyle w:val="27"/>
              <w:spacing w:before="230" w:line="237" w:lineRule="auto"/>
              <w:ind w:left="0" w:leftChars="0" w:firstLine="0" w:firstLineChars="0"/>
              <w:rPr>
                <w:rFonts w:hint="default" w:eastAsia="宋体"/>
                <w:lang w:val="en-US" w:eastAsia="zh-CN"/>
              </w:rPr>
            </w:pPr>
            <w:r>
              <w:rPr>
                <w:spacing w:val="-1"/>
              </w:rPr>
              <w:t>2025.</w:t>
            </w:r>
            <w:r>
              <w:rPr>
                <w:rFonts w:hint="eastAsia"/>
                <w:spacing w:val="-1"/>
                <w:lang w:val="en-US" w:eastAsia="zh-CN"/>
              </w:rPr>
              <w:t>10.31</w:t>
            </w:r>
          </w:p>
        </w:tc>
        <w:tc>
          <w:tcPr>
            <w:tcW w:w="1383" w:type="dxa"/>
            <w:tcBorders>
              <w:right w:val="single" w:color="000000" w:sz="10" w:space="0"/>
            </w:tcBorders>
          </w:tcPr>
          <w:p w14:paraId="4E95D44A">
            <w:pPr>
              <w:pStyle w:val="27"/>
              <w:spacing w:before="230" w:line="217" w:lineRule="auto"/>
              <w:ind w:left="0" w:leftChars="0" w:firstLine="0" w:firstLineChars="0"/>
            </w:pPr>
            <w:r>
              <w:rPr>
                <w:spacing w:val="-5"/>
              </w:rPr>
              <w:t>首次发布</w:t>
            </w:r>
          </w:p>
        </w:tc>
      </w:tr>
      <w:tr w14:paraId="6457D2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0D4A5623">
            <w:pPr>
              <w:pStyle w:val="27"/>
              <w:spacing w:before="152" w:line="237" w:lineRule="auto"/>
              <w:ind w:left="195"/>
            </w:pPr>
          </w:p>
        </w:tc>
        <w:tc>
          <w:tcPr>
            <w:tcW w:w="881" w:type="dxa"/>
          </w:tcPr>
          <w:p w14:paraId="49ACEB17">
            <w:pPr>
              <w:pStyle w:val="27"/>
              <w:spacing w:before="152" w:line="219" w:lineRule="auto"/>
              <w:ind w:left="125"/>
            </w:pPr>
          </w:p>
        </w:tc>
        <w:tc>
          <w:tcPr>
            <w:tcW w:w="1274" w:type="dxa"/>
          </w:tcPr>
          <w:p w14:paraId="017824BE">
            <w:pPr>
              <w:pStyle w:val="27"/>
              <w:spacing w:before="152" w:line="237" w:lineRule="auto"/>
              <w:ind w:left="210"/>
            </w:pPr>
          </w:p>
        </w:tc>
        <w:tc>
          <w:tcPr>
            <w:tcW w:w="957" w:type="dxa"/>
          </w:tcPr>
          <w:p w14:paraId="6FC027EB">
            <w:pPr>
              <w:pStyle w:val="27"/>
              <w:spacing w:before="152" w:line="219" w:lineRule="auto"/>
              <w:ind w:left="168"/>
            </w:pPr>
          </w:p>
        </w:tc>
        <w:tc>
          <w:tcPr>
            <w:tcW w:w="1377" w:type="dxa"/>
          </w:tcPr>
          <w:p w14:paraId="7E7ED18D">
            <w:pPr>
              <w:pStyle w:val="27"/>
              <w:spacing w:before="152" w:line="237" w:lineRule="auto"/>
              <w:ind w:left="267"/>
            </w:pPr>
          </w:p>
        </w:tc>
        <w:tc>
          <w:tcPr>
            <w:tcW w:w="1017" w:type="dxa"/>
          </w:tcPr>
          <w:p w14:paraId="45B6ADC8">
            <w:pPr>
              <w:pStyle w:val="27"/>
              <w:spacing w:before="152" w:line="220" w:lineRule="auto"/>
              <w:ind w:left="202"/>
            </w:pPr>
          </w:p>
        </w:tc>
        <w:tc>
          <w:tcPr>
            <w:tcW w:w="1271" w:type="dxa"/>
          </w:tcPr>
          <w:p w14:paraId="77A841ED">
            <w:pPr>
              <w:pStyle w:val="27"/>
              <w:spacing w:before="152" w:line="237" w:lineRule="auto"/>
              <w:ind w:left="220"/>
            </w:pPr>
          </w:p>
        </w:tc>
        <w:tc>
          <w:tcPr>
            <w:tcW w:w="1383" w:type="dxa"/>
            <w:tcBorders>
              <w:right w:val="single" w:color="000000" w:sz="10" w:space="0"/>
            </w:tcBorders>
          </w:tcPr>
          <w:p w14:paraId="07910875">
            <w:pPr>
              <w:pStyle w:val="27"/>
              <w:spacing w:before="152" w:line="219" w:lineRule="auto"/>
              <w:ind w:left="436"/>
            </w:pPr>
          </w:p>
        </w:tc>
      </w:tr>
      <w:tr w14:paraId="672516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3139A72C">
            <w:pPr>
              <w:pStyle w:val="27"/>
              <w:spacing w:before="157" w:line="237" w:lineRule="auto"/>
              <w:ind w:left="195"/>
            </w:pPr>
          </w:p>
        </w:tc>
        <w:tc>
          <w:tcPr>
            <w:tcW w:w="881" w:type="dxa"/>
            <w:tcBorders>
              <w:bottom w:val="single" w:color="000000" w:sz="10" w:space="0"/>
            </w:tcBorders>
          </w:tcPr>
          <w:p w14:paraId="3C3C5B23">
            <w:pPr>
              <w:pStyle w:val="27"/>
              <w:spacing w:before="157" w:line="219" w:lineRule="auto"/>
              <w:ind w:left="125"/>
            </w:pPr>
          </w:p>
        </w:tc>
        <w:tc>
          <w:tcPr>
            <w:tcW w:w="1274" w:type="dxa"/>
            <w:tcBorders>
              <w:bottom w:val="single" w:color="000000" w:sz="10" w:space="0"/>
            </w:tcBorders>
          </w:tcPr>
          <w:p w14:paraId="5E725634">
            <w:pPr>
              <w:pStyle w:val="27"/>
              <w:spacing w:before="157" w:line="237" w:lineRule="auto"/>
              <w:ind w:left="210"/>
            </w:pPr>
          </w:p>
        </w:tc>
        <w:tc>
          <w:tcPr>
            <w:tcW w:w="957" w:type="dxa"/>
            <w:tcBorders>
              <w:bottom w:val="single" w:color="000000" w:sz="10" w:space="0"/>
            </w:tcBorders>
          </w:tcPr>
          <w:p w14:paraId="2AD17EA3">
            <w:pPr>
              <w:pStyle w:val="27"/>
              <w:spacing w:before="157" w:line="218" w:lineRule="auto"/>
              <w:ind w:left="164"/>
            </w:pPr>
          </w:p>
        </w:tc>
        <w:tc>
          <w:tcPr>
            <w:tcW w:w="1377" w:type="dxa"/>
            <w:tcBorders>
              <w:bottom w:val="single" w:color="000000" w:sz="10" w:space="0"/>
            </w:tcBorders>
          </w:tcPr>
          <w:p w14:paraId="7A6BACE0">
            <w:pPr>
              <w:pStyle w:val="27"/>
              <w:spacing w:before="157" w:line="237" w:lineRule="auto"/>
              <w:ind w:left="267"/>
            </w:pPr>
          </w:p>
        </w:tc>
        <w:tc>
          <w:tcPr>
            <w:tcW w:w="1017" w:type="dxa"/>
            <w:tcBorders>
              <w:bottom w:val="single" w:color="000000" w:sz="10" w:space="0"/>
            </w:tcBorders>
          </w:tcPr>
          <w:p w14:paraId="4EFAB1C7">
            <w:pPr>
              <w:pStyle w:val="27"/>
              <w:spacing w:before="157" w:line="220" w:lineRule="auto"/>
              <w:ind w:left="202"/>
            </w:pPr>
          </w:p>
        </w:tc>
        <w:tc>
          <w:tcPr>
            <w:tcW w:w="1271" w:type="dxa"/>
            <w:tcBorders>
              <w:bottom w:val="single" w:color="000000" w:sz="10" w:space="0"/>
            </w:tcBorders>
          </w:tcPr>
          <w:p w14:paraId="4555BC34">
            <w:pPr>
              <w:pStyle w:val="27"/>
              <w:spacing w:before="157" w:line="237" w:lineRule="auto"/>
              <w:ind w:left="220"/>
            </w:pPr>
          </w:p>
        </w:tc>
        <w:tc>
          <w:tcPr>
            <w:tcW w:w="1383" w:type="dxa"/>
            <w:tcBorders>
              <w:bottom w:val="single" w:color="000000" w:sz="10" w:space="0"/>
              <w:right w:val="single" w:color="000000" w:sz="10" w:space="0"/>
            </w:tcBorders>
          </w:tcPr>
          <w:p w14:paraId="722B61FD">
            <w:pPr>
              <w:pStyle w:val="27"/>
              <w:spacing w:before="157" w:line="219" w:lineRule="auto"/>
              <w:ind w:left="436"/>
            </w:pPr>
          </w:p>
        </w:tc>
      </w:tr>
    </w:tbl>
    <w:p w14:paraId="3E81F4AE">
      <w:pPr>
        <w:rPr>
          <w:rFonts w:hint="default"/>
          <w:lang w:val="en-US" w:eastAsia="zh-CN"/>
        </w:rPr>
      </w:pPr>
      <w:r>
        <w:rPr>
          <w:rFonts w:hint="default"/>
          <w:lang w:val="en-US" w:eastAsia="zh-CN"/>
        </w:rPr>
        <w:br w:type="page"/>
      </w:r>
    </w:p>
    <w:p w14:paraId="394F20D9">
      <w:pPr>
        <w:rPr>
          <w:rFonts w:hint="eastAsia"/>
        </w:rPr>
      </w:pPr>
    </w:p>
    <w:p w14:paraId="102AE5D5">
      <w:pPr>
        <w:pStyle w:val="29"/>
        <w:bidi w:val="0"/>
        <w:rPr>
          <w:rFonts w:hint="eastAsia"/>
        </w:rPr>
      </w:pPr>
      <w:r>
        <w:rPr>
          <w:rFonts w:hint="eastAsia"/>
        </w:rPr>
        <w:t>项目概要</w:t>
      </w:r>
    </w:p>
    <w:p w14:paraId="32543D89">
      <w:pPr>
        <w:pStyle w:val="30"/>
        <w:bidi w:val="0"/>
        <w:rPr>
          <w:rFonts w:hint="eastAsia"/>
        </w:rPr>
      </w:pPr>
      <w:r>
        <w:rPr>
          <w:rFonts w:hint="eastAsia"/>
        </w:rPr>
        <w:t>本报告旨在对“</w:t>
      </w:r>
      <w:r>
        <w:rPr>
          <w:rFonts w:hint="eastAsia"/>
          <w:lang w:val="en-US" w:eastAsia="zh-CN"/>
        </w:rPr>
        <w:t>天津市电力公司</w:t>
      </w:r>
      <w:r>
        <w:rPr>
          <w:rFonts w:hint="eastAsia"/>
        </w:rPr>
        <w:t>110kV变电站电力监控系统网络安全态势感知系统服务器扩容项目”进行全面总结。项目于2025年8月1日正式启动，至2025年10月31日完成最终验收，历时约三个月。本次扩容旨在解决原有系统在处理能力、数据存储及系统可靠性方面的瓶颈，通过引入新的服务器硬件、优化系统架构、实施高可用方案，全面提升态势感知系统的性能与健壮性，以满足</w:t>
      </w:r>
      <w:r>
        <w:rPr>
          <w:rFonts w:hint="eastAsia"/>
          <w:lang w:eastAsia="zh-CN"/>
        </w:rPr>
        <w:t>天津市电力公司</w:t>
      </w:r>
      <w:r>
        <w:rPr>
          <w:rFonts w:hint="eastAsia"/>
        </w:rPr>
        <w:t>未来1-3年的业务发展需求。项目严格遵循双方确认的《服务器扩容技术方案》与《服务器扩容项目实施计划》执行，现已达成所有既定目标。</w:t>
      </w:r>
    </w:p>
    <w:p w14:paraId="3E2BF3CC">
      <w:pPr>
        <w:rPr>
          <w:rFonts w:hint="eastAsia"/>
        </w:rPr>
      </w:pPr>
    </w:p>
    <w:p w14:paraId="630BFB4D">
      <w:pPr>
        <w:pStyle w:val="29"/>
        <w:bidi w:val="0"/>
        <w:rPr>
          <w:rFonts w:hint="eastAsia"/>
        </w:rPr>
      </w:pPr>
      <w:r>
        <w:rPr>
          <w:rFonts w:hint="eastAsia"/>
        </w:rPr>
        <w:t xml:space="preserve"> 项目背景与目标</w:t>
      </w:r>
    </w:p>
    <w:p w14:paraId="16327A4D">
      <w:pPr>
        <w:pStyle w:val="31"/>
        <w:bidi w:val="0"/>
        <w:rPr>
          <w:rFonts w:hint="eastAsia"/>
        </w:rPr>
      </w:pPr>
      <w:r>
        <w:rPr>
          <w:rFonts w:hint="eastAsia"/>
        </w:rPr>
        <w:t>项目背景</w:t>
      </w:r>
    </w:p>
    <w:p w14:paraId="15A4FB10">
      <w:pPr>
        <w:pStyle w:val="30"/>
        <w:bidi w:val="0"/>
        <w:rPr>
          <w:rFonts w:hint="eastAsia"/>
        </w:rPr>
      </w:pPr>
      <w:r>
        <w:rPr>
          <w:rFonts w:hint="eastAsia"/>
        </w:rPr>
        <w:t>随着</w:t>
      </w:r>
      <w:r>
        <w:rPr>
          <w:rFonts w:hint="eastAsia"/>
          <w:lang w:eastAsia="zh-CN"/>
        </w:rPr>
        <w:t>天津市电力公司</w:t>
      </w:r>
      <w:r>
        <w:rPr>
          <w:rFonts w:hint="eastAsia"/>
        </w:rPr>
        <w:t>网络安全监测范围的扩大和监测精细化要求的提升，原有网络安全态势感知系统服务器集群在业务高峰期间出现CPU利用率持续偏高、日志分析延迟增大、存储空间预警等问题，已成为系统稳定运行与效能发挥的潜在风险点。为确保核心安全业务的连续性与高效性，经甲乙双方技术评估与论证，决定启动本次服务器扩容专项工作。</w:t>
      </w:r>
    </w:p>
    <w:p w14:paraId="0D77CE59">
      <w:pPr>
        <w:pStyle w:val="31"/>
        <w:bidi w:val="0"/>
        <w:rPr>
          <w:rFonts w:hint="eastAsia"/>
        </w:rPr>
      </w:pPr>
      <w:r>
        <w:rPr>
          <w:rFonts w:hint="eastAsia"/>
        </w:rPr>
        <w:t>项目目标</w:t>
      </w:r>
    </w:p>
    <w:p w14:paraId="4C1E7D92">
      <w:pPr>
        <w:pStyle w:val="30"/>
        <w:bidi w:val="0"/>
        <w:rPr>
          <w:rFonts w:hint="eastAsia"/>
        </w:rPr>
      </w:pPr>
      <w:r>
        <w:rPr>
          <w:rFonts w:hint="eastAsia"/>
        </w:rPr>
        <w:t>性能目标：将安全事件实时处理能力提升150%以上，核心业务查询响应时间缩短至2秒以内。</w:t>
      </w:r>
    </w:p>
    <w:p w14:paraId="2AA0BFB4">
      <w:pPr>
        <w:pStyle w:val="30"/>
        <w:bidi w:val="0"/>
        <w:rPr>
          <w:rFonts w:hint="eastAsia"/>
        </w:rPr>
      </w:pPr>
      <w:r>
        <w:rPr>
          <w:rFonts w:hint="eastAsia"/>
        </w:rPr>
        <w:t>容量目标：将原始日志存储周期从3个月延长至12个月，总有效存储容量扩展300%。</w:t>
      </w:r>
    </w:p>
    <w:p w14:paraId="7706C32A">
      <w:pPr>
        <w:pStyle w:val="30"/>
        <w:bidi w:val="0"/>
        <w:rPr>
          <w:rFonts w:hint="eastAsia"/>
        </w:rPr>
      </w:pPr>
      <w:r>
        <w:rPr>
          <w:rFonts w:hint="eastAsia"/>
        </w:rPr>
        <w:t>可靠性目标：实现核心分析服务与数据库服务的高可用部署，消除单点故障，确保系统整体可用性不低于99.9%。</w:t>
      </w:r>
    </w:p>
    <w:p w14:paraId="6021E4BE">
      <w:pPr>
        <w:pStyle w:val="30"/>
        <w:bidi w:val="0"/>
        <w:rPr>
          <w:rFonts w:hint="eastAsia"/>
        </w:rPr>
      </w:pPr>
      <w:r>
        <w:rPr>
          <w:rFonts w:hint="eastAsia"/>
        </w:rPr>
        <w:t>管理目标：完成平滑扩容，确保业务零中断或最小化中断；完善系统文档并对甲方运维团队进行有效赋能。</w:t>
      </w:r>
    </w:p>
    <w:p w14:paraId="60982104">
      <w:pPr>
        <w:pStyle w:val="29"/>
        <w:bidi w:val="0"/>
        <w:rPr>
          <w:rFonts w:hint="eastAsia"/>
        </w:rPr>
      </w:pPr>
      <w:r>
        <w:rPr>
          <w:rFonts w:hint="eastAsia"/>
        </w:rPr>
        <w:t>实施内容与过程回顾</w:t>
      </w:r>
    </w:p>
    <w:p w14:paraId="1BB3922B">
      <w:pPr>
        <w:pStyle w:val="31"/>
        <w:bidi w:val="0"/>
        <w:rPr>
          <w:rFonts w:hint="eastAsia"/>
        </w:rPr>
      </w:pPr>
      <w:r>
        <w:rPr>
          <w:rFonts w:hint="eastAsia"/>
        </w:rPr>
        <w:t>主要实施内容</w:t>
      </w:r>
    </w:p>
    <w:p w14:paraId="69A5D88D">
      <w:pPr>
        <w:pStyle w:val="30"/>
        <w:bidi w:val="0"/>
        <w:rPr>
          <w:rFonts w:hint="eastAsia"/>
        </w:rPr>
      </w:pPr>
      <w:r>
        <w:rPr>
          <w:rFonts w:hint="eastAsia"/>
        </w:rPr>
        <w:t>现状评估与方案设计： 对原系统进行了为期一周的深度性能剖析，精准定位了计算与存储瓶颈，并据此完成了详细的扩容架构设计。</w:t>
      </w:r>
    </w:p>
    <w:p w14:paraId="00248E65">
      <w:pPr>
        <w:pStyle w:val="30"/>
        <w:bidi w:val="0"/>
        <w:rPr>
          <w:rFonts w:hint="eastAsia"/>
        </w:rPr>
      </w:pPr>
      <w:r>
        <w:rPr>
          <w:rFonts w:hint="eastAsia"/>
        </w:rPr>
        <w:t>硬件部署：新增了</w:t>
      </w:r>
      <w:r>
        <w:rPr>
          <w:rFonts w:hint="eastAsia"/>
          <w:lang w:val="en-US" w:eastAsia="zh-CN"/>
        </w:rPr>
        <w:t>5</w:t>
      </w:r>
      <w:r>
        <w:rPr>
          <w:rFonts w:hint="eastAsia"/>
        </w:rPr>
        <w:t>台高性能数据分析节点与</w:t>
      </w:r>
      <w:r>
        <w:rPr>
          <w:rFonts w:hint="eastAsia"/>
          <w:lang w:val="en-US" w:eastAsia="zh-CN"/>
        </w:rPr>
        <w:t>3</w:t>
      </w:r>
      <w:r>
        <w:rPr>
          <w:rFonts w:hint="eastAsia"/>
        </w:rPr>
        <w:t>台大容量分布式存储节点，全部设备于2025年9月25日完成到货验收与上架。</w:t>
      </w:r>
    </w:p>
    <w:p w14:paraId="7BFF39B1">
      <w:pPr>
        <w:pStyle w:val="30"/>
        <w:bidi w:val="0"/>
        <w:rPr>
          <w:rFonts w:hint="eastAsia"/>
        </w:rPr>
      </w:pPr>
      <w:r>
        <w:rPr>
          <w:rFonts w:hint="eastAsia"/>
        </w:rPr>
        <w:t>软件与架构部署：</w:t>
      </w:r>
    </w:p>
    <w:p w14:paraId="67967A08">
      <w:pPr>
        <w:pStyle w:val="30"/>
        <w:bidi w:val="0"/>
        <w:rPr>
          <w:rFonts w:hint="eastAsia"/>
        </w:rPr>
      </w:pPr>
      <w:r>
        <w:rPr>
          <w:rFonts w:hint="eastAsia"/>
        </w:rPr>
        <w:t>在新服务器上部署了标准化操作系统及运行环境。</w:t>
      </w:r>
    </w:p>
    <w:p w14:paraId="725A5B00">
      <w:pPr>
        <w:pStyle w:val="30"/>
        <w:bidi w:val="0"/>
        <w:rPr>
          <w:rFonts w:hint="eastAsia"/>
        </w:rPr>
      </w:pPr>
      <w:r>
        <w:rPr>
          <w:rFonts w:hint="eastAsia"/>
        </w:rPr>
        <w:t>完成了态势感知系统新增组件的安装与配置。</w:t>
      </w:r>
    </w:p>
    <w:p w14:paraId="063BBE77">
      <w:pPr>
        <w:pStyle w:val="30"/>
        <w:bidi w:val="0"/>
        <w:rPr>
          <w:rFonts w:hint="eastAsia"/>
        </w:rPr>
      </w:pPr>
      <w:r>
        <w:rPr>
          <w:rFonts w:hint="eastAsia"/>
        </w:rPr>
        <w:t>成功部署了基于负载均衡器+应用集群的高可用分析服务架构。</w:t>
      </w:r>
    </w:p>
    <w:p w14:paraId="1C448BCD">
      <w:pPr>
        <w:pStyle w:val="30"/>
        <w:bidi w:val="0"/>
        <w:rPr>
          <w:rFonts w:hint="eastAsia"/>
        </w:rPr>
      </w:pPr>
      <w:r>
        <w:rPr>
          <w:rFonts w:hint="eastAsia"/>
        </w:rPr>
        <w:t>实施了数据库主从复制与自动故障切换方案。</w:t>
      </w:r>
    </w:p>
    <w:p w14:paraId="4DFC5CEB">
      <w:pPr>
        <w:pStyle w:val="30"/>
        <w:bidi w:val="0"/>
        <w:rPr>
          <w:rFonts w:hint="eastAsia"/>
        </w:rPr>
      </w:pPr>
      <w:r>
        <w:rPr>
          <w:rFonts w:hint="eastAsia"/>
        </w:rPr>
        <w:t>系统割接与数据迁移：于2025年10月21日业务低峰期，按照预先演练的《系统割接实施方案》，在4小时内完成了历史数据的平滑迁移与业务服务的无缝切换，过程顺利，未发生服务中断与数据丢失。</w:t>
      </w:r>
    </w:p>
    <w:p w14:paraId="677336EF">
      <w:pPr>
        <w:pStyle w:val="30"/>
        <w:bidi w:val="0"/>
        <w:rPr>
          <w:rFonts w:hint="eastAsia"/>
        </w:rPr>
      </w:pPr>
      <w:r>
        <w:rPr>
          <w:rFonts w:hint="eastAsia"/>
        </w:rPr>
        <w:t>测试验证与调优：割接后进行了全面的功能验证、性能压力测试及高可用故障切换演练，并根据测试结果对系统参数进行了针对性优化。</w:t>
      </w:r>
    </w:p>
    <w:p w14:paraId="2BF9EAB8">
      <w:pPr>
        <w:pStyle w:val="30"/>
        <w:bidi w:val="0"/>
        <w:rPr>
          <w:rFonts w:hint="eastAsia"/>
        </w:rPr>
      </w:pPr>
      <w:r>
        <w:rPr>
          <w:rFonts w:hint="eastAsia"/>
        </w:rPr>
        <w:t>知识转移： 组织完成了针对甲方运维人员的专项培训，内容涵盖新架构运维、日常监控、故障处置流程等。</w:t>
      </w:r>
    </w:p>
    <w:p w14:paraId="486131E1">
      <w:pPr>
        <w:pStyle w:val="31"/>
        <w:bidi w:val="0"/>
        <w:rPr>
          <w:rFonts w:hint="eastAsia"/>
        </w:rPr>
      </w:pPr>
      <w:r>
        <w:rPr>
          <w:rFonts w:hint="eastAsia"/>
        </w:rPr>
        <w:t>关键时间节点</w:t>
      </w:r>
    </w:p>
    <w:p w14:paraId="7FC22518">
      <w:pPr>
        <w:pStyle w:val="40"/>
        <w:bidi w:val="0"/>
        <w:rPr>
          <w:rFonts w:hint="eastAsia"/>
        </w:rPr>
      </w:pPr>
      <w:r>
        <w:rPr>
          <w:rFonts w:hint="eastAsia"/>
        </w:rPr>
        <w:t>2025年8月14日：扩容详细设计方案通过双方评审确认。</w:t>
      </w:r>
    </w:p>
    <w:p w14:paraId="52FA8DFE">
      <w:pPr>
        <w:pStyle w:val="40"/>
        <w:bidi w:val="0"/>
        <w:rPr>
          <w:rFonts w:hint="eastAsia"/>
        </w:rPr>
      </w:pPr>
      <w:r>
        <w:rPr>
          <w:rFonts w:hint="eastAsia"/>
        </w:rPr>
        <w:t>2025年9月25日：全部新增硬件设备到货验收合格。</w:t>
      </w:r>
    </w:p>
    <w:p w14:paraId="780299BB">
      <w:pPr>
        <w:pStyle w:val="40"/>
        <w:bidi w:val="0"/>
        <w:rPr>
          <w:rFonts w:hint="eastAsia"/>
        </w:rPr>
      </w:pPr>
      <w:r>
        <w:rPr>
          <w:rFonts w:hint="eastAsia"/>
        </w:rPr>
        <w:t>2025年10月17日：完成软硬件安装部署与初步联调。</w:t>
      </w:r>
    </w:p>
    <w:p w14:paraId="3DFF9F57">
      <w:pPr>
        <w:pStyle w:val="40"/>
        <w:bidi w:val="0"/>
        <w:rPr>
          <w:rFonts w:hint="eastAsia"/>
        </w:rPr>
      </w:pPr>
      <w:r>
        <w:rPr>
          <w:rFonts w:hint="eastAsia"/>
        </w:rPr>
        <w:t>2025年10月21日：完成系统割接，新集群正式上线。</w:t>
      </w:r>
    </w:p>
    <w:p w14:paraId="55F70F1D">
      <w:pPr>
        <w:pStyle w:val="40"/>
        <w:bidi w:val="0"/>
        <w:rPr>
          <w:rFonts w:hint="eastAsia"/>
        </w:rPr>
      </w:pPr>
      <w:r>
        <w:rPr>
          <w:rFonts w:hint="eastAsia"/>
        </w:rPr>
        <w:t>2025年10月31日：项目通过双方最终验收。</w:t>
      </w:r>
    </w:p>
    <w:p w14:paraId="4ED03893">
      <w:pPr>
        <w:pStyle w:val="29"/>
        <w:bidi w:val="0"/>
        <w:rPr>
          <w:rFonts w:hint="eastAsia"/>
        </w:rPr>
      </w:pPr>
      <w:r>
        <w:rPr>
          <w:rFonts w:hint="eastAsia"/>
        </w:rPr>
        <w:t>项目成果与验收情况</w:t>
      </w:r>
    </w:p>
    <w:p w14:paraId="407066C5">
      <w:pPr>
        <w:pStyle w:val="31"/>
        <w:bidi w:val="0"/>
        <w:rPr>
          <w:rFonts w:hint="eastAsia"/>
        </w:rPr>
      </w:pPr>
      <w:r>
        <w:rPr>
          <w:rFonts w:hint="eastAsia"/>
        </w:rPr>
        <w:t>验收指标达成情况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406"/>
        <w:gridCol w:w="1396"/>
        <w:gridCol w:w="2129"/>
        <w:gridCol w:w="1190"/>
      </w:tblGrid>
      <w:tr w14:paraId="06E3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20" w:type="dxa"/>
              <w:left w:w="0" w:type="dxa"/>
              <w:bottom w:w="120" w:type="dxa"/>
              <w:right w:w="192" w:type="dxa"/>
            </w:tcMar>
            <w:vAlign w:val="center"/>
          </w:tcPr>
          <w:p w14:paraId="20BB2022">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验收指标</w:t>
            </w:r>
          </w:p>
        </w:tc>
        <w:tc>
          <w:tcPr>
            <w:tcW w:w="0" w:type="auto"/>
            <w:shd w:val="clear" w:color="auto" w:fill="FFFFFF"/>
            <w:tcMar>
              <w:top w:w="120" w:type="dxa"/>
              <w:left w:w="192" w:type="dxa"/>
              <w:bottom w:w="120" w:type="dxa"/>
              <w:right w:w="192" w:type="dxa"/>
            </w:tcMar>
            <w:vAlign w:val="center"/>
          </w:tcPr>
          <w:p w14:paraId="03D80D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目标值</w:t>
            </w:r>
          </w:p>
        </w:tc>
        <w:tc>
          <w:tcPr>
            <w:tcW w:w="0" w:type="auto"/>
            <w:shd w:val="clear" w:color="auto" w:fill="FFFFFF"/>
            <w:tcMar>
              <w:top w:w="120" w:type="dxa"/>
              <w:left w:w="192" w:type="dxa"/>
              <w:bottom w:w="120" w:type="dxa"/>
              <w:right w:w="192" w:type="dxa"/>
            </w:tcMar>
            <w:vAlign w:val="center"/>
          </w:tcPr>
          <w:p w14:paraId="62A84D9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实测值</w:t>
            </w:r>
          </w:p>
        </w:tc>
        <w:tc>
          <w:tcPr>
            <w:tcW w:w="0" w:type="auto"/>
            <w:shd w:val="clear" w:color="auto" w:fill="FFFFFF"/>
            <w:tcMar>
              <w:top w:w="120" w:type="dxa"/>
              <w:left w:w="192" w:type="dxa"/>
              <w:bottom w:w="120" w:type="dxa"/>
              <w:right w:w="192" w:type="dxa"/>
            </w:tcMar>
            <w:vAlign w:val="center"/>
          </w:tcPr>
          <w:p w14:paraId="2E1C907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达成情况</w:t>
            </w:r>
          </w:p>
        </w:tc>
      </w:tr>
      <w:tr w14:paraId="5BA1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E17488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事件处理吞吐量</w:t>
            </w:r>
          </w:p>
        </w:tc>
        <w:tc>
          <w:tcPr>
            <w:tcW w:w="0" w:type="auto"/>
            <w:shd w:val="clear" w:color="auto" w:fill="FFFFFF"/>
            <w:tcMar>
              <w:top w:w="120" w:type="dxa"/>
              <w:left w:w="192" w:type="dxa"/>
              <w:bottom w:w="120" w:type="dxa"/>
              <w:right w:w="192" w:type="dxa"/>
            </w:tcMar>
            <w:vAlign w:val="center"/>
          </w:tcPr>
          <w:p w14:paraId="7C1102D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提升 ≥150%</w:t>
            </w:r>
          </w:p>
        </w:tc>
        <w:tc>
          <w:tcPr>
            <w:tcW w:w="0" w:type="auto"/>
            <w:shd w:val="clear" w:color="auto" w:fill="FFFFFF"/>
            <w:tcMar>
              <w:top w:w="120" w:type="dxa"/>
              <w:left w:w="192" w:type="dxa"/>
              <w:bottom w:w="120" w:type="dxa"/>
              <w:right w:w="192" w:type="dxa"/>
            </w:tcMar>
            <w:vAlign w:val="center"/>
          </w:tcPr>
          <w:p w14:paraId="2CBD5BA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提升 180%</w:t>
            </w:r>
          </w:p>
        </w:tc>
        <w:tc>
          <w:tcPr>
            <w:tcW w:w="0" w:type="auto"/>
            <w:shd w:val="clear" w:color="auto" w:fill="FFFFFF"/>
            <w:tcMar>
              <w:top w:w="120" w:type="dxa"/>
              <w:left w:w="192" w:type="dxa"/>
              <w:bottom w:w="120" w:type="dxa"/>
              <w:right w:w="0" w:type="dxa"/>
            </w:tcMar>
            <w:vAlign w:val="center"/>
          </w:tcPr>
          <w:p w14:paraId="6C5986D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 超额完成</w:t>
            </w:r>
          </w:p>
        </w:tc>
      </w:tr>
      <w:tr w14:paraId="52CA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8C7186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管理界面查询响应时间</w:t>
            </w:r>
          </w:p>
        </w:tc>
        <w:tc>
          <w:tcPr>
            <w:tcW w:w="0" w:type="auto"/>
            <w:shd w:val="clear" w:color="auto" w:fill="FFFFFF"/>
            <w:tcMar>
              <w:top w:w="120" w:type="dxa"/>
              <w:left w:w="192" w:type="dxa"/>
              <w:bottom w:w="120" w:type="dxa"/>
              <w:right w:w="192" w:type="dxa"/>
            </w:tcMar>
            <w:vAlign w:val="center"/>
          </w:tcPr>
          <w:p w14:paraId="2937A59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2秒</w:t>
            </w:r>
          </w:p>
        </w:tc>
        <w:tc>
          <w:tcPr>
            <w:tcW w:w="0" w:type="auto"/>
            <w:shd w:val="clear" w:color="auto" w:fill="FFFFFF"/>
            <w:tcMar>
              <w:top w:w="120" w:type="dxa"/>
              <w:left w:w="192" w:type="dxa"/>
              <w:bottom w:w="120" w:type="dxa"/>
              <w:right w:w="192" w:type="dxa"/>
            </w:tcMar>
            <w:vAlign w:val="center"/>
          </w:tcPr>
          <w:p w14:paraId="5444094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1.5秒</w:t>
            </w:r>
          </w:p>
        </w:tc>
        <w:tc>
          <w:tcPr>
            <w:tcW w:w="0" w:type="auto"/>
            <w:shd w:val="clear" w:color="auto" w:fill="FFFFFF"/>
            <w:tcMar>
              <w:top w:w="120" w:type="dxa"/>
              <w:left w:w="192" w:type="dxa"/>
              <w:bottom w:w="120" w:type="dxa"/>
              <w:right w:w="0" w:type="dxa"/>
            </w:tcMar>
            <w:vAlign w:val="center"/>
          </w:tcPr>
          <w:p w14:paraId="5282D52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 完成</w:t>
            </w:r>
          </w:p>
        </w:tc>
      </w:tr>
      <w:tr w14:paraId="38648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2C904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原始日志存储周期</w:t>
            </w:r>
          </w:p>
        </w:tc>
        <w:tc>
          <w:tcPr>
            <w:tcW w:w="0" w:type="auto"/>
            <w:shd w:val="clear" w:color="auto" w:fill="FFFFFF"/>
            <w:tcMar>
              <w:top w:w="120" w:type="dxa"/>
              <w:left w:w="192" w:type="dxa"/>
              <w:bottom w:w="120" w:type="dxa"/>
              <w:right w:w="192" w:type="dxa"/>
            </w:tcMar>
            <w:vAlign w:val="center"/>
          </w:tcPr>
          <w:p w14:paraId="2D756F2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12个月</w:t>
            </w:r>
          </w:p>
        </w:tc>
        <w:tc>
          <w:tcPr>
            <w:tcW w:w="0" w:type="auto"/>
            <w:shd w:val="clear" w:color="auto" w:fill="FFFFFF"/>
            <w:tcMar>
              <w:top w:w="120" w:type="dxa"/>
              <w:left w:w="192" w:type="dxa"/>
              <w:bottom w:w="120" w:type="dxa"/>
              <w:right w:w="192" w:type="dxa"/>
            </w:tcMar>
            <w:vAlign w:val="center"/>
          </w:tcPr>
          <w:p w14:paraId="7B1D4EB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12个月（理论值）</w:t>
            </w:r>
          </w:p>
        </w:tc>
        <w:tc>
          <w:tcPr>
            <w:tcW w:w="0" w:type="auto"/>
            <w:shd w:val="clear" w:color="auto" w:fill="FFFFFF"/>
            <w:tcMar>
              <w:top w:w="120" w:type="dxa"/>
              <w:left w:w="192" w:type="dxa"/>
              <w:bottom w:w="120" w:type="dxa"/>
              <w:right w:w="0" w:type="dxa"/>
            </w:tcMar>
            <w:vAlign w:val="center"/>
          </w:tcPr>
          <w:p w14:paraId="6F45E49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 完成</w:t>
            </w:r>
          </w:p>
        </w:tc>
      </w:tr>
      <w:tr w14:paraId="4831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D065DC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核心服务可用性</w:t>
            </w:r>
          </w:p>
        </w:tc>
        <w:tc>
          <w:tcPr>
            <w:tcW w:w="0" w:type="auto"/>
            <w:shd w:val="clear" w:color="auto" w:fill="FFFFFF"/>
            <w:tcMar>
              <w:top w:w="120" w:type="dxa"/>
              <w:left w:w="192" w:type="dxa"/>
              <w:bottom w:w="120" w:type="dxa"/>
              <w:right w:w="192" w:type="dxa"/>
            </w:tcMar>
            <w:vAlign w:val="center"/>
          </w:tcPr>
          <w:p w14:paraId="3989C0C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99.9%</w:t>
            </w:r>
          </w:p>
        </w:tc>
        <w:tc>
          <w:tcPr>
            <w:tcW w:w="0" w:type="auto"/>
            <w:shd w:val="clear" w:color="auto" w:fill="FFFFFF"/>
            <w:tcMar>
              <w:top w:w="120" w:type="dxa"/>
              <w:left w:w="192" w:type="dxa"/>
              <w:bottom w:w="120" w:type="dxa"/>
              <w:right w:w="192" w:type="dxa"/>
            </w:tcMar>
            <w:vAlign w:val="center"/>
          </w:tcPr>
          <w:p w14:paraId="2903811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模拟测试可达 99.95%</w:t>
            </w:r>
          </w:p>
        </w:tc>
        <w:tc>
          <w:tcPr>
            <w:tcW w:w="0" w:type="auto"/>
            <w:shd w:val="clear" w:color="auto" w:fill="FFFFFF"/>
            <w:tcMar>
              <w:top w:w="120" w:type="dxa"/>
              <w:left w:w="192" w:type="dxa"/>
              <w:bottom w:w="120" w:type="dxa"/>
              <w:right w:w="0" w:type="dxa"/>
            </w:tcMar>
            <w:vAlign w:val="center"/>
          </w:tcPr>
          <w:p w14:paraId="6B4B5CF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 完成</w:t>
            </w:r>
          </w:p>
        </w:tc>
      </w:tr>
      <w:tr w14:paraId="7070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ED7B2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数据库故障切换时间 (RTO)</w:t>
            </w:r>
          </w:p>
        </w:tc>
        <w:tc>
          <w:tcPr>
            <w:tcW w:w="0" w:type="auto"/>
            <w:shd w:val="clear" w:color="auto" w:fill="FFFFFF"/>
            <w:tcMar>
              <w:top w:w="120" w:type="dxa"/>
              <w:left w:w="192" w:type="dxa"/>
              <w:bottom w:w="120" w:type="dxa"/>
              <w:right w:w="192" w:type="dxa"/>
            </w:tcMar>
            <w:vAlign w:val="center"/>
          </w:tcPr>
          <w:p w14:paraId="5BA0498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&lt; 5分钟</w:t>
            </w:r>
          </w:p>
        </w:tc>
        <w:tc>
          <w:tcPr>
            <w:tcW w:w="0" w:type="auto"/>
            <w:shd w:val="clear" w:color="auto" w:fill="FFFFFF"/>
            <w:tcMar>
              <w:top w:w="120" w:type="dxa"/>
              <w:left w:w="192" w:type="dxa"/>
              <w:bottom w:w="120" w:type="dxa"/>
              <w:right w:w="192" w:type="dxa"/>
            </w:tcMar>
            <w:vAlign w:val="center"/>
          </w:tcPr>
          <w:p w14:paraId="4ED4B75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&lt; 3分钟</w:t>
            </w:r>
          </w:p>
        </w:tc>
        <w:tc>
          <w:tcPr>
            <w:tcW w:w="0" w:type="auto"/>
            <w:shd w:val="clear" w:color="auto" w:fill="FFFFFF"/>
            <w:tcMar>
              <w:top w:w="120" w:type="dxa"/>
              <w:left w:w="192" w:type="dxa"/>
              <w:bottom w:w="120" w:type="dxa"/>
              <w:right w:w="0" w:type="dxa"/>
            </w:tcMar>
            <w:vAlign w:val="center"/>
          </w:tcPr>
          <w:p w14:paraId="19CE5CE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 完成</w:t>
            </w:r>
          </w:p>
        </w:tc>
      </w:tr>
      <w:tr w14:paraId="69A85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249957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业务割接中断时间</w:t>
            </w:r>
          </w:p>
        </w:tc>
        <w:tc>
          <w:tcPr>
            <w:tcW w:w="0" w:type="auto"/>
            <w:shd w:val="clear" w:color="auto" w:fill="FFFFFF"/>
            <w:tcMar>
              <w:top w:w="120" w:type="dxa"/>
              <w:left w:w="192" w:type="dxa"/>
              <w:bottom w:w="120" w:type="dxa"/>
              <w:right w:w="192" w:type="dxa"/>
            </w:tcMar>
            <w:vAlign w:val="center"/>
          </w:tcPr>
          <w:p w14:paraId="754B132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计划窗口内</w:t>
            </w:r>
          </w:p>
        </w:tc>
        <w:tc>
          <w:tcPr>
            <w:tcW w:w="0" w:type="auto"/>
            <w:shd w:val="clear" w:color="auto" w:fill="FFFFFF"/>
            <w:tcMar>
              <w:top w:w="120" w:type="dxa"/>
              <w:left w:w="192" w:type="dxa"/>
              <w:bottom w:w="120" w:type="dxa"/>
              <w:right w:w="192" w:type="dxa"/>
            </w:tcMar>
            <w:vAlign w:val="center"/>
          </w:tcPr>
          <w:p w14:paraId="7D84DCA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 （无缝切换）</w:t>
            </w:r>
          </w:p>
        </w:tc>
        <w:tc>
          <w:tcPr>
            <w:tcW w:w="0" w:type="auto"/>
            <w:shd w:val="clear" w:color="auto" w:fill="FFFFFF"/>
            <w:tcMar>
              <w:top w:w="120" w:type="dxa"/>
              <w:left w:w="192" w:type="dxa"/>
              <w:bottom w:w="120" w:type="dxa"/>
              <w:right w:w="0" w:type="dxa"/>
            </w:tcMar>
            <w:vAlign w:val="center"/>
          </w:tcPr>
          <w:p w14:paraId="67599CC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 完成</w:t>
            </w:r>
          </w:p>
        </w:tc>
      </w:tr>
    </w:tbl>
    <w:p w14:paraId="2338B694">
      <w:pPr>
        <w:pStyle w:val="31"/>
        <w:bidi w:val="0"/>
        <w:rPr>
          <w:rFonts w:hint="eastAsia"/>
        </w:rPr>
      </w:pPr>
      <w:r>
        <w:rPr>
          <w:rFonts w:hint="eastAsia"/>
        </w:rPr>
        <w:t>最终验收结论</w:t>
      </w:r>
    </w:p>
    <w:p w14:paraId="2119F62D">
      <w:pPr>
        <w:pStyle w:val="30"/>
        <w:bidi w:val="0"/>
        <w:rPr>
          <w:rFonts w:hint="eastAsia"/>
        </w:rPr>
      </w:pPr>
      <w:r>
        <w:rPr>
          <w:rFonts w:hint="eastAsia"/>
        </w:rPr>
        <w:t>2025年10月31日，甲乙双方项目组共同召开项目验收评审会。经审议，一致认为本项目已全部完成合同与方案约定的工作内容，交付成果完整、符合要求，各项性能与功能指标均达到或超过预期目标。双方代表现场签署了《项目最终验收报告》，确认本项目顺利通过验收。</w:t>
      </w:r>
    </w:p>
    <w:p w14:paraId="1756BE93">
      <w:pPr>
        <w:pStyle w:val="29"/>
        <w:bidi w:val="0"/>
        <w:rPr>
          <w:rFonts w:hint="eastAsia"/>
        </w:rPr>
      </w:pPr>
      <w:r>
        <w:rPr>
          <w:rFonts w:hint="eastAsia"/>
        </w:rPr>
        <w:t>经验总结与改进建议</w:t>
      </w:r>
    </w:p>
    <w:p w14:paraId="325E1A19">
      <w:pPr>
        <w:pStyle w:val="31"/>
        <w:bidi w:val="0"/>
        <w:rPr>
          <w:rFonts w:hint="eastAsia"/>
        </w:rPr>
      </w:pPr>
      <w:r>
        <w:rPr>
          <w:rFonts w:hint="eastAsia"/>
        </w:rPr>
        <w:t>成功经验</w:t>
      </w:r>
    </w:p>
    <w:p w14:paraId="1C869282">
      <w:pPr>
        <w:pStyle w:val="30"/>
        <w:bidi w:val="0"/>
        <w:rPr>
          <w:rFonts w:hint="eastAsia"/>
        </w:rPr>
      </w:pPr>
      <w:r>
        <w:rPr>
          <w:rFonts w:hint="eastAsia"/>
        </w:rPr>
        <w:t>前期评估充分：深入的现状分析为精准设计扩容方案奠定了基础，避免了资源浪费或能力不足。</w:t>
      </w:r>
    </w:p>
    <w:p w14:paraId="6BCCA317">
      <w:pPr>
        <w:pStyle w:val="30"/>
        <w:bidi w:val="0"/>
        <w:rPr>
          <w:rFonts w:hint="eastAsia"/>
        </w:rPr>
      </w:pPr>
      <w:r>
        <w:rPr>
          <w:rFonts w:hint="eastAsia"/>
        </w:rPr>
        <w:t>计划周密且沟通顺畅：详实的实施计划与定期的沟通机制，确保了各环节衔接紧密，风险可控。</w:t>
      </w:r>
    </w:p>
    <w:p w14:paraId="6F9E8F52">
      <w:pPr>
        <w:pStyle w:val="30"/>
        <w:bidi w:val="0"/>
        <w:rPr>
          <w:rFonts w:hint="eastAsia"/>
        </w:rPr>
      </w:pPr>
      <w:r>
        <w:rPr>
          <w:rFonts w:hint="eastAsia"/>
        </w:rPr>
        <w:t>割接方案完备：经过多次评审和模拟演练的割接方案，是保障业务平稳过渡的关键。</w:t>
      </w:r>
    </w:p>
    <w:p w14:paraId="447A2AA4">
      <w:pPr>
        <w:pStyle w:val="30"/>
        <w:bidi w:val="0"/>
        <w:rPr>
          <w:rFonts w:hint="eastAsia"/>
        </w:rPr>
      </w:pPr>
      <w:r>
        <w:rPr>
          <w:rFonts w:hint="eastAsia"/>
        </w:rPr>
        <w:t>团队协作高效：甲乙双方项目团队职责清晰、配合默契，有效推动了项目进程。</w:t>
      </w:r>
    </w:p>
    <w:p w14:paraId="77A2A573">
      <w:pPr>
        <w:pStyle w:val="31"/>
        <w:bidi w:val="0"/>
        <w:rPr>
          <w:rFonts w:hint="eastAsia"/>
        </w:rPr>
      </w:pPr>
      <w:r>
        <w:rPr>
          <w:rFonts w:hint="eastAsia"/>
        </w:rPr>
        <w:t>待改进之处与建议</w:t>
      </w:r>
    </w:p>
    <w:p w14:paraId="74874E45">
      <w:pPr>
        <w:pStyle w:val="30"/>
        <w:bidi w:val="0"/>
        <w:rPr>
          <w:rFonts w:hint="eastAsia"/>
        </w:rPr>
      </w:pPr>
      <w:r>
        <w:rPr>
          <w:rFonts w:hint="eastAsia"/>
        </w:rPr>
        <w:t>供应链风险：硬件采购周期存在不确定性。建议未来类似项目应更早启动采购流程，或提前确定备用设备型号。</w:t>
      </w:r>
    </w:p>
    <w:p w14:paraId="18CCEF66">
      <w:pPr>
        <w:pStyle w:val="30"/>
        <w:bidi w:val="0"/>
        <w:rPr>
          <w:rFonts w:hint="eastAsia"/>
        </w:rPr>
      </w:pPr>
      <w:r>
        <w:rPr>
          <w:rFonts w:hint="eastAsia"/>
        </w:rPr>
        <w:t>文档版本管理：实施过程中配置变更频繁，需加强文档的实时更新与版本管理。建议引入协同文档工具或建立更严格的文档更新流程。</w:t>
      </w:r>
    </w:p>
    <w:p w14:paraId="17E4F256">
      <w:pPr>
        <w:pStyle w:val="30"/>
        <w:bidi w:val="0"/>
        <w:rPr>
          <w:rFonts w:hint="eastAsia"/>
        </w:rPr>
      </w:pPr>
      <w:r>
        <w:rPr>
          <w:rFonts w:hint="eastAsia"/>
        </w:rPr>
        <w:t>运维赋能深度：本次培训偏重日常操作。建议未来可安排针对复杂故障排查和性能深度优化的进阶培训。</w:t>
      </w:r>
    </w:p>
    <w:p w14:paraId="48F8C20B">
      <w:pPr>
        <w:pStyle w:val="29"/>
        <w:bidi w:val="0"/>
        <w:rPr>
          <w:rFonts w:hint="eastAsia"/>
        </w:rPr>
      </w:pPr>
      <w:r>
        <w:rPr>
          <w:rFonts w:hint="eastAsia"/>
        </w:rPr>
        <w:t>结论</w:t>
      </w:r>
    </w:p>
    <w:p w14:paraId="1F0D7E69">
      <w:pPr>
        <w:pStyle w:val="30"/>
        <w:bidi w:val="0"/>
      </w:pPr>
      <w:r>
        <w:rPr>
          <w:rFonts w:hint="eastAsia"/>
        </w:rPr>
        <w:t>本次</w:t>
      </w:r>
      <w:r>
        <w:rPr>
          <w:rFonts w:hint="eastAsia"/>
          <w:lang w:eastAsia="zh-CN"/>
        </w:rPr>
        <w:t>天津市电力公司</w:t>
      </w:r>
      <w:r>
        <w:rPr>
          <w:rFonts w:hint="eastAsia"/>
        </w:rPr>
        <w:t>110kV变电站电力监控系统网络安全态势感知系统服务器扩容项目已圆满成功。通过本次扩容，系统成功突破了原有的性能与容量瓶颈，显著提升了数据处理效率、系统可靠性及运维保障能力，为</w:t>
      </w:r>
      <w:r>
        <w:rPr>
          <w:rFonts w:hint="eastAsia"/>
          <w:lang w:eastAsia="zh-CN"/>
        </w:rPr>
        <w:t>天津市电力公司</w:t>
      </w:r>
      <w:r>
        <w:rPr>
          <w:rFonts w:hint="eastAsia"/>
        </w:rPr>
        <w:t>网络安全监控业务的长期稳定运行奠定了坚实的硬件与架构基础。项目实现了预期的所有技术与管理目标，取得了良好的实施效果。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622455"/>
    <w:rsid w:val="04D05CEB"/>
    <w:rsid w:val="079E79DA"/>
    <w:rsid w:val="0A23066B"/>
    <w:rsid w:val="0ABA2D7D"/>
    <w:rsid w:val="0B512FB6"/>
    <w:rsid w:val="0CA313D8"/>
    <w:rsid w:val="1001144E"/>
    <w:rsid w:val="139525D9"/>
    <w:rsid w:val="13BF7656"/>
    <w:rsid w:val="153320AA"/>
    <w:rsid w:val="174F2A9F"/>
    <w:rsid w:val="19B14345"/>
    <w:rsid w:val="19C20D5B"/>
    <w:rsid w:val="1E470974"/>
    <w:rsid w:val="1F2C545F"/>
    <w:rsid w:val="1FDB5DBE"/>
    <w:rsid w:val="23A128D5"/>
    <w:rsid w:val="24F01956"/>
    <w:rsid w:val="28302479"/>
    <w:rsid w:val="283D33AC"/>
    <w:rsid w:val="32601BAD"/>
    <w:rsid w:val="33ED121E"/>
    <w:rsid w:val="38F6475A"/>
    <w:rsid w:val="393A469C"/>
    <w:rsid w:val="39F72585"/>
    <w:rsid w:val="44202DF5"/>
    <w:rsid w:val="4484172B"/>
    <w:rsid w:val="45444E9C"/>
    <w:rsid w:val="4A8B2371"/>
    <w:rsid w:val="4B5C51AF"/>
    <w:rsid w:val="53746E0E"/>
    <w:rsid w:val="596100A0"/>
    <w:rsid w:val="5B5F03A4"/>
    <w:rsid w:val="6082700E"/>
    <w:rsid w:val="655A367C"/>
    <w:rsid w:val="665F7262"/>
    <w:rsid w:val="6764120B"/>
    <w:rsid w:val="67650AF0"/>
    <w:rsid w:val="67FA392E"/>
    <w:rsid w:val="69F36887"/>
    <w:rsid w:val="6EC30F1E"/>
    <w:rsid w:val="6EF52D06"/>
    <w:rsid w:val="71E116BB"/>
    <w:rsid w:val="751D0C5C"/>
    <w:rsid w:val="79640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table" w:customStyle="1" w:styleId="28">
    <w:name w:val="Table Normal_1"/>
    <w:semiHidden/>
    <w:unhideWhenUsed/>
    <w:qFormat/>
    <w:uiPriority w:val="0"/>
    <w:tblPr>
      <w:tblCellMar>
        <w:top w:w="0" w:type="dxa"/>
        <w:left w:w="0" w:type="dxa"/>
        <w:bottom w:w="0" w:type="dxa"/>
        <w:right w:w="0" w:type="dxa"/>
      </w:tblCellMar>
    </w:tbl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2003</Words>
  <Characters>2172</Characters>
  <Lines>0</Lines>
  <Paragraphs>0</Paragraphs>
  <TotalTime>3</TotalTime>
  <ScaleCrop>false</ScaleCrop>
  <LinksUpToDate>false</LinksUpToDate>
  <CharactersWithSpaces>2204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2025-12-12T03:02:00Z</dcterms:created>
  <dc:creator>郝宇</dc:creator>
  <cp:lastModifiedBy>郝宇</cp:lastModifiedBy>
  <dcterms:modified xsi:type="dcterms:W3CDTF">2026-03-07T18:28:05Z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DF0AC4D9773541D1B3F3D1320F96AACE_11</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