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42B86">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076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249DC66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19943"/>
      <w:r>
        <w:rPr>
          <w:rFonts w:hint="eastAsia"/>
          <w:lang w:val="en-US" w:eastAsia="zh-CN"/>
        </w:rPr>
        <w:t>运维服务研发成果</w:t>
      </w:r>
      <w:bookmarkEnd w:id="1"/>
    </w:p>
    <w:p w14:paraId="5864612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2184"/>
      <w:r>
        <w:rPr>
          <w:rFonts w:hint="eastAsia"/>
          <w:lang w:val="en-US" w:eastAsia="zh-CN"/>
        </w:rPr>
        <w:t>（HXDL-ITSS-0703）</w:t>
      </w:r>
      <w:bookmarkEnd w:id="2"/>
    </w:p>
    <w:p w14:paraId="1A23AF7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0BC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C72087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郑运龙</w:t>
            </w:r>
          </w:p>
        </w:tc>
        <w:tc>
          <w:tcPr>
            <w:tcW w:w="4261" w:type="dxa"/>
          </w:tcPr>
          <w:p w14:paraId="0606CC3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r w14:paraId="04813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5AFBBE4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7BB8BBA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r w14:paraId="01F62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7E9CBA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334191B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bl>
    <w:p w14:paraId="2A58067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244ECE4">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4968"/>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458"/>
        <w:gridCol w:w="1196"/>
      </w:tblGrid>
      <w:tr w14:paraId="711E3A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2778A865">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08BB77D8">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1E68575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2A64D">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475" w:type="dxa"/>
            <w:gridSpan w:val="2"/>
            <w:tcBorders>
              <w:top w:val="single" w:color="000000" w:sz="10" w:space="0"/>
            </w:tcBorders>
            <w:shd w:val="clear" w:color="auto" w:fill="D9D9D9"/>
          </w:tcPr>
          <w:p w14:paraId="7200AF47">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196" w:type="dxa"/>
            <w:vMerge w:val="restart"/>
            <w:tcBorders>
              <w:top w:val="single" w:color="000000" w:sz="10" w:space="0"/>
              <w:bottom w:val="nil"/>
              <w:right w:val="single" w:color="000000" w:sz="10" w:space="0"/>
            </w:tcBorders>
            <w:shd w:val="clear" w:color="auto" w:fill="D9D9D9"/>
          </w:tcPr>
          <w:p w14:paraId="4604D225">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367DE737">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2A85A8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2E2B07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6DD5741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21866A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3708AFB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5EE10FF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8BB2539">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458" w:type="dxa"/>
            <w:shd w:val="clear" w:color="auto" w:fill="D9D9D9"/>
          </w:tcPr>
          <w:p w14:paraId="4E37F42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196" w:type="dxa"/>
            <w:vMerge w:val="continue"/>
            <w:tcBorders>
              <w:top w:val="nil"/>
              <w:right w:val="single" w:color="000000" w:sz="10" w:space="0"/>
            </w:tcBorders>
          </w:tcPr>
          <w:p w14:paraId="6C31869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67F233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71A01240">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0EEA6018">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rPr>
                <w:rFonts w:hint="eastAsia" w:eastAsia="宋体"/>
                <w:lang w:val="en-US" w:eastAsia="zh-CN"/>
              </w:rPr>
            </w:pPr>
            <w:r>
              <w:rPr>
                <w:rFonts w:hint="eastAsia"/>
                <w:lang w:val="en-US" w:eastAsia="zh-CN"/>
              </w:rPr>
              <w:t>郑运龙</w:t>
            </w:r>
          </w:p>
        </w:tc>
        <w:tc>
          <w:tcPr>
            <w:tcW w:w="1274" w:type="dxa"/>
          </w:tcPr>
          <w:p w14:paraId="0DB1C8A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rPr>
                <w:rFonts w:hint="default" w:eastAsia="宋体"/>
                <w:lang w:val="en-US" w:eastAsia="zh-CN"/>
              </w:rPr>
            </w:pPr>
            <w:r>
              <w:rPr>
                <w:rFonts w:hint="eastAsia"/>
                <w:spacing w:val="-1"/>
                <w:lang w:eastAsia="zh-CN"/>
              </w:rPr>
              <w:t>2026.01</w:t>
            </w:r>
            <w:r>
              <w:rPr>
                <w:spacing w:val="-1"/>
              </w:rPr>
              <w:t>.</w:t>
            </w:r>
            <w:r>
              <w:rPr>
                <w:rFonts w:hint="eastAsia"/>
                <w:spacing w:val="-1"/>
                <w:lang w:val="en-US" w:eastAsia="zh-CN"/>
              </w:rPr>
              <w:t>30</w:t>
            </w:r>
          </w:p>
        </w:tc>
        <w:tc>
          <w:tcPr>
            <w:tcW w:w="957" w:type="dxa"/>
          </w:tcPr>
          <w:p w14:paraId="31E51E6C">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36974537">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rPr>
                <w:rFonts w:hint="default" w:eastAsia="宋体"/>
                <w:lang w:val="en-US" w:eastAsia="zh-CN"/>
              </w:rPr>
            </w:pPr>
            <w:r>
              <w:rPr>
                <w:rFonts w:hint="eastAsia"/>
                <w:spacing w:val="-1"/>
                <w:lang w:eastAsia="zh-CN"/>
              </w:rPr>
              <w:t>2026.01</w:t>
            </w:r>
            <w:r>
              <w:rPr>
                <w:spacing w:val="-1"/>
              </w:rPr>
              <w:t>.</w:t>
            </w:r>
            <w:r>
              <w:rPr>
                <w:rFonts w:hint="eastAsia"/>
                <w:spacing w:val="-1"/>
                <w:lang w:val="en-US" w:eastAsia="zh-CN"/>
              </w:rPr>
              <w:t>30</w:t>
            </w:r>
          </w:p>
        </w:tc>
        <w:tc>
          <w:tcPr>
            <w:tcW w:w="1017" w:type="dxa"/>
          </w:tcPr>
          <w:p w14:paraId="72F7C030">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458" w:type="dxa"/>
          </w:tcPr>
          <w:p w14:paraId="56BE7CE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rPr>
                <w:rFonts w:hint="default" w:eastAsia="宋体"/>
                <w:lang w:val="en-US" w:eastAsia="zh-CN"/>
              </w:rPr>
            </w:pPr>
            <w:r>
              <w:rPr>
                <w:rFonts w:hint="eastAsia"/>
                <w:spacing w:val="-1"/>
                <w:lang w:eastAsia="zh-CN"/>
              </w:rPr>
              <w:t>2026.01</w:t>
            </w:r>
            <w:r>
              <w:rPr>
                <w:spacing w:val="-1"/>
              </w:rPr>
              <w:t>.</w:t>
            </w:r>
            <w:r>
              <w:rPr>
                <w:rFonts w:hint="eastAsia"/>
                <w:spacing w:val="-1"/>
                <w:lang w:val="en-US" w:eastAsia="zh-CN"/>
              </w:rPr>
              <w:t>30</w:t>
            </w:r>
          </w:p>
        </w:tc>
        <w:tc>
          <w:tcPr>
            <w:tcW w:w="1196" w:type="dxa"/>
            <w:tcBorders>
              <w:right w:val="single" w:color="000000" w:sz="10" w:space="0"/>
            </w:tcBorders>
          </w:tcPr>
          <w:p w14:paraId="675E1C30">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1A5DB7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7485AD00">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7ED46F82">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2053482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3681A527">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591C1752">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38CB86C1">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458" w:type="dxa"/>
          </w:tcPr>
          <w:p w14:paraId="1E702C1B">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196" w:type="dxa"/>
            <w:tcBorders>
              <w:right w:val="single" w:color="000000" w:sz="10" w:space="0"/>
            </w:tcBorders>
          </w:tcPr>
          <w:p w14:paraId="18EA4788">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09A75B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7959CF0A">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4A99D2A5">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2FF15D1">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5DF0A66B">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6A4781E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13AE2BA">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458" w:type="dxa"/>
            <w:tcBorders>
              <w:bottom w:val="single" w:color="000000" w:sz="10" w:space="0"/>
            </w:tcBorders>
          </w:tcPr>
          <w:p w14:paraId="1A3F9D5A">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196" w:type="dxa"/>
            <w:tcBorders>
              <w:bottom w:val="single" w:color="000000" w:sz="10" w:space="0"/>
              <w:right w:val="single" w:color="000000" w:sz="10" w:space="0"/>
            </w:tcBorders>
          </w:tcPr>
          <w:p w14:paraId="03CE8AD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47CB56F9"/>
    <w:p w14:paraId="77377DF8">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1287"/>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94B004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CCF8CA0">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_Toc10763 </w:instrText>
          </w:r>
          <w:r>
            <w:fldChar w:fldCharType="separate"/>
          </w:r>
          <w:r>
            <w:rPr>
              <w:rFonts w:hint="eastAsia"/>
              <w:lang w:val="en-US" w:eastAsia="zh-CN"/>
            </w:rPr>
            <w:t>天津市华夏电缆有限公司</w:t>
          </w:r>
          <w:r>
            <w:tab/>
          </w:r>
          <w:r>
            <w:fldChar w:fldCharType="begin"/>
          </w:r>
          <w:r>
            <w:instrText xml:space="preserve"> PAGEREF _Toc10763 \h </w:instrText>
          </w:r>
          <w:r>
            <w:fldChar w:fldCharType="separate"/>
          </w:r>
          <w:r>
            <w:t>1</w:t>
          </w:r>
          <w:r>
            <w:fldChar w:fldCharType="end"/>
          </w:r>
          <w:r>
            <w:fldChar w:fldCharType="end"/>
          </w:r>
        </w:p>
        <w:p w14:paraId="4EC202C2">
          <w:pPr>
            <w:pStyle w:val="16"/>
            <w:tabs>
              <w:tab w:val="right" w:leader="dot" w:pos="8306"/>
            </w:tabs>
          </w:pPr>
          <w:r>
            <w:fldChar w:fldCharType="begin"/>
          </w:r>
          <w:r>
            <w:instrText xml:space="preserve"> HYPERLINK \l _Toc19943 </w:instrText>
          </w:r>
          <w:r>
            <w:fldChar w:fldCharType="separate"/>
          </w:r>
          <w:r>
            <w:rPr>
              <w:rFonts w:hint="eastAsia"/>
              <w:lang w:val="en-US" w:eastAsia="zh-CN"/>
            </w:rPr>
            <w:t>运维服务研发成果</w:t>
          </w:r>
          <w:r>
            <w:tab/>
          </w:r>
          <w:r>
            <w:fldChar w:fldCharType="begin"/>
          </w:r>
          <w:r>
            <w:instrText xml:space="preserve"> PAGEREF _Toc19943 \h </w:instrText>
          </w:r>
          <w:r>
            <w:fldChar w:fldCharType="separate"/>
          </w:r>
          <w:r>
            <w:t>1</w:t>
          </w:r>
          <w:r>
            <w:fldChar w:fldCharType="end"/>
          </w:r>
          <w:r>
            <w:fldChar w:fldCharType="end"/>
          </w:r>
        </w:p>
        <w:p w14:paraId="13237B16">
          <w:pPr>
            <w:pStyle w:val="16"/>
            <w:tabs>
              <w:tab w:val="right" w:leader="dot" w:pos="8306"/>
            </w:tabs>
          </w:pPr>
          <w:r>
            <w:fldChar w:fldCharType="begin"/>
          </w:r>
          <w:r>
            <w:instrText xml:space="preserve"> HYPERLINK \l _Toc12184 </w:instrText>
          </w:r>
          <w:r>
            <w:fldChar w:fldCharType="separate"/>
          </w:r>
          <w:r>
            <w:rPr>
              <w:rFonts w:hint="eastAsia"/>
              <w:lang w:val="en-US" w:eastAsia="zh-CN"/>
            </w:rPr>
            <w:t>（HXDL-ITSS-0703）</w:t>
          </w:r>
          <w:r>
            <w:tab/>
          </w:r>
          <w:r>
            <w:fldChar w:fldCharType="begin"/>
          </w:r>
          <w:r>
            <w:instrText xml:space="preserve"> PAGEREF _Toc12184 \h </w:instrText>
          </w:r>
          <w:r>
            <w:fldChar w:fldCharType="separate"/>
          </w:r>
          <w:r>
            <w:t>1</w:t>
          </w:r>
          <w:r>
            <w:fldChar w:fldCharType="end"/>
          </w:r>
          <w:r>
            <w:fldChar w:fldCharType="end"/>
          </w:r>
        </w:p>
        <w:p w14:paraId="468A8386">
          <w:pPr>
            <w:pStyle w:val="16"/>
            <w:tabs>
              <w:tab w:val="right" w:leader="dot" w:pos="8306"/>
            </w:tabs>
          </w:pPr>
          <w:r>
            <w:fldChar w:fldCharType="begin"/>
          </w:r>
          <w:r>
            <w:instrText xml:space="preserve"> HYPERLINK \l _Toc4968 </w:instrText>
          </w:r>
          <w:r>
            <w:fldChar w:fldCharType="separate"/>
          </w:r>
          <w:r>
            <w:rPr>
              <w:rFonts w:ascii="宋体" w:hAnsi="宋体" w:eastAsia="宋体" w:cs="宋体"/>
              <w:bCs/>
              <w:spacing w:val="-4"/>
              <w:szCs w:val="30"/>
            </w:rPr>
            <w:t>文件编制和变更履历</w:t>
          </w:r>
          <w:r>
            <w:tab/>
          </w:r>
          <w:r>
            <w:fldChar w:fldCharType="begin"/>
          </w:r>
          <w:r>
            <w:instrText xml:space="preserve"> PAGEREF _Toc4968 \h </w:instrText>
          </w:r>
          <w:r>
            <w:fldChar w:fldCharType="separate"/>
          </w:r>
          <w:r>
            <w:t>2</w:t>
          </w:r>
          <w:r>
            <w:fldChar w:fldCharType="end"/>
          </w:r>
          <w:r>
            <w:fldChar w:fldCharType="end"/>
          </w:r>
        </w:p>
        <w:p w14:paraId="75B450DE">
          <w:pPr>
            <w:pStyle w:val="16"/>
            <w:tabs>
              <w:tab w:val="right" w:leader="dot" w:pos="8306"/>
            </w:tabs>
          </w:pPr>
          <w:r>
            <w:fldChar w:fldCharType="begin"/>
          </w:r>
          <w:r>
            <w:instrText xml:space="preserve"> HYPERLINK \l _Toc15168 </w:instrText>
          </w:r>
          <w:r>
            <w:fldChar w:fldCharType="separate"/>
          </w:r>
          <w:r>
            <w:rPr>
              <w:rFonts w:hint="default"/>
            </w:rPr>
            <w:t xml:space="preserve">1. </w:t>
          </w:r>
          <w:r>
            <w:t>综述</w:t>
          </w:r>
          <w:r>
            <w:tab/>
          </w:r>
          <w:r>
            <w:fldChar w:fldCharType="begin"/>
          </w:r>
          <w:r>
            <w:instrText xml:space="preserve"> PAGEREF _Toc15168 \h </w:instrText>
          </w:r>
          <w:r>
            <w:fldChar w:fldCharType="separate"/>
          </w:r>
          <w:r>
            <w:t>4</w:t>
          </w:r>
          <w:r>
            <w:fldChar w:fldCharType="end"/>
          </w:r>
          <w:r>
            <w:fldChar w:fldCharType="end"/>
          </w:r>
        </w:p>
        <w:p w14:paraId="50605692">
          <w:pPr>
            <w:pStyle w:val="16"/>
            <w:tabs>
              <w:tab w:val="right" w:leader="dot" w:pos="8306"/>
            </w:tabs>
          </w:pPr>
          <w:r>
            <w:fldChar w:fldCharType="begin"/>
          </w:r>
          <w:r>
            <w:instrText xml:space="preserve"> HYPERLINK \l _Toc16399 </w:instrText>
          </w:r>
          <w:r>
            <w:fldChar w:fldCharType="separate"/>
          </w:r>
          <w:r>
            <w:rPr>
              <w:rFonts w:hint="default"/>
            </w:rPr>
            <w:t xml:space="preserve">2. </w:t>
          </w:r>
          <w:r>
            <w:t>运维工具研发成果说明</w:t>
          </w:r>
          <w:r>
            <w:tab/>
          </w:r>
          <w:r>
            <w:fldChar w:fldCharType="begin"/>
          </w:r>
          <w:r>
            <w:instrText xml:space="preserve"> PAGEREF _Toc16399 \h </w:instrText>
          </w:r>
          <w:r>
            <w:fldChar w:fldCharType="separate"/>
          </w:r>
          <w:r>
            <w:t>4</w:t>
          </w:r>
          <w:r>
            <w:fldChar w:fldCharType="end"/>
          </w:r>
          <w:r>
            <w:fldChar w:fldCharType="end"/>
          </w:r>
        </w:p>
        <w:p w14:paraId="1F29897D">
          <w:pPr>
            <w:pStyle w:val="17"/>
            <w:tabs>
              <w:tab w:val="right" w:leader="dot" w:pos="8306"/>
            </w:tabs>
          </w:pPr>
          <w:r>
            <w:fldChar w:fldCharType="begin"/>
          </w:r>
          <w:r>
            <w:instrText xml:space="preserve"> HYPERLINK \l _Toc6665 </w:instrText>
          </w:r>
          <w:r>
            <w:fldChar w:fldCharType="separate"/>
          </w:r>
          <w:r>
            <w:rPr>
              <w:rFonts w:hint="default"/>
            </w:rPr>
            <w:t xml:space="preserve">2.1. </w:t>
          </w:r>
          <w:r>
            <w:t>物管平台-物联标识系统</w:t>
          </w:r>
          <w:r>
            <w:tab/>
          </w:r>
          <w:r>
            <w:fldChar w:fldCharType="begin"/>
          </w:r>
          <w:r>
            <w:instrText xml:space="preserve"> PAGEREF _Toc6665 \h </w:instrText>
          </w:r>
          <w:r>
            <w:fldChar w:fldCharType="separate"/>
          </w:r>
          <w:r>
            <w:t>4</w:t>
          </w:r>
          <w:r>
            <w:fldChar w:fldCharType="end"/>
          </w:r>
          <w:r>
            <w:fldChar w:fldCharType="end"/>
          </w:r>
        </w:p>
        <w:p w14:paraId="4BD57170">
          <w:pPr>
            <w:pStyle w:val="13"/>
            <w:tabs>
              <w:tab w:val="right" w:leader="dot" w:pos="8306"/>
            </w:tabs>
          </w:pPr>
          <w:r>
            <w:fldChar w:fldCharType="begin"/>
          </w:r>
          <w:r>
            <w:instrText xml:space="preserve"> HYPERLINK \l _Toc31384 </w:instrText>
          </w:r>
          <w:r>
            <w:fldChar w:fldCharType="separate"/>
          </w:r>
          <w:r>
            <w:rPr>
              <w:rFonts w:hint="default"/>
            </w:rPr>
            <w:t xml:space="preserve">2.1.1. </w:t>
          </w:r>
          <w:r>
            <w:t>项目总体</w:t>
          </w:r>
          <w:r>
            <w:rPr>
              <w:rFonts w:hint="eastAsia"/>
              <w:lang w:val="en-US" w:eastAsia="zh-CN"/>
            </w:rPr>
            <w:t>概况</w:t>
          </w:r>
          <w:r>
            <w:tab/>
          </w:r>
          <w:r>
            <w:fldChar w:fldCharType="begin"/>
          </w:r>
          <w:r>
            <w:instrText xml:space="preserve"> PAGEREF _Toc31384 \h </w:instrText>
          </w:r>
          <w:r>
            <w:fldChar w:fldCharType="separate"/>
          </w:r>
          <w:r>
            <w:t>4</w:t>
          </w:r>
          <w:r>
            <w:fldChar w:fldCharType="end"/>
          </w:r>
          <w:r>
            <w:fldChar w:fldCharType="end"/>
          </w:r>
        </w:p>
        <w:p w14:paraId="73C13DFE">
          <w:pPr>
            <w:pStyle w:val="13"/>
            <w:tabs>
              <w:tab w:val="right" w:leader="dot" w:pos="8306"/>
            </w:tabs>
          </w:pPr>
          <w:r>
            <w:fldChar w:fldCharType="begin"/>
          </w:r>
          <w:r>
            <w:instrText xml:space="preserve"> HYPERLINK \l _Toc22115 </w:instrText>
          </w:r>
          <w:r>
            <w:fldChar w:fldCharType="separate"/>
          </w:r>
          <w:r>
            <w:rPr>
              <w:rFonts w:hint="default"/>
            </w:rPr>
            <w:t xml:space="preserve">2.1.2. </w:t>
          </w:r>
          <w:r>
            <w:t>整体计划推进表</w:t>
          </w:r>
          <w:r>
            <w:tab/>
          </w:r>
          <w:r>
            <w:fldChar w:fldCharType="begin"/>
          </w:r>
          <w:r>
            <w:instrText xml:space="preserve"> PAGEREF _Toc22115 \h </w:instrText>
          </w:r>
          <w:r>
            <w:fldChar w:fldCharType="separate"/>
          </w:r>
          <w:r>
            <w:t>5</w:t>
          </w:r>
          <w:r>
            <w:fldChar w:fldCharType="end"/>
          </w:r>
          <w:r>
            <w:fldChar w:fldCharType="end"/>
          </w:r>
        </w:p>
        <w:p w14:paraId="5D481A11">
          <w:pPr>
            <w:pStyle w:val="13"/>
            <w:tabs>
              <w:tab w:val="right" w:leader="dot" w:pos="8306"/>
            </w:tabs>
          </w:pPr>
          <w:r>
            <w:fldChar w:fldCharType="begin"/>
          </w:r>
          <w:r>
            <w:instrText xml:space="preserve"> HYPERLINK \l _Toc12237 </w:instrText>
          </w:r>
          <w:r>
            <w:fldChar w:fldCharType="separate"/>
          </w:r>
          <w:r>
            <w:rPr>
              <w:rFonts w:hint="default"/>
            </w:rPr>
            <w:t xml:space="preserve">2.1.3. </w:t>
          </w:r>
          <w:r>
            <w:t>整体功能介绍</w:t>
          </w:r>
          <w:r>
            <w:tab/>
          </w:r>
          <w:r>
            <w:fldChar w:fldCharType="begin"/>
          </w:r>
          <w:r>
            <w:instrText xml:space="preserve"> PAGEREF _Toc12237 \h </w:instrText>
          </w:r>
          <w:r>
            <w:fldChar w:fldCharType="separate"/>
          </w:r>
          <w:r>
            <w:t>5</w:t>
          </w:r>
          <w:r>
            <w:fldChar w:fldCharType="end"/>
          </w:r>
          <w:r>
            <w:fldChar w:fldCharType="end"/>
          </w:r>
        </w:p>
        <w:p w14:paraId="7503FC8B">
          <w:pPr>
            <w:pStyle w:val="13"/>
            <w:tabs>
              <w:tab w:val="right" w:leader="dot" w:pos="8306"/>
            </w:tabs>
          </w:pPr>
          <w:r>
            <w:fldChar w:fldCharType="begin"/>
          </w:r>
          <w:r>
            <w:instrText xml:space="preserve"> HYPERLINK \l _Toc28067 </w:instrText>
          </w:r>
          <w:r>
            <w:fldChar w:fldCharType="separate"/>
          </w:r>
          <w:r>
            <w:rPr>
              <w:rFonts w:hint="default"/>
            </w:rPr>
            <w:t xml:space="preserve">2.1.4. </w:t>
          </w:r>
          <w:r>
            <w:t>主要模块详情</w:t>
          </w:r>
          <w:r>
            <w:tab/>
          </w:r>
          <w:r>
            <w:fldChar w:fldCharType="begin"/>
          </w:r>
          <w:r>
            <w:instrText xml:space="preserve"> PAGEREF _Toc28067 \h </w:instrText>
          </w:r>
          <w:r>
            <w:fldChar w:fldCharType="separate"/>
          </w:r>
          <w:r>
            <w:t>6</w:t>
          </w:r>
          <w:r>
            <w:fldChar w:fldCharType="end"/>
          </w:r>
          <w:r>
            <w:fldChar w:fldCharType="end"/>
          </w:r>
        </w:p>
        <w:p w14:paraId="02ADE700">
          <w:pPr>
            <w:pStyle w:val="13"/>
            <w:tabs>
              <w:tab w:val="right" w:leader="dot" w:pos="8306"/>
            </w:tabs>
          </w:pPr>
          <w:r>
            <w:fldChar w:fldCharType="begin"/>
          </w:r>
          <w:r>
            <w:instrText xml:space="preserve"> HYPERLINK \l _Toc25747 </w:instrText>
          </w:r>
          <w:r>
            <w:fldChar w:fldCharType="separate"/>
          </w:r>
          <w:r>
            <w:rPr>
              <w:rFonts w:hint="default"/>
            </w:rPr>
            <w:t xml:space="preserve">2.1.5. </w:t>
          </w:r>
          <w:r>
            <w:t>产品功能与实现目标</w:t>
          </w:r>
          <w:r>
            <w:tab/>
          </w:r>
          <w:r>
            <w:fldChar w:fldCharType="begin"/>
          </w:r>
          <w:r>
            <w:instrText xml:space="preserve"> PAGEREF _Toc25747 \h </w:instrText>
          </w:r>
          <w:r>
            <w:fldChar w:fldCharType="separate"/>
          </w:r>
          <w:r>
            <w:t>9</w:t>
          </w:r>
          <w:r>
            <w:fldChar w:fldCharType="end"/>
          </w:r>
          <w:r>
            <w:fldChar w:fldCharType="end"/>
          </w:r>
        </w:p>
        <w:p w14:paraId="2E2982D5">
          <w:pPr>
            <w:pStyle w:val="13"/>
            <w:tabs>
              <w:tab w:val="right" w:leader="dot" w:pos="8306"/>
            </w:tabs>
          </w:pPr>
          <w:r>
            <w:fldChar w:fldCharType="begin"/>
          </w:r>
          <w:r>
            <w:instrText xml:space="preserve"> HYPERLINK \l _Toc598 </w:instrText>
          </w:r>
          <w:r>
            <w:fldChar w:fldCharType="separate"/>
          </w:r>
          <w:r>
            <w:rPr>
              <w:rFonts w:hint="default"/>
              <w:lang w:val="en-US" w:eastAsia="zh-CN"/>
            </w:rPr>
            <w:t xml:space="preserve">2.1.6. </w:t>
          </w:r>
          <w:r>
            <w:rPr>
              <w:rFonts w:hint="eastAsia"/>
              <w:lang w:val="en-US" w:eastAsia="zh-CN"/>
            </w:rPr>
            <w:t>实际项目应用</w:t>
          </w:r>
          <w:r>
            <w:tab/>
          </w:r>
          <w:r>
            <w:fldChar w:fldCharType="begin"/>
          </w:r>
          <w:r>
            <w:instrText xml:space="preserve"> PAGEREF _Toc598 \h </w:instrText>
          </w:r>
          <w:r>
            <w:fldChar w:fldCharType="separate"/>
          </w:r>
          <w:r>
            <w:t>9</w:t>
          </w:r>
          <w:r>
            <w:fldChar w:fldCharType="end"/>
          </w:r>
          <w:r>
            <w:fldChar w:fldCharType="end"/>
          </w:r>
        </w:p>
        <w:p w14:paraId="185295CD">
          <w:pPr>
            <w:pStyle w:val="17"/>
            <w:tabs>
              <w:tab w:val="right" w:leader="dot" w:pos="8306"/>
            </w:tabs>
          </w:pPr>
          <w:r>
            <w:fldChar w:fldCharType="begin"/>
          </w:r>
          <w:r>
            <w:instrText xml:space="preserve"> HYPERLINK \l _Toc9603 </w:instrText>
          </w:r>
          <w:r>
            <w:fldChar w:fldCharType="separate"/>
          </w:r>
          <w:r>
            <w:rPr>
              <w:rFonts w:hint="default"/>
            </w:rPr>
            <w:t xml:space="preserve">2.2. </w:t>
          </w:r>
          <w:r>
            <w:t>隔离装置监控处置工具</w:t>
          </w:r>
          <w:r>
            <w:tab/>
          </w:r>
          <w:r>
            <w:fldChar w:fldCharType="begin"/>
          </w:r>
          <w:r>
            <w:instrText xml:space="preserve"> PAGEREF _Toc9603 \h </w:instrText>
          </w:r>
          <w:r>
            <w:fldChar w:fldCharType="separate"/>
          </w:r>
          <w:r>
            <w:t>10</w:t>
          </w:r>
          <w:r>
            <w:fldChar w:fldCharType="end"/>
          </w:r>
          <w:r>
            <w:fldChar w:fldCharType="end"/>
          </w:r>
        </w:p>
        <w:p w14:paraId="1B08B3A6">
          <w:pPr>
            <w:pStyle w:val="13"/>
            <w:tabs>
              <w:tab w:val="right" w:leader="dot" w:pos="8306"/>
            </w:tabs>
          </w:pPr>
          <w:r>
            <w:fldChar w:fldCharType="begin"/>
          </w:r>
          <w:r>
            <w:instrText xml:space="preserve"> HYPERLINK \l _Toc31242 </w:instrText>
          </w:r>
          <w:r>
            <w:fldChar w:fldCharType="separate"/>
          </w:r>
          <w:r>
            <w:rPr>
              <w:rFonts w:hint="default"/>
            </w:rPr>
            <w:t xml:space="preserve">2.2.1. </w:t>
          </w:r>
          <w:r>
            <w:t>项目总体</w:t>
          </w:r>
          <w:r>
            <w:rPr>
              <w:rFonts w:hint="eastAsia"/>
              <w:lang w:val="en-US" w:eastAsia="zh-CN"/>
            </w:rPr>
            <w:t>概况</w:t>
          </w:r>
          <w:r>
            <w:tab/>
          </w:r>
          <w:r>
            <w:fldChar w:fldCharType="begin"/>
          </w:r>
          <w:r>
            <w:instrText xml:space="preserve"> PAGEREF _Toc31242 \h </w:instrText>
          </w:r>
          <w:r>
            <w:fldChar w:fldCharType="separate"/>
          </w:r>
          <w:r>
            <w:t>10</w:t>
          </w:r>
          <w:r>
            <w:fldChar w:fldCharType="end"/>
          </w:r>
          <w:r>
            <w:fldChar w:fldCharType="end"/>
          </w:r>
        </w:p>
        <w:p w14:paraId="5183BDDD">
          <w:pPr>
            <w:pStyle w:val="13"/>
            <w:tabs>
              <w:tab w:val="right" w:leader="dot" w:pos="8306"/>
            </w:tabs>
          </w:pPr>
          <w:r>
            <w:fldChar w:fldCharType="begin"/>
          </w:r>
          <w:r>
            <w:instrText xml:space="preserve"> HYPERLINK \l _Toc26621 </w:instrText>
          </w:r>
          <w:r>
            <w:fldChar w:fldCharType="separate"/>
          </w:r>
          <w:r>
            <w:rPr>
              <w:rFonts w:hint="default"/>
            </w:rPr>
            <w:t xml:space="preserve">2.2.2. </w:t>
          </w:r>
          <w:r>
            <w:t>整体功能介绍</w:t>
          </w:r>
          <w:r>
            <w:tab/>
          </w:r>
          <w:r>
            <w:fldChar w:fldCharType="begin"/>
          </w:r>
          <w:r>
            <w:instrText xml:space="preserve"> PAGEREF _Toc26621 \h </w:instrText>
          </w:r>
          <w:r>
            <w:fldChar w:fldCharType="separate"/>
          </w:r>
          <w:r>
            <w:t>10</w:t>
          </w:r>
          <w:r>
            <w:fldChar w:fldCharType="end"/>
          </w:r>
          <w:r>
            <w:fldChar w:fldCharType="end"/>
          </w:r>
        </w:p>
        <w:p w14:paraId="37B2EC4F">
          <w:pPr>
            <w:pStyle w:val="13"/>
            <w:tabs>
              <w:tab w:val="right" w:leader="dot" w:pos="8306"/>
            </w:tabs>
          </w:pPr>
          <w:r>
            <w:fldChar w:fldCharType="begin"/>
          </w:r>
          <w:r>
            <w:instrText xml:space="preserve"> HYPERLINK \l _Toc10880 </w:instrText>
          </w:r>
          <w:r>
            <w:fldChar w:fldCharType="separate"/>
          </w:r>
          <w:r>
            <w:rPr>
              <w:rFonts w:hint="default"/>
            </w:rPr>
            <w:t xml:space="preserve">2.2.3. </w:t>
          </w:r>
          <w:r>
            <w:t>主要模块详情</w:t>
          </w:r>
          <w:r>
            <w:tab/>
          </w:r>
          <w:r>
            <w:fldChar w:fldCharType="begin"/>
          </w:r>
          <w:r>
            <w:instrText xml:space="preserve"> PAGEREF _Toc10880 \h </w:instrText>
          </w:r>
          <w:r>
            <w:fldChar w:fldCharType="separate"/>
          </w:r>
          <w:r>
            <w:t>10</w:t>
          </w:r>
          <w:r>
            <w:fldChar w:fldCharType="end"/>
          </w:r>
          <w:r>
            <w:fldChar w:fldCharType="end"/>
          </w:r>
        </w:p>
        <w:p w14:paraId="72BDEF5B">
          <w:pPr>
            <w:pStyle w:val="13"/>
            <w:tabs>
              <w:tab w:val="right" w:leader="dot" w:pos="8306"/>
            </w:tabs>
          </w:pPr>
          <w:r>
            <w:fldChar w:fldCharType="begin"/>
          </w:r>
          <w:r>
            <w:instrText xml:space="preserve"> HYPERLINK \l _Toc4372 </w:instrText>
          </w:r>
          <w:r>
            <w:fldChar w:fldCharType="separate"/>
          </w:r>
          <w:r>
            <w:rPr>
              <w:rFonts w:hint="default"/>
            </w:rPr>
            <w:t xml:space="preserve">2.2.4. </w:t>
          </w:r>
          <w:r>
            <w:t>产品功能与实现目标</w:t>
          </w:r>
          <w:r>
            <w:tab/>
          </w:r>
          <w:r>
            <w:fldChar w:fldCharType="begin"/>
          </w:r>
          <w:r>
            <w:instrText xml:space="preserve"> PAGEREF _Toc4372 \h </w:instrText>
          </w:r>
          <w:r>
            <w:fldChar w:fldCharType="separate"/>
          </w:r>
          <w:r>
            <w:t>12</w:t>
          </w:r>
          <w:r>
            <w:fldChar w:fldCharType="end"/>
          </w:r>
          <w:r>
            <w:fldChar w:fldCharType="end"/>
          </w:r>
        </w:p>
        <w:p w14:paraId="5548633D">
          <w:pPr>
            <w:pStyle w:val="13"/>
            <w:tabs>
              <w:tab w:val="right" w:leader="dot" w:pos="8306"/>
            </w:tabs>
          </w:pPr>
          <w:r>
            <w:fldChar w:fldCharType="begin"/>
          </w:r>
          <w:r>
            <w:instrText xml:space="preserve"> HYPERLINK \l _Toc6509 </w:instrText>
          </w:r>
          <w:r>
            <w:fldChar w:fldCharType="separate"/>
          </w:r>
          <w:r>
            <w:rPr>
              <w:rFonts w:hint="default"/>
              <w:lang w:val="en-US" w:eastAsia="zh-CN"/>
            </w:rPr>
            <w:t xml:space="preserve">2.2.5. </w:t>
          </w:r>
          <w:r>
            <w:rPr>
              <w:rFonts w:hint="eastAsia"/>
              <w:lang w:val="en-US" w:eastAsia="zh-CN"/>
            </w:rPr>
            <w:t>实际项目应用</w:t>
          </w:r>
          <w:r>
            <w:tab/>
          </w:r>
          <w:r>
            <w:fldChar w:fldCharType="begin"/>
          </w:r>
          <w:r>
            <w:instrText xml:space="preserve"> PAGEREF _Toc6509 \h </w:instrText>
          </w:r>
          <w:r>
            <w:fldChar w:fldCharType="separate"/>
          </w:r>
          <w:r>
            <w:t>12</w:t>
          </w:r>
          <w:r>
            <w:fldChar w:fldCharType="end"/>
          </w:r>
          <w:r>
            <w:fldChar w:fldCharType="end"/>
          </w:r>
        </w:p>
        <w:p w14:paraId="3DAB0F36">
          <w:pPr>
            <w:pStyle w:val="16"/>
            <w:tabs>
              <w:tab w:val="right" w:leader="dot" w:pos="8306"/>
            </w:tabs>
          </w:pPr>
          <w:r>
            <w:fldChar w:fldCharType="begin"/>
          </w:r>
          <w:r>
            <w:instrText xml:space="preserve"> HYPERLINK \l _Toc14550 </w:instrText>
          </w:r>
          <w:r>
            <w:fldChar w:fldCharType="separate"/>
          </w:r>
          <w:r>
            <w:rPr>
              <w:rFonts w:hint="default"/>
              <w:lang w:val="en-US" w:eastAsia="zh-CN"/>
            </w:rPr>
            <w:t xml:space="preserve">3. </w:t>
          </w:r>
          <w:r>
            <w:rPr>
              <w:rFonts w:hint="eastAsia"/>
              <w:lang w:val="en-US" w:eastAsia="zh-CN"/>
            </w:rPr>
            <w:t>运维手册研发成果说明</w:t>
          </w:r>
          <w:r>
            <w:tab/>
          </w:r>
          <w:r>
            <w:fldChar w:fldCharType="begin"/>
          </w:r>
          <w:r>
            <w:instrText xml:space="preserve"> PAGEREF _Toc14550 \h </w:instrText>
          </w:r>
          <w:r>
            <w:fldChar w:fldCharType="separate"/>
          </w:r>
          <w:r>
            <w:t>13</w:t>
          </w:r>
          <w:r>
            <w:fldChar w:fldCharType="end"/>
          </w:r>
          <w:r>
            <w:fldChar w:fldCharType="end"/>
          </w:r>
        </w:p>
        <w:p w14:paraId="6219313A">
          <w:pPr>
            <w:pStyle w:val="16"/>
            <w:tabs>
              <w:tab w:val="right" w:leader="dot" w:pos="8306"/>
            </w:tabs>
          </w:pPr>
          <w:r>
            <w:fldChar w:fldCharType="begin"/>
          </w:r>
          <w:r>
            <w:instrText xml:space="preserve"> HYPERLINK \l _Toc11052 </w:instrText>
          </w:r>
          <w:r>
            <w:fldChar w:fldCharType="separate"/>
          </w:r>
          <w:r>
            <w:rPr>
              <w:rFonts w:hint="default"/>
              <w:lang w:val="en-US" w:eastAsia="zh-CN"/>
            </w:rPr>
            <w:t xml:space="preserve">4. </w:t>
          </w:r>
          <w:r>
            <w:rPr>
              <w:rFonts w:hint="eastAsia"/>
              <w:lang w:val="en-US" w:eastAsia="zh-CN"/>
            </w:rPr>
            <w:t>研发投入情况</w:t>
          </w:r>
          <w:r>
            <w:tab/>
          </w:r>
          <w:r>
            <w:fldChar w:fldCharType="begin"/>
          </w:r>
          <w:r>
            <w:instrText xml:space="preserve"> PAGEREF _Toc11052 \h </w:instrText>
          </w:r>
          <w:r>
            <w:fldChar w:fldCharType="separate"/>
          </w:r>
          <w:r>
            <w:t>13</w:t>
          </w:r>
          <w:r>
            <w:fldChar w:fldCharType="end"/>
          </w:r>
          <w:r>
            <w:fldChar w:fldCharType="end"/>
          </w:r>
        </w:p>
        <w:p w14:paraId="0DC4CE6D">
          <w:pPr>
            <w:pStyle w:val="16"/>
            <w:tabs>
              <w:tab w:val="right" w:leader="dot" w:pos="8306"/>
            </w:tabs>
          </w:pPr>
          <w:r>
            <w:fldChar w:fldCharType="begin"/>
          </w:r>
          <w:r>
            <w:instrText xml:space="preserve"> HYPERLINK \l _Toc13486 </w:instrText>
          </w:r>
          <w:r>
            <w:fldChar w:fldCharType="separate"/>
          </w:r>
          <w:r>
            <w:rPr>
              <w:rFonts w:hint="default"/>
              <w:lang w:val="en-US" w:eastAsia="zh-CN"/>
            </w:rPr>
            <w:t xml:space="preserve">5. </w:t>
          </w:r>
          <w:r>
            <w:rPr>
              <w:rFonts w:hint="eastAsia"/>
              <w:lang w:val="en-US" w:eastAsia="zh-CN"/>
            </w:rPr>
            <w:t>新技术研发</w:t>
          </w:r>
          <w:r>
            <w:tab/>
          </w:r>
          <w:r>
            <w:fldChar w:fldCharType="begin"/>
          </w:r>
          <w:r>
            <w:instrText xml:space="preserve"> PAGEREF _Toc13486 \h </w:instrText>
          </w:r>
          <w:r>
            <w:fldChar w:fldCharType="separate"/>
          </w:r>
          <w:r>
            <w:t>14</w:t>
          </w:r>
          <w:r>
            <w:fldChar w:fldCharType="end"/>
          </w:r>
          <w:r>
            <w:fldChar w:fldCharType="end"/>
          </w:r>
        </w:p>
        <w:p w14:paraId="046E76AC">
          <w:r>
            <w:fldChar w:fldCharType="end"/>
          </w:r>
        </w:p>
      </w:sdtContent>
    </w:sdt>
    <w:p w14:paraId="7C60048C"/>
    <w:p w14:paraId="63843692">
      <w:pPr>
        <w:rPr>
          <w:rFonts w:hint="default"/>
          <w:lang w:val="en-US" w:eastAsia="zh-CN"/>
        </w:rPr>
      </w:pPr>
      <w:r>
        <w:rPr>
          <w:rFonts w:hint="default"/>
          <w:lang w:val="en-US" w:eastAsia="zh-CN"/>
        </w:rPr>
        <w:br w:type="page"/>
      </w:r>
    </w:p>
    <w:p w14:paraId="1F65A7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104EE2F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2"/>
      <w:bookmarkStart w:id="5" w:name="_Toc15168"/>
      <w:r>
        <w:t>综述</w:t>
      </w:r>
      <w:bookmarkEnd w:id="4"/>
      <w:bookmarkEnd w:id="5"/>
    </w:p>
    <w:p w14:paraId="3B23C93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公司以技术研发为核心，通过先进技术推动业务发展，已具备全面承接软件开发项目的基础能力，业务领域涵盖营销、设备、调控、人资</w:t>
      </w:r>
      <w:r>
        <w:rPr>
          <w:rFonts w:hint="eastAsia"/>
          <w:lang w:val="en-US" w:eastAsia="zh-CN"/>
        </w:rPr>
        <w:t>和</w:t>
      </w:r>
      <w:r>
        <w:t>物资等；同时负责公司信息通信系统运维项目及运维工具研发，范围包括所有信息通信基础资源、基础应用平台及核心业务系统。</w:t>
      </w:r>
    </w:p>
    <w:p w14:paraId="2D6E225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当前与运维业务相关的工具研发重点包括</w:t>
      </w:r>
      <w:r>
        <w:rPr>
          <w:rFonts w:hint="eastAsia"/>
          <w:lang w:val="en-US" w:eastAsia="zh-CN"/>
        </w:rPr>
        <w:t>以下</w:t>
      </w:r>
      <w:r>
        <w:t>内容：</w:t>
      </w:r>
    </w:p>
    <w:p w14:paraId="1967854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《物管平台-物联标识系统》，建设基于物联网技术的标识管理体系，实现设备注册、审核、解析等功能，深化设备信息应用；</w:t>
      </w:r>
    </w:p>
    <w:p w14:paraId="090F343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《隔离装置监控处置工具》，研发自动监测处置功能，在不影响业务的前提下5分钟内完成故障处置，提升外网系统稳定性；</w:t>
      </w:r>
    </w:p>
    <w:p w14:paraId="202AAA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《Docker安装Jenkins》：提供基于Docker容器化方式快速部署Jenkins环境的完整步骤，涵盖镜像拉取、容器启动、权限配置及插件安装等关键环节，降低环境搭建门槛，提升部署效率。</w:t>
      </w:r>
    </w:p>
    <w:p w14:paraId="5BAA90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《Jenkins构建Java项目（分布式）》：针对Java项目的分布式构建场景，详细说明如何配置Jenkins的Master-Slave架构，实现构建任务的负载均衡与资源隔离，提升构建效率与系统稳定性。</w:t>
      </w:r>
    </w:p>
    <w:p w14:paraId="3293ED9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《Jenkins构建前端项目（分布式）》：围绕前端项目的构建需求，介绍在分布式环境下如何配置NodeJS环境、构建脚本编写及构建日志管理等内容，支持高效、稳定的前端构建流程。</w:t>
      </w:r>
    </w:p>
    <w:p w14:paraId="3E52E62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所有研发项目均按计划有序推进，通过周报、月报、季度总结及年度总结结合项目管理工具的方式，严格监控研发进度与质量，确保项目执行可控。</w:t>
      </w:r>
    </w:p>
    <w:p w14:paraId="7466DCF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16399"/>
      <w:bookmarkStart w:id="7" w:name="heading_4"/>
      <w:r>
        <w:t>运维工具研发成果说明</w:t>
      </w:r>
      <w:bookmarkEnd w:id="6"/>
      <w:bookmarkEnd w:id="7"/>
    </w:p>
    <w:p w14:paraId="64CD983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5"/>
      <w:bookmarkStart w:id="9" w:name="_Toc6665"/>
      <w:r>
        <w:t>物管平台-物联标识系统</w:t>
      </w:r>
      <w:bookmarkEnd w:id="8"/>
      <w:bookmarkEnd w:id="9"/>
    </w:p>
    <w:p w14:paraId="4534339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6"/>
      <w:bookmarkStart w:id="11" w:name="_Toc31384"/>
      <w:r>
        <w:t>项目总体</w:t>
      </w:r>
      <w:bookmarkEnd w:id="10"/>
      <w:r>
        <w:rPr>
          <w:rFonts w:hint="eastAsia"/>
          <w:lang w:val="en-US" w:eastAsia="zh-CN"/>
        </w:rPr>
        <w:t>概况</w:t>
      </w:r>
      <w:bookmarkEnd w:id="11"/>
    </w:p>
    <w:p w14:paraId="278A74D5">
      <w:r>
        <w:rPr>
          <w:rFonts w:hint="eastAsia"/>
          <w:lang w:val="en-US" w:eastAsia="zh-CN"/>
        </w:rPr>
        <w:br w:type="page"/>
      </w:r>
    </w:p>
    <w:tbl>
      <w:tblPr>
        <w:tblStyle w:val="20"/>
        <w:tblW w:w="84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5425"/>
      </w:tblGrid>
      <w:tr w14:paraId="019F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6542E7E">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内容分类</w:t>
            </w:r>
          </w:p>
        </w:tc>
        <w:tc>
          <w:tcPr>
            <w:tcW w:w="5425" w:type="dxa"/>
            <w:tcMar>
              <w:top w:w="60" w:type="dxa"/>
              <w:left w:w="120" w:type="dxa"/>
              <w:bottom w:w="30" w:type="dxa"/>
              <w:right w:w="120" w:type="dxa"/>
            </w:tcMar>
          </w:tcPr>
          <w:p w14:paraId="29201835">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详细说明</w:t>
            </w:r>
          </w:p>
        </w:tc>
      </w:tr>
      <w:tr w14:paraId="1F11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vAlign w:val="center"/>
          </w:tcPr>
          <w:p w14:paraId="4B6CB943">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总体目标</w:t>
            </w:r>
          </w:p>
        </w:tc>
        <w:tc>
          <w:tcPr>
            <w:tcW w:w="5425" w:type="dxa"/>
            <w:tcMar>
              <w:top w:w="60" w:type="dxa"/>
              <w:left w:w="120" w:type="dxa"/>
              <w:bottom w:w="30" w:type="dxa"/>
              <w:right w:w="120" w:type="dxa"/>
            </w:tcMar>
          </w:tcPr>
          <w:p w14:paraId="51240EAD">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建设基于物联网技术的物联标识系统，实现物联网设备的注册、审核、解析、标识管理，深化物联网设备信息应用；</w:t>
            </w:r>
          </w:p>
          <w:p w14:paraId="36285878">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打造统一设备标识管理体系，为设备新增、应用深化、数据共享及与业务系统深度融合提供技术基础。</w:t>
            </w:r>
          </w:p>
        </w:tc>
      </w:tr>
      <w:tr w14:paraId="47F7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vAlign w:val="center"/>
          </w:tcPr>
          <w:p w14:paraId="5EE72022">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总体计划</w:t>
            </w:r>
          </w:p>
        </w:tc>
        <w:tc>
          <w:tcPr>
            <w:tcW w:w="5425" w:type="dxa"/>
            <w:tcMar>
              <w:top w:w="60" w:type="dxa"/>
              <w:left w:w="120" w:type="dxa"/>
              <w:bottom w:w="30" w:type="dxa"/>
              <w:right w:w="120" w:type="dxa"/>
            </w:tcMar>
          </w:tcPr>
          <w:p w14:paraId="438D2E44">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2025年7月：完成需求调研、需求说明书编制、原型设计、数据库表设计及数据来源梳理；</w:t>
            </w:r>
          </w:p>
          <w:p w14:paraId="61B70DA4">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2025年8-11月：完成UI设计、前端开发、后端开发、接口开发及数据联调；</w:t>
            </w:r>
          </w:p>
          <w:p w14:paraId="03BE15AA">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2025年12月：完成系统联调及问题整改，达到上线标准；</w:t>
            </w:r>
          </w:p>
          <w:p w14:paraId="3DA07735">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2026年1月：完成上线准备及部署。</w:t>
            </w:r>
          </w:p>
        </w:tc>
      </w:tr>
      <w:tr w14:paraId="7CC1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FF959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当前进度</w:t>
            </w:r>
          </w:p>
        </w:tc>
        <w:tc>
          <w:tcPr>
            <w:tcW w:w="5425" w:type="dxa"/>
            <w:tcMar>
              <w:top w:w="60" w:type="dxa"/>
              <w:left w:w="120" w:type="dxa"/>
              <w:bottom w:w="30" w:type="dxa"/>
              <w:right w:w="120" w:type="dxa"/>
            </w:tcMar>
          </w:tcPr>
          <w:p w14:paraId="414F097A">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完成所有功能开发，进入试运行阶段</w:t>
            </w:r>
          </w:p>
        </w:tc>
      </w:tr>
    </w:tbl>
    <w:p w14:paraId="60055ED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2115"/>
      <w:bookmarkStart w:id="13" w:name="heading_7"/>
      <w:r>
        <w:t>整体计划推进表</w:t>
      </w:r>
      <w:bookmarkEnd w:id="12"/>
      <w:bookmarkEnd w:id="1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1637"/>
        <w:gridCol w:w="3576"/>
        <w:gridCol w:w="2555"/>
      </w:tblGrid>
      <w:tr w14:paraId="1B34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194F959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任务阶段</w:t>
            </w:r>
          </w:p>
        </w:tc>
        <w:tc>
          <w:tcPr>
            <w:tcW w:w="1637" w:type="dxa"/>
          </w:tcPr>
          <w:p w14:paraId="470EA5E4">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时间节点</w:t>
            </w:r>
          </w:p>
        </w:tc>
        <w:tc>
          <w:tcPr>
            <w:tcW w:w="3576" w:type="dxa"/>
          </w:tcPr>
          <w:p w14:paraId="0F7FF8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vertAlign w:val="baseline"/>
                <w:lang w:val="en-US" w:eastAsia="zh-CN"/>
              </w:rPr>
            </w:pPr>
            <w:r>
              <w:rPr>
                <w:rFonts w:hint="eastAsia"/>
                <w:vertAlign w:val="baseline"/>
                <w:lang w:val="en-US" w:eastAsia="zh-CN"/>
              </w:rPr>
              <w:t>工作内容</w:t>
            </w:r>
          </w:p>
        </w:tc>
        <w:tc>
          <w:tcPr>
            <w:tcW w:w="2555" w:type="dxa"/>
          </w:tcPr>
          <w:p w14:paraId="5BB6C2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完成情况</w:t>
            </w:r>
          </w:p>
        </w:tc>
      </w:tr>
      <w:tr w14:paraId="42C1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586D222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需求调研</w:t>
            </w:r>
          </w:p>
        </w:tc>
        <w:tc>
          <w:tcPr>
            <w:tcW w:w="1637" w:type="dxa"/>
          </w:tcPr>
          <w:p w14:paraId="42491CF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2025年7月</w:t>
            </w:r>
          </w:p>
        </w:tc>
        <w:tc>
          <w:tcPr>
            <w:tcW w:w="3576" w:type="dxa"/>
          </w:tcPr>
          <w:p w14:paraId="4E16A36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完成需求调研，编制需求说明书，进行原型设计，完成数据库表设计和数据来源梳理</w:t>
            </w:r>
          </w:p>
        </w:tc>
        <w:tc>
          <w:tcPr>
            <w:tcW w:w="2555" w:type="dxa"/>
          </w:tcPr>
          <w:p w14:paraId="77357AA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r w14:paraId="111C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752" w:type="dxa"/>
          </w:tcPr>
          <w:p w14:paraId="187914B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vertAlign w:val="baseline"/>
                <w:lang w:val="en-US" w:eastAsia="zh-CN"/>
              </w:rPr>
            </w:pPr>
            <w:r>
              <w:rPr>
                <w:rFonts w:hint="eastAsia"/>
                <w:vertAlign w:val="baseline"/>
                <w:lang w:val="en-US" w:eastAsia="zh-CN"/>
              </w:rPr>
              <w:t>开发</w:t>
            </w:r>
          </w:p>
        </w:tc>
        <w:tc>
          <w:tcPr>
            <w:tcW w:w="1637" w:type="dxa"/>
          </w:tcPr>
          <w:p w14:paraId="736C325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vertAlign w:val="baseline"/>
              </w:rPr>
            </w:pPr>
            <w:r>
              <w:rPr>
                <w:rFonts w:hint="eastAsia"/>
                <w:vertAlign w:val="baseline"/>
                <w:lang w:val="en-US" w:eastAsia="zh-CN"/>
              </w:rPr>
              <w:t>2025年8-11月</w:t>
            </w:r>
          </w:p>
        </w:tc>
        <w:tc>
          <w:tcPr>
            <w:tcW w:w="3576" w:type="dxa"/>
          </w:tcPr>
          <w:p w14:paraId="133B95D5">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完成前端页面开发和后台接口调试</w:t>
            </w:r>
          </w:p>
        </w:tc>
        <w:tc>
          <w:tcPr>
            <w:tcW w:w="2555" w:type="dxa"/>
          </w:tcPr>
          <w:p w14:paraId="2E683D9C">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r w14:paraId="2B8E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6D2BE5D8">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vertAlign w:val="baseline"/>
                <w:lang w:val="en-US" w:eastAsia="zh-CN"/>
              </w:rPr>
            </w:pPr>
            <w:r>
              <w:rPr>
                <w:rFonts w:hint="eastAsia"/>
                <w:vertAlign w:val="baseline"/>
                <w:lang w:val="en-US" w:eastAsia="zh-CN"/>
              </w:rPr>
              <w:t>上线准备</w:t>
            </w:r>
          </w:p>
        </w:tc>
        <w:tc>
          <w:tcPr>
            <w:tcW w:w="1637" w:type="dxa"/>
          </w:tcPr>
          <w:p w14:paraId="5F07FEA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2025年12月</w:t>
            </w:r>
          </w:p>
        </w:tc>
        <w:tc>
          <w:tcPr>
            <w:tcW w:w="3576" w:type="dxa"/>
          </w:tcPr>
          <w:p w14:paraId="6E14DED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进行联调，解决已知问题，达到上线标准</w:t>
            </w:r>
          </w:p>
        </w:tc>
        <w:tc>
          <w:tcPr>
            <w:tcW w:w="2555" w:type="dxa"/>
          </w:tcPr>
          <w:p w14:paraId="330A037A">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r w14:paraId="4479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67D7B64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eastAsia="宋体"/>
                <w:vertAlign w:val="baseline"/>
                <w:lang w:val="en-US" w:eastAsia="zh-CN"/>
              </w:rPr>
            </w:pPr>
            <w:r>
              <w:rPr>
                <w:rFonts w:hint="eastAsia"/>
                <w:vertAlign w:val="baseline"/>
                <w:lang w:val="en-US" w:eastAsia="zh-CN"/>
              </w:rPr>
              <w:t>系统上线</w:t>
            </w:r>
          </w:p>
        </w:tc>
        <w:tc>
          <w:tcPr>
            <w:tcW w:w="1637" w:type="dxa"/>
          </w:tcPr>
          <w:p w14:paraId="11C13577">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2026年1月</w:t>
            </w:r>
          </w:p>
        </w:tc>
        <w:tc>
          <w:tcPr>
            <w:tcW w:w="3576" w:type="dxa"/>
          </w:tcPr>
          <w:p w14:paraId="5618344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完成系统上线</w:t>
            </w:r>
          </w:p>
        </w:tc>
        <w:tc>
          <w:tcPr>
            <w:tcW w:w="2555" w:type="dxa"/>
          </w:tcPr>
          <w:p w14:paraId="0CBFC28D">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已完成</w:t>
            </w:r>
          </w:p>
        </w:tc>
      </w:tr>
    </w:tbl>
    <w:p w14:paraId="3592369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12237"/>
      <w:bookmarkStart w:id="15" w:name="heading_9"/>
      <w:r>
        <w:t>整体功能介绍</w:t>
      </w:r>
      <w:bookmarkEnd w:id="14"/>
      <w:bookmarkEnd w:id="15"/>
    </w:p>
    <w:p w14:paraId="743C571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eastAsia"/>
          <w:lang w:val="en-US" w:eastAsia="zh-CN"/>
        </w:rPr>
      </w:pPr>
      <w:r>
        <w:t>系统核心模块包括标识管理、标识数据统计、数据同步、系统管理（用户/组织/菜单/角色管理）及移动应用，实现物联网设备全生命周期管理与数据服务。</w:t>
      </w:r>
      <w:r>
        <w:rPr>
          <w:rFonts w:hint="eastAsia"/>
          <w:lang w:val="en-US" w:eastAsia="zh-CN"/>
        </w:rPr>
        <w:t>如图所示</w:t>
      </w:r>
    </w:p>
    <w:p w14:paraId="713B53A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drawing>
          <wp:inline distT="0" distB="0" distL="114300" distR="114300">
            <wp:extent cx="5268595" cy="2981325"/>
            <wp:effectExtent l="0" t="0" r="444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8595" cy="2981325"/>
                    </a:xfrm>
                    <a:prstGeom prst="rect">
                      <a:avLst/>
                    </a:prstGeom>
                    <a:noFill/>
                    <a:ln>
                      <a:noFill/>
                    </a:ln>
                  </pic:spPr>
                </pic:pic>
              </a:graphicData>
            </a:graphic>
          </wp:inline>
        </w:drawing>
      </w:r>
    </w:p>
    <w:p w14:paraId="4AB9F06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标识管理模块支持批量二维码生成、Excel导出、二维码下载及标识置为无效等功能，满足设备标识批量操作需求。</w:t>
      </w:r>
      <w:r>
        <w:rPr>
          <w:rFonts w:hint="eastAsia"/>
          <w:lang w:val="en-US" w:eastAsia="zh-CN"/>
        </w:rPr>
        <w:t>如图2所示</w:t>
      </w:r>
    </w:p>
    <w:p w14:paraId="5031EE82">
      <w:pPr>
        <w:keepNext w:val="0"/>
        <w:keepLines w:val="0"/>
        <w:pageBreakBefore w:val="0"/>
        <w:widowControl w:val="0"/>
        <w:numPr>
          <w:ilvl w:val="0"/>
          <w:numId w:val="0"/>
        </w:numPr>
        <w:kinsoku w:val="0"/>
        <w:wordWrap/>
        <w:overflowPunct/>
        <w:topLinePunct w:val="0"/>
        <w:autoSpaceDE w:val="0"/>
        <w:autoSpaceDN w:val="0"/>
        <w:bidi w:val="0"/>
        <w:adjustRightInd w:val="0"/>
        <w:snapToGrid w:val="0"/>
        <w:ind w:left="0" w:leftChars="0" w:right="0" w:rightChars="0" w:firstLine="0" w:firstLineChars="0"/>
        <w:jc w:val="both"/>
        <w:textAlignment w:val="baseline"/>
      </w:pPr>
    </w:p>
    <w:p w14:paraId="57BAA626">
      <w:pPr>
        <w:keepNext w:val="0"/>
        <w:keepLines w:val="0"/>
        <w:pageBreakBefore w:val="0"/>
        <w:widowControl w:val="0"/>
        <w:numPr>
          <w:ilvl w:val="0"/>
          <w:numId w:val="0"/>
        </w:numPr>
        <w:kinsoku w:val="0"/>
        <w:wordWrap/>
        <w:overflowPunct/>
        <w:topLinePunct w:val="0"/>
        <w:autoSpaceDE w:val="0"/>
        <w:autoSpaceDN w:val="0"/>
        <w:bidi w:val="0"/>
        <w:adjustRightInd w:val="0"/>
        <w:snapToGrid w:val="0"/>
        <w:ind w:left="0" w:leftChars="0" w:right="0" w:rightChars="0" w:firstLine="0" w:firstLineChars="0"/>
        <w:jc w:val="both"/>
        <w:textAlignment w:val="baseline"/>
      </w:pPr>
      <w:r>
        <w:drawing>
          <wp:inline distT="0" distB="0" distL="114300" distR="114300">
            <wp:extent cx="5264785" cy="2874010"/>
            <wp:effectExtent l="0" t="0" r="12065"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5264785" cy="2874010"/>
                    </a:xfrm>
                    <a:prstGeom prst="rect">
                      <a:avLst/>
                    </a:prstGeom>
                    <a:noFill/>
                    <a:ln>
                      <a:noFill/>
                    </a:ln>
                  </pic:spPr>
                </pic:pic>
              </a:graphicData>
            </a:graphic>
          </wp:inline>
        </w:drawing>
      </w:r>
    </w:p>
    <w:p w14:paraId="1C7C4D7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10"/>
      <w:bookmarkStart w:id="17" w:name="_Toc28067"/>
      <w:r>
        <w:t>主要模块详情</w:t>
      </w:r>
      <w:bookmarkEnd w:id="16"/>
      <w:bookmarkEnd w:id="17"/>
    </w:p>
    <w:p w14:paraId="7779AAEC">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数据统计</w:t>
      </w:r>
    </w:p>
    <w:p w14:paraId="5FCB148D">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rPr>
          <w:rStyle w:val="43"/>
        </w:rPr>
        <w:t>以单位、设备类型为统计维度，采用柱状图可视化展示数据，支持全局及明细数据查看，助力设备分布与数量分析。</w:t>
      </w:r>
      <w:r>
        <w:drawing>
          <wp:inline distT="0" distB="0" distL="114300" distR="114300">
            <wp:extent cx="5269865" cy="2148840"/>
            <wp:effectExtent l="0" t="0" r="317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69865" cy="2148840"/>
                    </a:xfrm>
                    <a:prstGeom prst="rect">
                      <a:avLst/>
                    </a:prstGeom>
                    <a:noFill/>
                    <a:ln>
                      <a:noFill/>
                    </a:ln>
                  </pic:spPr>
                </pic:pic>
              </a:graphicData>
            </a:graphic>
          </wp:inline>
        </w:drawing>
      </w:r>
    </w:p>
    <w:p w14:paraId="6973571F">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72405" cy="2384425"/>
            <wp:effectExtent l="0" t="0" r="635"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72405" cy="2384425"/>
                    </a:xfrm>
                    <a:prstGeom prst="rect">
                      <a:avLst/>
                    </a:prstGeom>
                    <a:noFill/>
                    <a:ln>
                      <a:noFill/>
                    </a:ln>
                  </pic:spPr>
                </pic:pic>
              </a:graphicData>
            </a:graphic>
          </wp:inline>
        </w:drawing>
      </w:r>
    </w:p>
    <w:p w14:paraId="4179AC3F">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数据同步</w:t>
      </w:r>
    </w:p>
    <w:p w14:paraId="614AC86E">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实现与ISC系统的用户及组织信息同步，确保标识系统内的人员机构信息与主库一致，保障数据准确性。</w:t>
      </w:r>
      <w:r>
        <w:rPr>
          <w:rFonts w:hint="eastAsia"/>
          <w:lang w:val="en-US" w:eastAsia="zh-CN"/>
        </w:rPr>
        <w:t>如下图所示</w:t>
      </w:r>
      <w:r>
        <w:drawing>
          <wp:inline distT="0" distB="0" distL="114300" distR="114300">
            <wp:extent cx="5262880" cy="2773680"/>
            <wp:effectExtent l="0" t="0" r="1397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5262880" cy="2773680"/>
                    </a:xfrm>
                    <a:prstGeom prst="rect">
                      <a:avLst/>
                    </a:prstGeom>
                    <a:noFill/>
                    <a:ln>
                      <a:noFill/>
                    </a:ln>
                  </pic:spPr>
                </pic:pic>
              </a:graphicData>
            </a:graphic>
          </wp:inline>
        </w:drawing>
      </w:r>
    </w:p>
    <w:p w14:paraId="4E30ECB3">
      <w:pPr>
        <w:pStyle w:val="3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5D77169E">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系统管理</w:t>
      </w:r>
    </w:p>
    <w:p w14:paraId="0716C7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Style w:val="43"/>
          <w:rFonts w:hint="eastAsia"/>
          <w:lang w:val="en-US"/>
        </w:rPr>
      </w:pPr>
      <w:r>
        <w:t>菜单管理支持自定义菜单名称、URL、路径、排序及显示状态等配置，提供返回、保存、删除及添加下级等操作按钮；组织管理记录组织名称、上级机构及创建时间等核心信息，支撑系统权限精细化管控。</w:t>
      </w:r>
      <w:r>
        <w:rPr>
          <w:rFonts w:hint="eastAsia"/>
          <w:lang w:val="en-US"/>
        </w:rPr>
        <w:t>如下图所示</w:t>
      </w:r>
    </w:p>
    <w:p w14:paraId="47FDA415">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62880" cy="2108835"/>
            <wp:effectExtent l="0" t="0" r="10160" b="952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5262880" cy="2108835"/>
                    </a:xfrm>
                    <a:prstGeom prst="rect">
                      <a:avLst/>
                    </a:prstGeom>
                    <a:noFill/>
                    <a:ln>
                      <a:noFill/>
                    </a:ln>
                  </pic:spPr>
                </pic:pic>
              </a:graphicData>
            </a:graphic>
          </wp:inline>
        </w:drawing>
      </w:r>
      <w:r>
        <w:rPr>
          <w:rFonts w:ascii="Arial" w:hAnsi="Arial" w:eastAsia="等线" w:cs="Arial"/>
          <w:sz w:val="22"/>
        </w:rPr>
        <w:br w:type="textWrapping"/>
      </w:r>
      <w:r>
        <w:drawing>
          <wp:inline distT="0" distB="0" distL="114300" distR="114300">
            <wp:extent cx="5269230" cy="1821815"/>
            <wp:effectExtent l="0" t="0" r="7620"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5269230" cy="1821815"/>
                    </a:xfrm>
                    <a:prstGeom prst="rect">
                      <a:avLst/>
                    </a:prstGeom>
                    <a:noFill/>
                    <a:ln>
                      <a:noFill/>
                    </a:ln>
                  </pic:spPr>
                </pic:pic>
              </a:graphicData>
            </a:graphic>
          </wp:inline>
        </w:drawing>
      </w:r>
    </w:p>
    <w:p w14:paraId="2240E6C4">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eastAsia"/>
          <w:lang w:val="en-US" w:eastAsia="zh-CN"/>
        </w:rPr>
      </w:pPr>
      <w:r>
        <w:rPr>
          <w:rFonts w:hint="eastAsia"/>
          <w:lang w:val="en-US" w:eastAsia="zh-CN"/>
        </w:rPr>
        <w:t>支持权限管理功能，实现按需分配权限。进行严格管控</w:t>
      </w:r>
    </w:p>
    <w:p w14:paraId="01147764">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66690" cy="2153285"/>
            <wp:effectExtent l="0" t="0" r="10160" b="1841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4"/>
                    <a:stretch>
                      <a:fillRect/>
                    </a:stretch>
                  </pic:blipFill>
                  <pic:spPr>
                    <a:xfrm>
                      <a:off x="0" y="0"/>
                      <a:ext cx="5266690" cy="2153285"/>
                    </a:xfrm>
                    <a:prstGeom prst="rect">
                      <a:avLst/>
                    </a:prstGeom>
                    <a:noFill/>
                    <a:ln>
                      <a:noFill/>
                    </a:ln>
                  </pic:spPr>
                </pic:pic>
              </a:graphicData>
            </a:graphic>
          </wp:inline>
        </w:drawing>
      </w:r>
    </w:p>
    <w:p w14:paraId="316CE09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pPr>
      <w:r>
        <w:drawing>
          <wp:inline distT="0" distB="0" distL="114300" distR="114300">
            <wp:extent cx="5269230" cy="1311275"/>
            <wp:effectExtent l="0" t="0" r="7620"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5"/>
                    <a:stretch>
                      <a:fillRect/>
                    </a:stretch>
                  </pic:blipFill>
                  <pic:spPr>
                    <a:xfrm>
                      <a:off x="0" y="0"/>
                      <a:ext cx="5269230" cy="1311275"/>
                    </a:xfrm>
                    <a:prstGeom prst="rect">
                      <a:avLst/>
                    </a:prstGeom>
                    <a:noFill/>
                    <a:ln>
                      <a:noFill/>
                    </a:ln>
                  </pic:spPr>
                </pic:pic>
              </a:graphicData>
            </a:graphic>
          </wp:inline>
        </w:drawing>
      </w:r>
    </w:p>
    <w:p w14:paraId="2D3030FE">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eastAsia"/>
          <w:lang w:val="en-US" w:eastAsia="zh-CN"/>
        </w:rPr>
      </w:pPr>
      <w:r>
        <w:rPr>
          <w:rFonts w:hint="eastAsia"/>
          <w:lang w:val="en-US" w:eastAsia="zh-CN"/>
        </w:rPr>
        <w:t>同时支持设备管理功能</w:t>
      </w:r>
    </w:p>
    <w:p w14:paraId="30C96508">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hint="default"/>
          <w:lang w:val="en-US" w:eastAsia="zh-CN"/>
        </w:rPr>
      </w:pPr>
      <w:r>
        <w:drawing>
          <wp:inline distT="0" distB="0" distL="114300" distR="114300">
            <wp:extent cx="5273040" cy="2824480"/>
            <wp:effectExtent l="0" t="0" r="3810" b="1397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6"/>
                    <a:stretch>
                      <a:fillRect/>
                    </a:stretch>
                  </pic:blipFill>
                  <pic:spPr>
                    <a:xfrm>
                      <a:off x="0" y="0"/>
                      <a:ext cx="5273040" cy="2824480"/>
                    </a:xfrm>
                    <a:prstGeom prst="rect">
                      <a:avLst/>
                    </a:prstGeom>
                    <a:noFill/>
                    <a:ln>
                      <a:noFill/>
                    </a:ln>
                  </pic:spPr>
                </pic:pic>
              </a:graphicData>
            </a:graphic>
          </wp:inline>
        </w:drawing>
      </w:r>
    </w:p>
    <w:p w14:paraId="2353D64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11"/>
      <w:bookmarkStart w:id="19" w:name="_Toc25747"/>
      <w:r>
        <w:t>产品功能与实现目标</w:t>
      </w:r>
      <w:bookmarkEnd w:id="18"/>
      <w:bookmarkEnd w:id="19"/>
    </w:p>
    <w:p w14:paraId="05EE9493">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产品功能</w:t>
      </w:r>
    </w:p>
    <w:p w14:paraId="1AF11E6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支持海量采集终端与边缘物联代理的统一在线管理及远程运维；助力专业智能应用快速迭代升级，构建开放共享生态；实现采集数据标准化处理与存量系统接入，向企业中台及业务系统开放标准化数据接口。</w:t>
      </w:r>
    </w:p>
    <w:p w14:paraId="42D26646">
      <w:pPr>
        <w:pStyle w:val="39"/>
        <w:keepNext w:val="0"/>
        <w:keepLines w:val="0"/>
        <w:pageBreakBefore w:val="0"/>
        <w:widowControl w:val="0"/>
        <w:numPr>
          <w:ilvl w:val="0"/>
          <w:numId w:val="4"/>
        </w:numPr>
        <w:kinsoku w:val="0"/>
        <w:wordWrap/>
        <w:overflowPunct/>
        <w:topLinePunct w:val="0"/>
        <w:autoSpaceDE w:val="0"/>
        <w:autoSpaceDN w:val="0"/>
        <w:bidi w:val="0"/>
        <w:adjustRightInd w:val="0"/>
        <w:snapToGrid w:val="0"/>
        <w:textAlignment w:val="baseline"/>
      </w:pPr>
      <w:r>
        <w:t>实现目标</w:t>
      </w:r>
    </w:p>
    <w:p w14:paraId="096E5AE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规范终端接入标准，整合终端信息存储；依托云平台与数据中台，强化物联平台服务能力；以服务、运维及数据可视化技术驱动业务，支撑各业务系统与物联平台对接，提升终端运维管理效率。</w:t>
      </w:r>
      <w:bookmarkStart w:id="20" w:name="heading_12"/>
    </w:p>
    <w:p w14:paraId="3ED838C1">
      <w:pPr>
        <w:pStyle w:val="31"/>
        <w:bidi w:val="0"/>
        <w:rPr>
          <w:rFonts w:hint="default"/>
          <w:lang w:val="en-US" w:eastAsia="zh-CN"/>
        </w:rPr>
      </w:pPr>
      <w:bookmarkStart w:id="21" w:name="_Toc598"/>
      <w:r>
        <w:rPr>
          <w:rFonts w:hint="eastAsia"/>
          <w:lang w:val="en-US" w:eastAsia="zh-CN"/>
        </w:rPr>
        <w:t>实际项目应用</w:t>
      </w:r>
      <w:bookmarkEnd w:id="21"/>
    </w:p>
    <w:p w14:paraId="03829573">
      <w:pPr>
        <w:pStyle w:val="29"/>
        <w:rPr>
          <w:rFonts w:hint="default"/>
          <w:lang w:val="en-US" w:eastAsia="zh-CN"/>
        </w:rPr>
      </w:pPr>
      <w:r>
        <w:rPr>
          <w:rFonts w:hint="default"/>
          <w:lang w:val="en-US" w:eastAsia="zh-CN"/>
        </w:rPr>
        <w:t>物联标识系统已成功应用于国网天津电力电缆运维管理试点项目，覆盖5座110kV变电站的出线电缆及通道，累计完成1200余个电缆接头、井盖及附属设备的物联标识部署。现场运维人员通过移动端扫码，即可实时获取设备台账、历史试验报告、故障记录等全寿命信息，单次巡检平均耗时由原来的45分钟缩短至20分钟，效</w:t>
      </w:r>
      <w:bookmarkStart w:id="35" w:name="_GoBack"/>
      <w:bookmarkEnd w:id="35"/>
      <w:r>
        <w:rPr>
          <w:rFonts w:hint="default"/>
          <w:lang w:val="en-US" w:eastAsia="zh-CN"/>
        </w:rPr>
        <w:t>率提升55%以上。在2025年12月的一次电缆故障抢修中，运维人员通过扫码快速获取故障区段内所有接头的历史试验数据，精准定位疑似故障点，抢修时长由以往的平均4小时压缩至2.5小时，获得客户高度认可。目前系统已纳入天津电力数字化运维试点推广计划，2026年拟扩大至3个供电服务中心。</w:t>
      </w:r>
    </w:p>
    <w:p w14:paraId="3D98939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9603"/>
      <w:r>
        <w:t>隔离装置监控处置工具</w:t>
      </w:r>
      <w:bookmarkEnd w:id="20"/>
      <w:bookmarkEnd w:id="22"/>
    </w:p>
    <w:p w14:paraId="2A9ABF1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3"/>
      <w:bookmarkStart w:id="24" w:name="_Toc31242"/>
      <w:r>
        <w:t>项目总体</w:t>
      </w:r>
      <w:bookmarkEnd w:id="23"/>
      <w:r>
        <w:rPr>
          <w:rFonts w:hint="eastAsia"/>
          <w:lang w:val="en-US" w:eastAsia="zh-CN"/>
        </w:rPr>
        <w:t>概况</w:t>
      </w:r>
      <w:bookmarkEnd w:id="24"/>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444"/>
        <w:gridCol w:w="7078"/>
      </w:tblGrid>
      <w:tr w14:paraId="25DB70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144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458C9FF">
            <w:pPr>
              <w:pStyle w:val="39"/>
              <w:bidi w:val="0"/>
              <w:snapToGrid w:val="0"/>
              <w:spacing w:line="240" w:lineRule="auto"/>
              <w:ind w:left="0" w:leftChars="0" w:right="0" w:rightChars="0" w:firstLine="0" w:firstLineChars="0"/>
              <w:jc w:val="center"/>
              <w:rPr>
                <w:b/>
              </w:rPr>
            </w:pPr>
            <w:r>
              <w:rPr>
                <w:b/>
              </w:rPr>
              <w:t>内容分类</w:t>
            </w:r>
          </w:p>
        </w:tc>
        <w:tc>
          <w:tcPr>
            <w:tcW w:w="707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013DAF9">
            <w:pPr>
              <w:pStyle w:val="39"/>
              <w:bidi w:val="0"/>
              <w:snapToGrid w:val="0"/>
              <w:spacing w:line="240" w:lineRule="auto"/>
              <w:ind w:left="0" w:leftChars="0" w:right="0" w:rightChars="0" w:firstLine="0" w:firstLineChars="0"/>
              <w:jc w:val="center"/>
              <w:rPr>
                <w:b/>
              </w:rPr>
            </w:pPr>
            <w:r>
              <w:rPr>
                <w:b/>
              </w:rPr>
              <w:t>详细说明</w:t>
            </w:r>
          </w:p>
        </w:tc>
      </w:tr>
      <w:tr w14:paraId="3B1057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E1E265">
            <w:pPr>
              <w:pStyle w:val="39"/>
              <w:bidi w:val="0"/>
              <w:snapToGrid w:val="0"/>
              <w:spacing w:line="240" w:lineRule="auto"/>
              <w:ind w:left="0" w:leftChars="0" w:right="0" w:rightChars="0" w:firstLine="0" w:firstLineChars="0"/>
              <w:jc w:val="center"/>
            </w:pPr>
            <w:r>
              <w:t>总体目标</w:t>
            </w:r>
          </w:p>
        </w:tc>
        <w:tc>
          <w:tcPr>
            <w:tcW w:w="707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F005BAC">
            <w:pPr>
              <w:pStyle w:val="39"/>
              <w:bidi w:val="0"/>
              <w:snapToGrid w:val="0"/>
              <w:spacing w:line="240" w:lineRule="auto"/>
              <w:ind w:left="0" w:leftChars="0" w:right="0" w:rightChars="0" w:firstLine="0" w:firstLineChars="0"/>
              <w:jc w:val="center"/>
            </w:pPr>
            <w:r>
              <w:t>深入研究隔离装置工作原理，研发自动监测处置工具，在不影响业务运行的前提下，通过实时监测与故障处理功能，5分钟内完成自动故障处置，提升外网业务系统运行稳定性。</w:t>
            </w:r>
          </w:p>
        </w:tc>
      </w:tr>
      <w:tr w14:paraId="2F8975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A5010EA">
            <w:pPr>
              <w:pStyle w:val="39"/>
              <w:bidi w:val="0"/>
              <w:snapToGrid w:val="0"/>
              <w:spacing w:line="240" w:lineRule="auto"/>
              <w:ind w:left="0" w:leftChars="0" w:right="0" w:rightChars="0" w:firstLine="0" w:firstLineChars="0"/>
              <w:jc w:val="center"/>
            </w:pPr>
            <w:r>
              <w:t>总体计划</w:t>
            </w:r>
          </w:p>
        </w:tc>
        <w:tc>
          <w:tcPr>
            <w:tcW w:w="707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6A18BB7">
            <w:pPr>
              <w:pStyle w:val="39"/>
              <w:bidi w:val="0"/>
              <w:snapToGrid w:val="0"/>
              <w:spacing w:line="240" w:lineRule="auto"/>
              <w:ind w:left="0" w:leftChars="0" w:right="0" w:rightChars="0" w:firstLine="0" w:firstLineChars="0"/>
              <w:jc w:val="left"/>
            </w:pPr>
            <w:r>
              <w:t>202</w:t>
            </w:r>
            <w:r>
              <w:rPr>
                <w:rFonts w:hint="eastAsia"/>
                <w:lang w:val="en-US" w:eastAsia="zh-CN"/>
              </w:rPr>
              <w:t>5</w:t>
            </w:r>
            <w:r>
              <w:t>年</w:t>
            </w:r>
            <w:r>
              <w:rPr>
                <w:rFonts w:hint="eastAsia"/>
                <w:lang w:val="en-US" w:eastAsia="zh-CN"/>
              </w:rPr>
              <w:t>7-8</w:t>
            </w:r>
            <w:r>
              <w:t>月：完成需求收集与确认；</w:t>
            </w:r>
          </w:p>
          <w:p w14:paraId="3488FB41">
            <w:pPr>
              <w:pStyle w:val="39"/>
              <w:bidi w:val="0"/>
              <w:snapToGrid w:val="0"/>
              <w:spacing w:line="240" w:lineRule="auto"/>
              <w:ind w:left="0" w:leftChars="0" w:right="0" w:rightChars="0" w:firstLine="0" w:firstLineChars="0"/>
              <w:jc w:val="left"/>
            </w:pPr>
            <w:r>
              <w:t>202</w:t>
            </w:r>
            <w:r>
              <w:rPr>
                <w:rFonts w:hint="eastAsia"/>
                <w:lang w:val="en-US" w:eastAsia="zh-CN"/>
              </w:rPr>
              <w:t>5</w:t>
            </w:r>
            <w:r>
              <w:t>年</w:t>
            </w:r>
            <w:r>
              <w:rPr>
                <w:rFonts w:hint="eastAsia"/>
                <w:lang w:val="en-US" w:eastAsia="zh-CN"/>
              </w:rPr>
              <w:t>9-11</w:t>
            </w:r>
            <w:r>
              <w:t>月：开展四大功能模块（探测及处理、日志记录、短信邮件告警、日志审计）迭代研发与测试；</w:t>
            </w:r>
          </w:p>
          <w:p w14:paraId="280038AB">
            <w:pPr>
              <w:pStyle w:val="39"/>
              <w:bidi w:val="0"/>
              <w:snapToGrid w:val="0"/>
              <w:spacing w:line="240" w:lineRule="auto"/>
              <w:ind w:left="0" w:leftChars="0" w:right="0" w:rightChars="0" w:firstLine="0" w:firstLineChars="0"/>
              <w:jc w:val="left"/>
            </w:pPr>
            <w:r>
              <w:t>202</w:t>
            </w:r>
            <w:r>
              <w:rPr>
                <w:rFonts w:hint="eastAsia"/>
                <w:lang w:val="en-US" w:eastAsia="zh-CN"/>
              </w:rPr>
              <w:t>5</w:t>
            </w:r>
            <w:r>
              <w:t>年</w:t>
            </w:r>
            <w:r>
              <w:rPr>
                <w:rFonts w:hint="eastAsia"/>
                <w:lang w:val="en-US" w:eastAsia="zh-CN"/>
              </w:rPr>
              <w:t>12</w:t>
            </w:r>
            <w:r>
              <w:t>月：完成线上部署试用</w:t>
            </w:r>
            <w:r>
              <w:rPr>
                <w:rFonts w:hint="eastAsia"/>
                <w:lang w:val="en-US" w:eastAsia="zh-CN"/>
              </w:rPr>
              <w:t>并进行BUG修复</w:t>
            </w:r>
            <w:r>
              <w:t>；</w:t>
            </w:r>
          </w:p>
          <w:p w14:paraId="62A1DED4">
            <w:pPr>
              <w:pStyle w:val="39"/>
              <w:bidi w:val="0"/>
              <w:snapToGrid w:val="0"/>
              <w:spacing w:line="240" w:lineRule="auto"/>
              <w:ind w:left="0" w:leftChars="0" w:right="0" w:rightChars="0" w:firstLine="0" w:firstLineChars="0"/>
              <w:jc w:val="left"/>
            </w:pPr>
            <w:r>
              <w:rPr>
                <w:rFonts w:hint="eastAsia"/>
                <w:lang w:val="en-US" w:eastAsia="zh-CN"/>
              </w:rPr>
              <w:t>2026年1月：上线试运行</w:t>
            </w:r>
          </w:p>
          <w:p w14:paraId="06F3C0FF">
            <w:pPr>
              <w:pStyle w:val="39"/>
              <w:bidi w:val="0"/>
              <w:snapToGrid w:val="0"/>
              <w:spacing w:line="240" w:lineRule="auto"/>
              <w:ind w:left="0" w:leftChars="0" w:right="0" w:rightChars="0" w:firstLine="0" w:firstLineChars="0"/>
              <w:jc w:val="left"/>
            </w:pPr>
            <w:r>
              <w:t>202</w:t>
            </w:r>
            <w:r>
              <w:rPr>
                <w:rFonts w:hint="eastAsia"/>
                <w:lang w:val="en-US" w:eastAsia="zh-CN"/>
              </w:rPr>
              <w:t>6</w:t>
            </w:r>
            <w:r>
              <w:t>年</w:t>
            </w:r>
            <w:r>
              <w:rPr>
                <w:rFonts w:hint="eastAsia"/>
                <w:lang w:val="en-US" w:eastAsia="zh-CN"/>
              </w:rPr>
              <w:t>2</w:t>
            </w:r>
            <w:r>
              <w:t>-</w:t>
            </w:r>
            <w:r>
              <w:rPr>
                <w:rFonts w:hint="eastAsia"/>
                <w:lang w:val="en-US" w:eastAsia="zh-CN"/>
              </w:rPr>
              <w:t>3</w:t>
            </w:r>
            <w:r>
              <w:t>月：</w:t>
            </w:r>
            <w:r>
              <w:rPr>
                <w:rFonts w:hint="eastAsia"/>
                <w:lang w:val="en-US" w:eastAsia="zh-CN"/>
              </w:rPr>
              <w:t>验收</w:t>
            </w:r>
            <w:r>
              <w:t>；</w:t>
            </w:r>
          </w:p>
        </w:tc>
      </w:tr>
      <w:tr w14:paraId="0C06F3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998FC9">
            <w:pPr>
              <w:pStyle w:val="39"/>
              <w:bidi w:val="0"/>
              <w:snapToGrid w:val="0"/>
              <w:spacing w:line="240" w:lineRule="auto"/>
              <w:ind w:left="0" w:leftChars="0" w:right="0" w:rightChars="0" w:firstLine="0" w:firstLineChars="0"/>
              <w:jc w:val="center"/>
            </w:pPr>
            <w:r>
              <w:t>当前进度</w:t>
            </w:r>
          </w:p>
        </w:tc>
        <w:tc>
          <w:tcPr>
            <w:tcW w:w="707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3415286">
            <w:pPr>
              <w:pStyle w:val="39"/>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上线试运行</w:t>
            </w:r>
          </w:p>
        </w:tc>
      </w:tr>
      <w:tr w14:paraId="267A5E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7830A4">
            <w:pPr>
              <w:pStyle w:val="39"/>
              <w:bidi w:val="0"/>
              <w:snapToGrid w:val="0"/>
              <w:spacing w:line="240" w:lineRule="auto"/>
              <w:ind w:left="0" w:leftChars="0" w:right="0" w:rightChars="0" w:firstLine="0" w:firstLineChars="0"/>
              <w:jc w:val="center"/>
            </w:pPr>
            <w:r>
              <w:t>本月任务</w:t>
            </w:r>
          </w:p>
        </w:tc>
        <w:tc>
          <w:tcPr>
            <w:tcW w:w="707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CDA6E4">
            <w:pPr>
              <w:pStyle w:val="39"/>
              <w:bidi w:val="0"/>
              <w:snapToGrid w:val="0"/>
              <w:spacing w:line="240" w:lineRule="auto"/>
              <w:ind w:left="0" w:leftChars="0" w:right="0" w:rightChars="0" w:firstLine="0" w:firstLineChars="0"/>
              <w:jc w:val="center"/>
              <w:rPr>
                <w:rFonts w:hint="default"/>
                <w:lang w:val="en-US" w:eastAsia="zh-CN"/>
              </w:rPr>
            </w:pPr>
            <w:r>
              <w:rPr>
                <w:rFonts w:hint="eastAsia"/>
                <w:lang w:val="en-US" w:eastAsia="zh-CN"/>
              </w:rPr>
              <w:t>上线试运行，维护系统稳定</w:t>
            </w:r>
          </w:p>
        </w:tc>
      </w:tr>
      <w:tr w14:paraId="63F0AF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9E9462">
            <w:pPr>
              <w:pStyle w:val="39"/>
              <w:bidi w:val="0"/>
              <w:snapToGrid w:val="0"/>
              <w:spacing w:line="240" w:lineRule="auto"/>
              <w:ind w:left="0" w:leftChars="0" w:right="0" w:rightChars="0" w:firstLine="0" w:firstLineChars="0"/>
              <w:jc w:val="center"/>
            </w:pPr>
            <w:r>
              <w:t>待协调事项</w:t>
            </w:r>
          </w:p>
        </w:tc>
        <w:tc>
          <w:tcPr>
            <w:tcW w:w="707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BE7289">
            <w:pPr>
              <w:pStyle w:val="39"/>
              <w:bidi w:val="0"/>
              <w:snapToGrid w:val="0"/>
              <w:spacing w:line="240" w:lineRule="auto"/>
              <w:ind w:left="0" w:leftChars="0" w:right="0" w:rightChars="0" w:firstLine="0" w:firstLineChars="0"/>
              <w:jc w:val="center"/>
            </w:pPr>
            <w:r>
              <w:t>无</w:t>
            </w:r>
          </w:p>
        </w:tc>
      </w:tr>
      <w:tr w14:paraId="09529C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144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664D627">
            <w:pPr>
              <w:pStyle w:val="39"/>
              <w:bidi w:val="0"/>
              <w:snapToGrid w:val="0"/>
              <w:spacing w:line="240" w:lineRule="auto"/>
              <w:ind w:left="0" w:leftChars="0" w:right="0" w:rightChars="0" w:firstLine="0" w:firstLineChars="0"/>
              <w:jc w:val="center"/>
            </w:pPr>
            <w:r>
              <w:t>现存问题</w:t>
            </w:r>
          </w:p>
        </w:tc>
        <w:tc>
          <w:tcPr>
            <w:tcW w:w="707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F448782">
            <w:pPr>
              <w:pStyle w:val="39"/>
              <w:bidi w:val="0"/>
              <w:snapToGrid w:val="0"/>
              <w:spacing w:line="240" w:lineRule="auto"/>
              <w:ind w:left="0" w:leftChars="0" w:right="0" w:rightChars="0" w:firstLine="0" w:firstLineChars="0"/>
              <w:jc w:val="center"/>
            </w:pPr>
            <w:r>
              <w:t>无</w:t>
            </w:r>
          </w:p>
        </w:tc>
      </w:tr>
    </w:tbl>
    <w:p w14:paraId="1E406CE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6621"/>
      <w:bookmarkStart w:id="26" w:name="heading_15"/>
      <w:r>
        <w:t>整体功能介绍</w:t>
      </w:r>
      <w:bookmarkEnd w:id="25"/>
      <w:bookmarkEnd w:id="26"/>
    </w:p>
    <w:p w14:paraId="1B9192E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系统包含监测及处置、日志记录、短信邮件告警、日志审计四大核心模块，实现隔离装置的实时监测与智能化故障处理，解决传统人工运维效率低的问题，提升外网业务系统稳定性。</w:t>
      </w:r>
    </w:p>
    <w:p w14:paraId="33F7D3C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10880"/>
      <w:bookmarkStart w:id="28" w:name="heading_16"/>
      <w:r>
        <w:t>主要模块详情</w:t>
      </w:r>
      <w:bookmarkEnd w:id="27"/>
      <w:bookmarkEnd w:id="28"/>
    </w:p>
    <w:p w14:paraId="78B939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监控模块是核心功能载体，实现隔离装置设备线上化管理与实时监控，具备5分钟自动巡检、异常关闭后自动重启等能力，彻底实现隔离装置运维自动化，减少人工干预成本。</w:t>
      </w:r>
      <w:r>
        <w:rPr>
          <w:rFonts w:hint="eastAsia"/>
          <w:lang w:val="en-US" w:eastAsia="zh-CN"/>
        </w:rPr>
        <w:t>监控功能支持总体查看设备负载趋势，如下图：</w:t>
      </w:r>
    </w:p>
    <w:p w14:paraId="3657EF9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59070" cy="2442845"/>
            <wp:effectExtent l="0" t="0" r="13970" b="1079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7"/>
                    <a:stretch>
                      <a:fillRect/>
                    </a:stretch>
                  </pic:blipFill>
                  <pic:spPr>
                    <a:xfrm>
                      <a:off x="0" y="0"/>
                      <a:ext cx="5259070" cy="2442845"/>
                    </a:xfrm>
                    <a:prstGeom prst="rect">
                      <a:avLst/>
                    </a:prstGeom>
                    <a:noFill/>
                    <a:ln>
                      <a:noFill/>
                    </a:ln>
                  </pic:spPr>
                </pic:pic>
              </a:graphicData>
            </a:graphic>
          </wp:inline>
        </w:drawing>
      </w:r>
    </w:p>
    <w:p w14:paraId="44AC0C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日志记录系统的操作情况，如下图：</w:t>
      </w:r>
    </w:p>
    <w:p w14:paraId="75DA430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5420" cy="2091690"/>
            <wp:effectExtent l="0" t="0" r="11430" b="381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8"/>
                    <a:stretch>
                      <a:fillRect/>
                    </a:stretch>
                  </pic:blipFill>
                  <pic:spPr>
                    <a:xfrm>
                      <a:off x="0" y="0"/>
                      <a:ext cx="5265420" cy="2091690"/>
                    </a:xfrm>
                    <a:prstGeom prst="rect">
                      <a:avLst/>
                    </a:prstGeom>
                    <a:noFill/>
                    <a:ln>
                      <a:noFill/>
                    </a:ln>
                  </pic:spPr>
                </pic:pic>
              </a:graphicData>
            </a:graphic>
          </wp:inline>
        </w:drawing>
      </w:r>
    </w:p>
    <w:p w14:paraId="58F628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短信邮件告警功能主要是实现对异常设备进行通知</w:t>
      </w:r>
    </w:p>
    <w:p w14:paraId="34524DF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73040" cy="3006725"/>
            <wp:effectExtent l="0" t="0" r="0" b="1079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9"/>
                    <a:stretch>
                      <a:fillRect/>
                    </a:stretch>
                  </pic:blipFill>
                  <pic:spPr>
                    <a:xfrm>
                      <a:off x="0" y="0"/>
                      <a:ext cx="5273040" cy="3006725"/>
                    </a:xfrm>
                    <a:prstGeom prst="rect">
                      <a:avLst/>
                    </a:prstGeom>
                    <a:noFill/>
                    <a:ln>
                      <a:noFill/>
                    </a:ln>
                  </pic:spPr>
                </pic:pic>
              </a:graphicData>
            </a:graphic>
          </wp:inline>
        </w:drawing>
      </w:r>
    </w:p>
    <w:p w14:paraId="2C00C7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日志审计功能</w:t>
      </w:r>
    </w:p>
    <w:p w14:paraId="04F991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55895" cy="2853055"/>
            <wp:effectExtent l="0" t="0" r="1905" b="444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0"/>
                    <a:stretch>
                      <a:fillRect/>
                    </a:stretch>
                  </pic:blipFill>
                  <pic:spPr>
                    <a:xfrm>
                      <a:off x="0" y="0"/>
                      <a:ext cx="5255895" cy="2853055"/>
                    </a:xfrm>
                    <a:prstGeom prst="rect">
                      <a:avLst/>
                    </a:prstGeom>
                    <a:noFill/>
                    <a:ln>
                      <a:noFill/>
                    </a:ln>
                  </pic:spPr>
                </pic:pic>
              </a:graphicData>
            </a:graphic>
          </wp:inline>
        </w:drawing>
      </w:r>
    </w:p>
    <w:p w14:paraId="20031A8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7"/>
      <w:bookmarkStart w:id="30" w:name="_Toc4372"/>
      <w:r>
        <w:t>产品功能与实现目标</w:t>
      </w:r>
      <w:bookmarkEnd w:id="29"/>
      <w:bookmarkEnd w:id="30"/>
    </w:p>
    <w:p w14:paraId="5F458C7D">
      <w:pPr>
        <w:pStyle w:val="29"/>
        <w:numPr>
          <w:ilvl w:val="0"/>
          <w:numId w:val="5"/>
        </w:numPr>
        <w:bidi w:val="0"/>
        <w:ind w:left="425" w:leftChars="0" w:hanging="425" w:firstLineChars="0"/>
      </w:pPr>
      <w:r>
        <w:t>产品功能</w:t>
      </w:r>
    </w:p>
    <w:p w14:paraId="29CAAAF6">
      <w:pPr>
        <w:pStyle w:val="29"/>
        <w:numPr>
          <w:ilvl w:val="0"/>
          <w:numId w:val="0"/>
        </w:numPr>
        <w:bidi w:val="0"/>
        <w:ind w:firstLine="420" w:firstLineChars="0"/>
      </w:pPr>
      <w:r>
        <w:t>实现隔离装置代理数据库可用性探测</w:t>
      </w:r>
    </w:p>
    <w:p w14:paraId="55F4385D">
      <w:pPr>
        <w:pStyle w:val="29"/>
        <w:numPr>
          <w:ilvl w:val="0"/>
          <w:numId w:val="0"/>
        </w:numPr>
        <w:bidi w:val="0"/>
        <w:ind w:firstLine="420" w:firstLineChars="0"/>
      </w:pPr>
      <w:r>
        <w:t>对探测失败的隔离装置代理进程自动重启</w:t>
      </w:r>
    </w:p>
    <w:p w14:paraId="5089AE79">
      <w:pPr>
        <w:pStyle w:val="29"/>
        <w:numPr>
          <w:ilvl w:val="0"/>
          <w:numId w:val="0"/>
        </w:numPr>
        <w:bidi w:val="0"/>
        <w:ind w:firstLine="420" w:firstLineChars="0"/>
      </w:pPr>
      <w:r>
        <w:t>记录并在监控页面展示探测失败日志</w:t>
      </w:r>
    </w:p>
    <w:p w14:paraId="35C66872">
      <w:pPr>
        <w:pStyle w:val="29"/>
        <w:numPr>
          <w:ilvl w:val="0"/>
          <w:numId w:val="0"/>
        </w:numPr>
        <w:bidi w:val="0"/>
        <w:ind w:firstLine="420" w:firstLineChars="0"/>
      </w:pPr>
      <w:r>
        <w:t>支持短信及邮件告警功能，及时推送故障信息</w:t>
      </w:r>
    </w:p>
    <w:p w14:paraId="4867D13B">
      <w:pPr>
        <w:pStyle w:val="29"/>
        <w:numPr>
          <w:ilvl w:val="0"/>
          <w:numId w:val="0"/>
        </w:numPr>
        <w:bidi w:val="0"/>
        <w:ind w:firstLine="420" w:firstLineChars="0"/>
      </w:pPr>
      <w:r>
        <w:t>具备日志审计能力，确保所有操作可追溯。</w:t>
      </w:r>
    </w:p>
    <w:p w14:paraId="143579A0">
      <w:pPr>
        <w:pStyle w:val="29"/>
        <w:numPr>
          <w:ilvl w:val="0"/>
          <w:numId w:val="5"/>
        </w:numPr>
        <w:bidi w:val="0"/>
        <w:ind w:left="425" w:leftChars="0" w:hanging="425" w:firstLineChars="0"/>
      </w:pPr>
      <w:r>
        <w:t>实现目标</w:t>
      </w:r>
    </w:p>
    <w:p w14:paraId="15F1F290">
      <w:pPr>
        <w:pStyle w:val="29"/>
        <w:bidi w:val="0"/>
      </w:pPr>
      <w:r>
        <w:t>解决隔离装置代理进程“SQLproxy”假死问题。该问题会导致微信公众号、外网门户等重要系统无法正常使用，且传统依赖人工重启的方式效率低下。本工具通过自动化监测与处置，5分钟内完成故障修复，大幅提升内外网业务系统运行可靠性，改善客户体验与工作效率。</w:t>
      </w:r>
    </w:p>
    <w:p w14:paraId="4AE8DCCB">
      <w:pPr>
        <w:pStyle w:val="31"/>
        <w:bidi w:val="0"/>
        <w:rPr>
          <w:rFonts w:hint="eastAsia"/>
          <w:lang w:val="en-US" w:eastAsia="zh-CN"/>
        </w:rPr>
      </w:pPr>
      <w:bookmarkStart w:id="31" w:name="_Toc6509"/>
      <w:r>
        <w:rPr>
          <w:rFonts w:hint="eastAsia"/>
          <w:lang w:val="en-US" w:eastAsia="zh-CN"/>
        </w:rPr>
        <w:t>实际项目应用</w:t>
      </w:r>
      <w:bookmarkEnd w:id="31"/>
    </w:p>
    <w:p w14:paraId="4AAA2FED">
      <w:pPr>
        <w:pStyle w:val="29"/>
        <w:rPr>
          <w:rFonts w:hint="eastAsia"/>
          <w:lang w:val="en-US" w:eastAsia="zh-CN"/>
        </w:rPr>
      </w:pPr>
      <w:r>
        <w:rPr>
          <w:rFonts w:hint="eastAsia"/>
          <w:lang w:val="en-US" w:eastAsia="zh-CN"/>
        </w:rPr>
        <w:t>隔离装置监控处置工具已在国网天津电力信息通信运维中心全面部署，覆盖市公司及8个供电单位的62台正向及反向隔离装置。工具上线前，隔离装置SQLproxy进程假死问题月均发生6-8次，每次需人工登录处置，平均恢复耗时25分钟，严重影响微信公众号、外网门户等业务系统的可用性。工具上线试运行以来，累计自动监测并处置异常事件23起，100%在5分钟内完成自动重启恢复，业务中断时间由原来的25分钟缩短至5分钟以内，月均故障时长由200分钟降至40分钟，下降80%。2025年12月，该工具成功预警一起因装置负载过高导致的潜在故障，运维人员提前介入调整，避免了一次大规模业务中断，获得信通公司专项表扬。目前工具已纳入天津电力网络安全运维标准工具库，拟2026年在全省推广部署。</w:t>
      </w:r>
    </w:p>
    <w:p w14:paraId="6E171FC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4550"/>
      <w:r>
        <w:rPr>
          <w:rFonts w:hint="eastAsia"/>
          <w:lang w:val="en-US" w:eastAsia="zh-CN"/>
        </w:rPr>
        <w:t>运维手册研发成果说明</w:t>
      </w:r>
      <w:bookmarkEnd w:id="32"/>
    </w:p>
    <w:p w14:paraId="1EA27388">
      <w:pPr>
        <w:pStyle w:val="29"/>
        <w:rPr>
          <w:rFonts w:hint="default"/>
          <w:lang w:val="en-US" w:eastAsia="zh-CN"/>
        </w:rPr>
      </w:pPr>
      <w:r>
        <w:rPr>
          <w:rFonts w:hint="eastAsia"/>
          <w:lang w:val="en-US" w:eastAsia="zh-CN"/>
        </w:rPr>
        <w:t>截止2026年1月已经完成3本运维手册的研发，具体如下：</w:t>
      </w:r>
    </w:p>
    <w:tbl>
      <w:tblPr>
        <w:tblStyle w:val="2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5152"/>
        <w:gridCol w:w="1881"/>
        <w:gridCol w:w="1486"/>
      </w:tblGrid>
      <w:tr w14:paraId="3AE840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C7E094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21"/>
                <w:szCs w:val="21"/>
                <w:lang w:val="en-US" w:eastAsia="zh-CN"/>
              </w:rPr>
            </w:pPr>
            <w:r>
              <w:rPr>
                <w:rFonts w:hint="eastAsia"/>
                <w:b/>
                <w:sz w:val="21"/>
                <w:szCs w:val="21"/>
                <w:lang w:val="en-US" w:eastAsia="zh-CN"/>
              </w:rPr>
              <w:t>手册名称</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3FC206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sz w:val="21"/>
                <w:szCs w:val="21"/>
                <w:vertAlign w:val="baseline"/>
                <w:lang w:val="en-US" w:eastAsia="zh-CN"/>
              </w:rPr>
            </w:pPr>
            <w:r>
              <w:rPr>
                <w:rFonts w:hint="eastAsia"/>
                <w:b/>
                <w:sz w:val="21"/>
                <w:szCs w:val="21"/>
                <w:vertAlign w:val="baseline"/>
                <w:lang w:val="en-US" w:eastAsia="zh-CN"/>
              </w:rPr>
              <w:t>计划时间</w:t>
            </w:r>
          </w:p>
        </w:tc>
        <w:tc>
          <w:tcPr>
            <w:tcW w:w="148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B29AD9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b/>
                <w:sz w:val="21"/>
                <w:szCs w:val="21"/>
                <w:vertAlign w:val="baseline"/>
                <w:lang w:val="en-US" w:eastAsia="zh-CN"/>
              </w:rPr>
            </w:pPr>
            <w:r>
              <w:rPr>
                <w:rFonts w:hint="eastAsia"/>
                <w:b/>
                <w:sz w:val="21"/>
                <w:szCs w:val="21"/>
                <w:vertAlign w:val="baseline"/>
                <w:lang w:val="en-US" w:eastAsia="zh-CN"/>
              </w:rPr>
              <w:t>完成情况</w:t>
            </w:r>
          </w:p>
        </w:tc>
      </w:tr>
      <w:tr w14:paraId="7BEBAD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D0F1640">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lang w:val="en-US" w:eastAsia="zh-CN"/>
              </w:rPr>
              <w:t>《Docker安装Jenkins》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B8A639">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2025年7月</w:t>
            </w:r>
          </w:p>
        </w:tc>
        <w:tc>
          <w:tcPr>
            <w:tcW w:w="148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C852B15">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已完成</w:t>
            </w:r>
          </w:p>
        </w:tc>
      </w:tr>
      <w:tr w14:paraId="23E375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6E756B5">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lang w:val="en-US" w:eastAsia="zh-CN"/>
              </w:rPr>
              <w:t>《</w:t>
            </w:r>
            <w:r>
              <w:rPr>
                <w:rFonts w:hint="default"/>
                <w:sz w:val="21"/>
                <w:szCs w:val="21"/>
                <w:lang w:val="en-US" w:eastAsia="zh-CN"/>
              </w:rPr>
              <w:t>Jenkins构建java项目（分布式）</w:t>
            </w:r>
            <w:r>
              <w:rPr>
                <w:rFonts w:hint="eastAsia"/>
                <w:sz w:val="21"/>
                <w:szCs w:val="21"/>
                <w:lang w:val="en-US" w:eastAsia="zh-CN"/>
              </w:rPr>
              <w: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F88164">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2025年10月</w:t>
            </w:r>
          </w:p>
        </w:tc>
        <w:tc>
          <w:tcPr>
            <w:tcW w:w="148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6C1E7DD">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已完成</w:t>
            </w:r>
          </w:p>
        </w:tc>
      </w:tr>
      <w:tr w14:paraId="2AD216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5152"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5E58BD7D">
            <w:pPr>
              <w:pStyle w:val="29"/>
              <w:widowControl w:val="0"/>
              <w:bidi w:val="0"/>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lang w:val="en-US" w:eastAsia="zh-CN"/>
              </w:rPr>
              <w:t>《Jenkins构建前端项目（分布式）》</w:t>
            </w:r>
          </w:p>
        </w:tc>
        <w:tc>
          <w:tcPr>
            <w:tcW w:w="1881"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A664D9A">
            <w:pPr>
              <w:pStyle w:val="29"/>
              <w:widowControl w:val="0"/>
              <w:bidi w:val="0"/>
              <w:snapToGrid w:val="0"/>
              <w:spacing w:line="240" w:lineRule="auto"/>
              <w:ind w:left="0" w:leftChars="0" w:right="0" w:righ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2026年1月</w:t>
            </w:r>
          </w:p>
        </w:tc>
        <w:tc>
          <w:tcPr>
            <w:tcW w:w="148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C97C2C8">
            <w:pPr>
              <w:pStyle w:val="29"/>
              <w:widowControl w:val="0"/>
              <w:bidi w:val="0"/>
              <w:snapToGrid w:val="0"/>
              <w:spacing w:line="240" w:lineRule="auto"/>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已完成</w:t>
            </w:r>
          </w:p>
        </w:tc>
      </w:tr>
    </w:tbl>
    <w:p w14:paraId="2798E6C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p>
    <w:p w14:paraId="7439C6C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3848100" cy="1133475"/>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3848100" cy="1133475"/>
                    </a:xfrm>
                    <a:prstGeom prst="rect">
                      <a:avLst/>
                    </a:prstGeom>
                    <a:noFill/>
                    <a:ln>
                      <a:noFill/>
                    </a:ln>
                  </pic:spPr>
                </pic:pic>
              </a:graphicData>
            </a:graphic>
          </wp:inline>
        </w:drawing>
      </w:r>
    </w:p>
    <w:p w14:paraId="2E032005">
      <w:pPr>
        <w:pStyle w:val="28"/>
        <w:bidi w:val="0"/>
        <w:rPr>
          <w:rFonts w:hint="default"/>
          <w:lang w:val="en-US" w:eastAsia="zh-CN"/>
        </w:rPr>
      </w:pPr>
      <w:bookmarkStart w:id="33" w:name="_Toc11052"/>
      <w:r>
        <w:rPr>
          <w:rFonts w:hint="eastAsia"/>
          <w:lang w:val="en-US" w:eastAsia="zh-CN"/>
        </w:rPr>
        <w:t>研发投入情况</w:t>
      </w:r>
      <w:bookmarkEnd w:id="33"/>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636"/>
        <w:gridCol w:w="1138"/>
        <w:gridCol w:w="2749"/>
        <w:gridCol w:w="1112"/>
        <w:gridCol w:w="1479"/>
        <w:gridCol w:w="1408"/>
      </w:tblGrid>
      <w:tr w14:paraId="76A38A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415D10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序号</w:t>
            </w:r>
          </w:p>
        </w:tc>
        <w:tc>
          <w:tcPr>
            <w:tcW w:w="113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9D021D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项目类别</w:t>
            </w:r>
          </w:p>
        </w:tc>
        <w:tc>
          <w:tcPr>
            <w:tcW w:w="274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E2AC1C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项目名称</w:t>
            </w:r>
          </w:p>
        </w:tc>
        <w:tc>
          <w:tcPr>
            <w:tcW w:w="111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A36F1CD">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研发方式</w:t>
            </w:r>
          </w:p>
        </w:tc>
        <w:tc>
          <w:tcPr>
            <w:tcW w:w="147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661A0C3">
            <w:pPr>
              <w:snapToGrid w:val="0"/>
              <w:spacing w:before="120" w:after="120" w:line="240" w:lineRule="auto"/>
              <w:ind w:left="0" w:leftChars="0" w:right="0" w:rightChars="0" w:firstLine="0" w:firstLineChars="0"/>
              <w:jc w:val="center"/>
              <w:rPr>
                <w:rFonts w:ascii="Arial" w:hAnsi="Arial" w:eastAsia="等线" w:cs="Arial"/>
                <w:b/>
                <w:sz w:val="22"/>
              </w:rPr>
            </w:pPr>
            <w:r>
              <w:rPr>
                <w:rFonts w:ascii="Arial" w:hAnsi="Arial" w:eastAsia="等线" w:cs="Arial"/>
                <w:b/>
                <w:sz w:val="22"/>
              </w:rPr>
              <w:t>资金投入</w:t>
            </w:r>
          </w:p>
          <w:p w14:paraId="2671447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（万元）</w:t>
            </w:r>
          </w:p>
        </w:tc>
        <w:tc>
          <w:tcPr>
            <w:tcW w:w="14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D3BB070">
            <w:pPr>
              <w:snapToGrid w:val="0"/>
              <w:spacing w:before="120" w:after="120" w:line="240" w:lineRule="auto"/>
              <w:ind w:left="0" w:leftChars="0" w:right="0" w:rightChars="0" w:firstLine="0" w:firstLineChars="0"/>
              <w:jc w:val="center"/>
              <w:rPr>
                <w:rFonts w:ascii="Arial" w:hAnsi="Arial" w:eastAsia="等线" w:cs="Arial"/>
                <w:b/>
                <w:sz w:val="22"/>
              </w:rPr>
            </w:pPr>
            <w:r>
              <w:rPr>
                <w:rFonts w:ascii="Arial" w:hAnsi="Arial" w:eastAsia="等线" w:cs="Arial"/>
                <w:b/>
                <w:sz w:val="22"/>
              </w:rPr>
              <w:t>人员投入</w:t>
            </w:r>
          </w:p>
          <w:p w14:paraId="541093B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（人）</w:t>
            </w:r>
          </w:p>
        </w:tc>
      </w:tr>
      <w:tr w14:paraId="551B02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032D0CD">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1</w:t>
            </w:r>
          </w:p>
        </w:tc>
        <w:tc>
          <w:tcPr>
            <w:tcW w:w="11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FDEAE8A">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运维工具</w:t>
            </w:r>
          </w:p>
        </w:tc>
        <w:tc>
          <w:tcPr>
            <w:tcW w:w="27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FCBC3F">
            <w:pPr>
              <w:snapToGrid w:val="0"/>
              <w:spacing w:before="120" w:after="120" w:line="240" w:lineRule="auto"/>
              <w:ind w:left="0" w:leftChars="0" w:right="0" w:rightChars="0" w:firstLine="0" w:firstLineChars="0"/>
              <w:jc w:val="left"/>
              <w:rPr>
                <w:rFonts w:ascii="Arial" w:eastAsia="宋体"/>
                <w:sz w:val="21"/>
              </w:rPr>
            </w:pPr>
            <w:r>
              <w:rPr>
                <w:rFonts w:ascii="Arial" w:hAnsi="Arial" w:eastAsia="宋体" w:cs="Arial"/>
                <w:sz w:val="21"/>
              </w:rPr>
              <w:t>物管平台-物联标识系统</w:t>
            </w:r>
          </w:p>
        </w:tc>
        <w:tc>
          <w:tcPr>
            <w:tcW w:w="11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4589A5">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自研</w:t>
            </w:r>
          </w:p>
        </w:tc>
        <w:tc>
          <w:tcPr>
            <w:tcW w:w="1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BE90D2">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cs="Arial"/>
                <w:sz w:val="21"/>
                <w:lang w:val="en-US" w:eastAsia="zh-CN"/>
              </w:rPr>
              <w:t>16</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C56BBA">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cs="Arial"/>
                <w:sz w:val="21"/>
                <w:lang w:val="en-US" w:eastAsia="zh-CN"/>
              </w:rPr>
              <w:t>4</w:t>
            </w:r>
          </w:p>
        </w:tc>
      </w:tr>
      <w:tr w14:paraId="655431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D30CEC">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2</w:t>
            </w:r>
          </w:p>
        </w:tc>
        <w:tc>
          <w:tcPr>
            <w:tcW w:w="11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9A8530">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运维工具</w:t>
            </w:r>
          </w:p>
        </w:tc>
        <w:tc>
          <w:tcPr>
            <w:tcW w:w="274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D5602A">
            <w:pPr>
              <w:snapToGrid w:val="0"/>
              <w:spacing w:before="120" w:after="120" w:line="240" w:lineRule="auto"/>
              <w:ind w:left="0" w:leftChars="0" w:right="0" w:rightChars="0" w:firstLine="0" w:firstLineChars="0"/>
              <w:jc w:val="left"/>
              <w:rPr>
                <w:rFonts w:ascii="Arial" w:eastAsia="宋体"/>
                <w:sz w:val="21"/>
              </w:rPr>
            </w:pPr>
            <w:r>
              <w:rPr>
                <w:rFonts w:ascii="Arial" w:hAnsi="Arial" w:eastAsia="宋体" w:cs="Arial"/>
                <w:sz w:val="21"/>
              </w:rPr>
              <w:t>隔离装置监控处置工具</w:t>
            </w:r>
          </w:p>
        </w:tc>
        <w:tc>
          <w:tcPr>
            <w:tcW w:w="11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B5222F4">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自研</w:t>
            </w:r>
          </w:p>
        </w:tc>
        <w:tc>
          <w:tcPr>
            <w:tcW w:w="1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144DE79">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cs="Arial"/>
                <w:sz w:val="21"/>
                <w:lang w:val="en-US" w:eastAsia="zh-CN"/>
              </w:rPr>
              <w:t>16</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612B0CF">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sz w:val="21"/>
                <w:lang w:val="en-US" w:eastAsia="zh-CN"/>
              </w:rPr>
              <w:t>2</w:t>
            </w:r>
          </w:p>
        </w:tc>
      </w:tr>
      <w:tr w14:paraId="7B2C78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65A55CD">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3</w:t>
            </w:r>
          </w:p>
        </w:tc>
        <w:tc>
          <w:tcPr>
            <w:tcW w:w="11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01AB80">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运维手册</w:t>
            </w:r>
          </w:p>
        </w:tc>
        <w:tc>
          <w:tcPr>
            <w:tcW w:w="274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5506136F">
            <w:pPr>
              <w:pStyle w:val="29"/>
              <w:bidi w:val="0"/>
              <w:snapToGrid w:val="0"/>
              <w:spacing w:line="240" w:lineRule="auto"/>
              <w:ind w:left="0" w:leftChars="0" w:right="0" w:rightChars="0" w:firstLine="0" w:firstLineChars="0"/>
              <w:jc w:val="left"/>
              <w:rPr>
                <w:rFonts w:hint="default" w:ascii="Arial" w:hAnsi="Arial" w:eastAsia="宋体" w:cs="Arial"/>
                <w:snapToGrid w:val="0"/>
                <w:color w:val="000000"/>
                <w:kern w:val="0"/>
                <w:sz w:val="21"/>
                <w:szCs w:val="21"/>
                <w:vertAlign w:val="baseline"/>
                <w:lang w:val="en-US" w:eastAsia="zh-CN" w:bidi="ar-SA"/>
              </w:rPr>
            </w:pPr>
            <w:r>
              <w:rPr>
                <w:rFonts w:hint="eastAsia" w:ascii="Arial" w:eastAsia="宋体"/>
                <w:sz w:val="21"/>
                <w:szCs w:val="21"/>
                <w:lang w:val="en-US" w:eastAsia="zh-CN"/>
              </w:rPr>
              <w:t>《Docker安装Jenkins》</w:t>
            </w:r>
          </w:p>
        </w:tc>
        <w:tc>
          <w:tcPr>
            <w:tcW w:w="11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9C02EB">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自研</w:t>
            </w:r>
          </w:p>
        </w:tc>
        <w:tc>
          <w:tcPr>
            <w:tcW w:w="1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E3EAC47">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2</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4DCEC61">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2</w:t>
            </w:r>
          </w:p>
        </w:tc>
      </w:tr>
      <w:tr w14:paraId="2AA988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CE3C651">
            <w:pPr>
              <w:snapToGrid w:val="0"/>
              <w:spacing w:before="120" w:after="120" w:line="240" w:lineRule="auto"/>
              <w:ind w:left="0" w:leftChars="0" w:right="0" w:rightChars="0" w:firstLine="0" w:firstLineChars="0"/>
              <w:jc w:val="center"/>
              <w:rPr>
                <w:rFonts w:hint="eastAsia" w:ascii="Arial" w:hAnsi="Arial" w:eastAsia="宋体" w:cs="Arial"/>
                <w:sz w:val="21"/>
                <w:lang w:val="en-US" w:eastAsia="zh-CN"/>
              </w:rPr>
            </w:pPr>
            <w:r>
              <w:rPr>
                <w:rFonts w:hint="eastAsia" w:ascii="Arial" w:eastAsia="宋体" w:cs="Arial"/>
                <w:sz w:val="21"/>
                <w:lang w:val="en-US" w:eastAsia="zh-CN"/>
              </w:rPr>
              <w:t>4</w:t>
            </w:r>
          </w:p>
        </w:tc>
        <w:tc>
          <w:tcPr>
            <w:tcW w:w="11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8CB9DA">
            <w:pPr>
              <w:snapToGrid w:val="0"/>
              <w:spacing w:before="120" w:after="120" w:line="240" w:lineRule="auto"/>
              <w:ind w:left="0" w:leftChars="0" w:right="0" w:rightChars="0" w:firstLine="0" w:firstLineChars="0"/>
              <w:jc w:val="center"/>
              <w:rPr>
                <w:rFonts w:ascii="Arial" w:hAnsi="Arial" w:eastAsia="宋体" w:cs="Arial"/>
                <w:sz w:val="21"/>
              </w:rPr>
            </w:pPr>
            <w:r>
              <w:rPr>
                <w:rFonts w:ascii="Arial" w:hAnsi="Arial" w:eastAsia="宋体" w:cs="Arial"/>
                <w:sz w:val="21"/>
              </w:rPr>
              <w:t>运维手册</w:t>
            </w:r>
          </w:p>
        </w:tc>
        <w:tc>
          <w:tcPr>
            <w:tcW w:w="274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197632E6">
            <w:pPr>
              <w:pStyle w:val="29"/>
              <w:bidi w:val="0"/>
              <w:snapToGrid w:val="0"/>
              <w:spacing w:line="240" w:lineRule="auto"/>
              <w:ind w:left="0" w:leftChars="0" w:right="0" w:rightChars="0" w:firstLine="0" w:firstLineChars="0"/>
              <w:jc w:val="left"/>
              <w:rPr>
                <w:rFonts w:hint="default" w:ascii="Arial" w:hAnsi="Arial" w:eastAsia="宋体" w:cs="Arial"/>
                <w:snapToGrid w:val="0"/>
                <w:color w:val="000000"/>
                <w:kern w:val="0"/>
                <w:sz w:val="21"/>
                <w:szCs w:val="21"/>
                <w:vertAlign w:val="baseline"/>
                <w:lang w:val="en-US" w:eastAsia="zh-CN" w:bidi="ar-SA"/>
              </w:rPr>
            </w:pPr>
            <w:r>
              <w:rPr>
                <w:rFonts w:hint="eastAsia" w:ascii="Arial" w:eastAsia="宋体"/>
                <w:sz w:val="21"/>
                <w:szCs w:val="21"/>
                <w:lang w:val="en-US" w:eastAsia="zh-CN"/>
              </w:rPr>
              <w:t>《</w:t>
            </w:r>
            <w:r>
              <w:rPr>
                <w:rFonts w:hint="default" w:ascii="Arial" w:eastAsia="宋体"/>
                <w:sz w:val="21"/>
                <w:szCs w:val="21"/>
                <w:lang w:val="en-US" w:eastAsia="zh-CN"/>
              </w:rPr>
              <w:t>Jenkins构建java项目（分布式）</w:t>
            </w:r>
            <w:r>
              <w:rPr>
                <w:rFonts w:hint="eastAsia" w:ascii="Arial" w:eastAsia="宋体"/>
                <w:sz w:val="21"/>
                <w:szCs w:val="21"/>
                <w:lang w:val="en-US" w:eastAsia="zh-CN"/>
              </w:rPr>
              <w:t>》</w:t>
            </w:r>
          </w:p>
        </w:tc>
        <w:tc>
          <w:tcPr>
            <w:tcW w:w="11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4455366">
            <w:pPr>
              <w:snapToGrid w:val="0"/>
              <w:spacing w:before="120" w:after="120" w:line="240" w:lineRule="auto"/>
              <w:ind w:left="0" w:leftChars="0" w:right="0" w:rightChars="0" w:firstLine="0" w:firstLineChars="0"/>
              <w:jc w:val="center"/>
              <w:rPr>
                <w:rFonts w:ascii="Arial" w:hAnsi="Arial" w:eastAsia="宋体" w:cs="Arial"/>
                <w:sz w:val="21"/>
              </w:rPr>
            </w:pPr>
            <w:r>
              <w:rPr>
                <w:rFonts w:ascii="Arial" w:hAnsi="Arial" w:eastAsia="宋体" w:cs="Arial"/>
                <w:sz w:val="21"/>
              </w:rPr>
              <w:t>自研</w:t>
            </w:r>
          </w:p>
        </w:tc>
        <w:tc>
          <w:tcPr>
            <w:tcW w:w="1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C46D8C6">
            <w:pPr>
              <w:snapToGrid w:val="0"/>
              <w:spacing w:before="120" w:after="120" w:line="240" w:lineRule="auto"/>
              <w:ind w:left="0" w:leftChars="0" w:right="0" w:rightChars="0" w:firstLine="0" w:firstLineChars="0"/>
              <w:jc w:val="center"/>
              <w:rPr>
                <w:rFonts w:hint="eastAsia" w:ascii="Arial" w:hAnsi="Arial" w:eastAsia="宋体" w:cs="Arial"/>
                <w:sz w:val="21"/>
                <w:lang w:val="en-US" w:eastAsia="zh-CN"/>
              </w:rPr>
            </w:pPr>
            <w:r>
              <w:rPr>
                <w:rFonts w:hint="eastAsia" w:ascii="Arial" w:eastAsia="宋体" w:cs="Arial"/>
                <w:sz w:val="21"/>
                <w:lang w:val="en-US" w:eastAsia="zh-CN"/>
              </w:rPr>
              <w:t>4</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72BBCA7">
            <w:pPr>
              <w:snapToGrid w:val="0"/>
              <w:spacing w:before="120" w:after="120" w:line="240" w:lineRule="auto"/>
              <w:ind w:left="0" w:leftChars="0" w:right="0" w:rightChars="0" w:firstLine="0" w:firstLineChars="0"/>
              <w:jc w:val="center"/>
              <w:rPr>
                <w:rFonts w:hint="eastAsia" w:ascii="Arial" w:hAnsi="Arial" w:eastAsia="宋体" w:cs="Arial"/>
                <w:sz w:val="21"/>
                <w:lang w:val="en-US" w:eastAsia="zh-CN"/>
              </w:rPr>
            </w:pPr>
            <w:r>
              <w:rPr>
                <w:rFonts w:hint="eastAsia" w:ascii="Arial" w:eastAsia="宋体" w:cs="Arial"/>
                <w:sz w:val="21"/>
                <w:lang w:val="en-US" w:eastAsia="zh-CN"/>
              </w:rPr>
              <w:t>2</w:t>
            </w:r>
          </w:p>
        </w:tc>
      </w:tr>
      <w:tr w14:paraId="7E709A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20A6F6">
            <w:pPr>
              <w:snapToGrid w:val="0"/>
              <w:spacing w:before="120" w:after="120" w:line="240" w:lineRule="auto"/>
              <w:ind w:left="0" w:leftChars="0" w:right="0" w:rightChars="0" w:firstLine="0" w:firstLineChars="0"/>
              <w:jc w:val="center"/>
              <w:rPr>
                <w:rFonts w:hint="default" w:ascii="Arial" w:eastAsia="宋体" w:cs="Arial"/>
                <w:sz w:val="21"/>
                <w:lang w:val="en-US" w:eastAsia="zh-CN"/>
              </w:rPr>
            </w:pPr>
            <w:r>
              <w:rPr>
                <w:rFonts w:hint="eastAsia" w:ascii="Arial" w:eastAsia="宋体" w:cs="Arial"/>
                <w:sz w:val="21"/>
                <w:lang w:val="en-US" w:eastAsia="zh-CN"/>
              </w:rPr>
              <w:t>5</w:t>
            </w:r>
          </w:p>
        </w:tc>
        <w:tc>
          <w:tcPr>
            <w:tcW w:w="11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29BAB9">
            <w:pPr>
              <w:snapToGrid w:val="0"/>
              <w:spacing w:before="120" w:after="120" w:line="240" w:lineRule="auto"/>
              <w:ind w:left="0" w:leftChars="0" w:right="0" w:rightChars="0" w:firstLine="0" w:firstLineChars="0"/>
              <w:jc w:val="center"/>
              <w:rPr>
                <w:rFonts w:ascii="Arial" w:hAnsi="Arial" w:eastAsia="宋体" w:cs="Arial"/>
                <w:sz w:val="21"/>
              </w:rPr>
            </w:pPr>
            <w:r>
              <w:rPr>
                <w:rFonts w:ascii="Arial" w:hAnsi="Arial" w:eastAsia="宋体" w:cs="Arial"/>
                <w:sz w:val="21"/>
              </w:rPr>
              <w:t>运维手册</w:t>
            </w:r>
          </w:p>
        </w:tc>
        <w:tc>
          <w:tcPr>
            <w:tcW w:w="274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3A58DFCE">
            <w:pPr>
              <w:pStyle w:val="29"/>
              <w:bidi w:val="0"/>
              <w:snapToGrid w:val="0"/>
              <w:spacing w:line="240" w:lineRule="auto"/>
              <w:ind w:left="0" w:leftChars="0" w:right="0" w:rightChars="0" w:firstLine="0" w:firstLineChars="0"/>
              <w:jc w:val="left"/>
              <w:rPr>
                <w:rFonts w:hint="eastAsia" w:ascii="Arial" w:eastAsia="宋体"/>
                <w:sz w:val="21"/>
                <w:szCs w:val="21"/>
                <w:lang w:val="en-US" w:eastAsia="zh-CN"/>
              </w:rPr>
            </w:pPr>
            <w:r>
              <w:rPr>
                <w:rFonts w:hint="eastAsia" w:ascii="Arial" w:eastAsia="宋体"/>
                <w:sz w:val="21"/>
                <w:szCs w:val="21"/>
                <w:lang w:val="en-US" w:eastAsia="zh-CN"/>
              </w:rPr>
              <w:t>Jenkins构建前端项目（分布式）</w:t>
            </w:r>
          </w:p>
        </w:tc>
        <w:tc>
          <w:tcPr>
            <w:tcW w:w="1112"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5EDDEEF0">
            <w:pPr>
              <w:snapToGrid w:val="0"/>
              <w:spacing w:before="120" w:after="120" w:line="240" w:lineRule="auto"/>
              <w:ind w:left="0" w:leftChars="0" w:right="0" w:rightChars="0" w:firstLine="0" w:firstLineChars="0"/>
              <w:jc w:val="center"/>
              <w:rPr>
                <w:rFonts w:ascii="Arial" w:hAnsi="Arial" w:eastAsia="宋体" w:cs="Arial"/>
                <w:snapToGrid w:val="0"/>
                <w:color w:val="000000"/>
                <w:kern w:val="0"/>
                <w:sz w:val="21"/>
                <w:szCs w:val="21"/>
                <w:lang w:val="en-US" w:eastAsia="en-US" w:bidi="ar-SA"/>
              </w:rPr>
            </w:pPr>
            <w:r>
              <w:rPr>
                <w:rFonts w:ascii="Arial" w:hAnsi="Arial" w:eastAsia="宋体" w:cs="Arial"/>
                <w:sz w:val="21"/>
              </w:rPr>
              <w:t>自研</w:t>
            </w:r>
          </w:p>
        </w:tc>
        <w:tc>
          <w:tcPr>
            <w:tcW w:w="1479"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7D112FAE">
            <w:pPr>
              <w:snapToGrid w:val="0"/>
              <w:spacing w:before="120" w:after="120" w:line="240" w:lineRule="auto"/>
              <w:ind w:left="0" w:leftChars="0" w:right="0" w:rightChars="0" w:firstLine="0" w:firstLineChars="0"/>
              <w:jc w:val="center"/>
              <w:rPr>
                <w:rFonts w:hint="eastAsia" w:ascii="Arial" w:hAnsi="Arial" w:eastAsia="宋体" w:cs="Arial"/>
                <w:snapToGrid w:val="0"/>
                <w:color w:val="000000"/>
                <w:kern w:val="0"/>
                <w:sz w:val="21"/>
                <w:szCs w:val="21"/>
                <w:lang w:val="en-US" w:eastAsia="zh-CN" w:bidi="ar-SA"/>
              </w:rPr>
            </w:pPr>
            <w:r>
              <w:rPr>
                <w:rFonts w:hint="eastAsia" w:ascii="Arial" w:eastAsia="宋体" w:cs="Arial"/>
                <w:sz w:val="21"/>
                <w:lang w:val="en-US" w:eastAsia="zh-CN"/>
              </w:rPr>
              <w:t>4</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933894">
            <w:pPr>
              <w:snapToGrid w:val="0"/>
              <w:spacing w:before="120" w:after="120" w:line="240" w:lineRule="auto"/>
              <w:ind w:left="0" w:leftChars="0" w:right="0" w:rightChars="0" w:firstLine="0" w:firstLineChars="0"/>
              <w:jc w:val="center"/>
              <w:rPr>
                <w:rFonts w:hint="default" w:ascii="Arial" w:eastAsia="宋体" w:cs="Arial"/>
                <w:sz w:val="21"/>
                <w:lang w:val="en-US" w:eastAsia="zh-CN"/>
              </w:rPr>
            </w:pPr>
            <w:r>
              <w:rPr>
                <w:rFonts w:hint="eastAsia" w:ascii="Arial" w:eastAsia="宋体" w:cs="Arial"/>
                <w:sz w:val="21"/>
                <w:lang w:val="en-US" w:eastAsia="zh-CN"/>
              </w:rPr>
              <w:t>1</w:t>
            </w:r>
          </w:p>
        </w:tc>
      </w:tr>
      <w:tr w14:paraId="6B7FBA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4523" w:type="dxa"/>
            <w:gridSpan w:val="3"/>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F961466">
            <w:pPr>
              <w:snapToGrid w:val="0"/>
              <w:spacing w:before="120" w:after="120" w:line="240" w:lineRule="auto"/>
              <w:ind w:left="0" w:leftChars="0" w:right="0" w:rightChars="0" w:firstLine="0" w:firstLineChars="0"/>
              <w:jc w:val="center"/>
              <w:rPr>
                <w:rFonts w:ascii="Arial" w:eastAsia="宋体"/>
                <w:b/>
                <w:sz w:val="21"/>
              </w:rPr>
            </w:pPr>
            <w:r>
              <w:rPr>
                <w:rFonts w:ascii="Arial" w:hAnsi="Arial" w:eastAsia="宋体" w:cs="Arial"/>
                <w:b/>
                <w:sz w:val="21"/>
              </w:rPr>
              <w:t>合计</w:t>
            </w:r>
          </w:p>
        </w:tc>
        <w:tc>
          <w:tcPr>
            <w:tcW w:w="111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CCDCF5C">
            <w:pPr>
              <w:snapToGrid w:val="0"/>
              <w:spacing w:before="120" w:after="120" w:line="240" w:lineRule="auto"/>
              <w:ind w:left="0" w:leftChars="0" w:right="0" w:rightChars="0" w:firstLine="0" w:firstLineChars="0"/>
              <w:jc w:val="left"/>
              <w:rPr>
                <w:rFonts w:ascii="Arial" w:eastAsia="宋体"/>
                <w:b/>
                <w:sz w:val="21"/>
              </w:rPr>
            </w:pPr>
            <w:r>
              <w:rPr>
                <w:rFonts w:ascii="Arial" w:hAnsi="Arial" w:eastAsia="宋体" w:cs="Arial"/>
                <w:b/>
                <w:sz w:val="21"/>
              </w:rPr>
              <w:t>-</w:t>
            </w:r>
          </w:p>
        </w:tc>
        <w:tc>
          <w:tcPr>
            <w:tcW w:w="147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8A7EF88">
            <w:pPr>
              <w:snapToGrid w:val="0"/>
              <w:spacing w:before="120" w:after="120" w:line="240" w:lineRule="auto"/>
              <w:ind w:left="0" w:leftChars="0" w:right="0" w:rightChars="0" w:firstLine="0" w:firstLineChars="0"/>
              <w:jc w:val="center"/>
              <w:rPr>
                <w:rFonts w:hint="default" w:ascii="Arial" w:eastAsia="宋体"/>
                <w:b/>
                <w:sz w:val="21"/>
                <w:lang w:val="en-US" w:eastAsia="zh-CN"/>
              </w:rPr>
            </w:pPr>
            <w:r>
              <w:rPr>
                <w:rFonts w:hint="eastAsia" w:ascii="Arial" w:eastAsia="宋体" w:cs="Arial"/>
                <w:b/>
                <w:sz w:val="21"/>
                <w:lang w:val="en-US" w:eastAsia="zh-CN"/>
              </w:rPr>
              <w:t>42</w:t>
            </w:r>
          </w:p>
        </w:tc>
        <w:tc>
          <w:tcPr>
            <w:tcW w:w="14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EC3F2AA">
            <w:pPr>
              <w:snapToGrid w:val="0"/>
              <w:spacing w:before="120" w:after="120" w:line="240" w:lineRule="auto"/>
              <w:ind w:left="0" w:leftChars="0" w:right="0" w:rightChars="0" w:firstLine="0" w:firstLineChars="0"/>
              <w:jc w:val="right"/>
              <w:rPr>
                <w:rFonts w:hint="default" w:ascii="Arial" w:eastAsia="宋体"/>
                <w:b/>
                <w:sz w:val="21"/>
                <w:lang w:val="en-US" w:eastAsia="zh-CN"/>
              </w:rPr>
            </w:pPr>
          </w:p>
        </w:tc>
      </w:tr>
    </w:tbl>
    <w:p w14:paraId="260FCB7A">
      <w:pPr>
        <w:pStyle w:val="28"/>
        <w:bidi w:val="0"/>
        <w:rPr>
          <w:rFonts w:hint="default"/>
          <w:lang w:val="en-US" w:eastAsia="zh-CN"/>
        </w:rPr>
      </w:pPr>
      <w:bookmarkStart w:id="34" w:name="_Toc13486"/>
      <w:r>
        <w:rPr>
          <w:rFonts w:hint="eastAsia"/>
          <w:lang w:val="en-US" w:eastAsia="zh-CN"/>
        </w:rPr>
        <w:t>新技术研发</w:t>
      </w:r>
      <w:bookmarkEnd w:id="34"/>
    </w:p>
    <w:p w14:paraId="428CCCBF">
      <w:pPr>
        <w:pStyle w:val="29"/>
        <w:bidi w:val="0"/>
        <w:rPr>
          <w:rFonts w:hint="eastAsia" w:eastAsia="宋体"/>
          <w:lang w:val="en-US" w:eastAsia="zh-CN"/>
        </w:rPr>
      </w:pPr>
      <w:r>
        <w:rPr>
          <w:rFonts w:hint="eastAsia"/>
        </w:rPr>
        <w:t>通过系列培训，团队成员已全面掌握Python在资源监控领域的应用能力。目前可熟练运用Pandas进行能耗数据分析，基于Flask/Dash构建实时监控可视化界面，并利用Scikit-learn实现设备异常检测模型。基于上述技术栈研发的新一代资源智能监控系统，已在</w:t>
      </w:r>
      <w:r>
        <w:rPr>
          <w:rFonts w:hint="eastAsia"/>
          <w:lang w:val="en-US" w:eastAsia="zh-CN"/>
        </w:rPr>
        <w:t>天津市电力公司</w:t>
      </w:r>
      <w:r>
        <w:rPr>
          <w:rFonts w:hint="eastAsia"/>
        </w:rPr>
        <w:t>光伏电站监控系统中成功试点应用，实现数据处理效率提升40%、预警准确率提高25%的成效。后续将持续优化系统功能，形成具有自主知识产权的行业解决方案，应用于电力电缆通道环境监控、设备健康评估等场景。</w:t>
      </w:r>
    </w:p>
    <w:p w14:paraId="404B0134">
      <w:pPr>
        <w:pStyle w:val="29"/>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9F783"/>
    <w:multiLevelType w:val="singleLevel"/>
    <w:tmpl w:val="84F9F783"/>
    <w:lvl w:ilvl="0" w:tentative="0">
      <w:start w:val="1"/>
      <w:numFmt w:val="decimal"/>
      <w:suff w:val="space"/>
      <w:lvlText w:val="%1."/>
      <w:lvlJc w:val="left"/>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0DA52D0"/>
    <w:multiLevelType w:val="singleLevel"/>
    <w:tmpl w:val="A0DA52D0"/>
    <w:lvl w:ilvl="0" w:tentative="0">
      <w:start w:val="1"/>
      <w:numFmt w:val="decimal"/>
      <w:lvlText w:val="%1."/>
      <w:lvlJc w:val="left"/>
      <w:pPr>
        <w:ind w:left="425" w:hanging="425"/>
      </w:pPr>
      <w:rPr>
        <w:rFonts w:hint="default"/>
      </w:rPr>
    </w:lvl>
  </w:abstractNum>
  <w:abstractNum w:abstractNumId="3">
    <w:nsid w:val="0FB92D63"/>
    <w:multiLevelType w:val="singleLevel"/>
    <w:tmpl w:val="0FB92D63"/>
    <w:lvl w:ilvl="0" w:tentative="0">
      <w:start w:val="1"/>
      <w:numFmt w:val="decimal"/>
      <w:lvlText w:val="%1."/>
      <w:lvlJc w:val="left"/>
      <w:pPr>
        <w:ind w:left="425" w:hanging="425"/>
      </w:pPr>
      <w:rPr>
        <w:rFonts w:hint="default"/>
      </w:rPr>
    </w:lvl>
  </w:abstractNum>
  <w:abstractNum w:abstractNumId="4">
    <w:nsid w:val="4199DF76"/>
    <w:multiLevelType w:val="singleLevel"/>
    <w:tmpl w:val="4199DF76"/>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84A7E"/>
    <w:rsid w:val="00995CEA"/>
    <w:rsid w:val="01113D6B"/>
    <w:rsid w:val="02F36930"/>
    <w:rsid w:val="03B629A7"/>
    <w:rsid w:val="03BB6210"/>
    <w:rsid w:val="076230FB"/>
    <w:rsid w:val="0AE23355"/>
    <w:rsid w:val="0D664054"/>
    <w:rsid w:val="0D8D29CB"/>
    <w:rsid w:val="0E370B89"/>
    <w:rsid w:val="0E3F3599"/>
    <w:rsid w:val="0EA162E6"/>
    <w:rsid w:val="0EB2020F"/>
    <w:rsid w:val="0FB51D65"/>
    <w:rsid w:val="10515F1F"/>
    <w:rsid w:val="1735378C"/>
    <w:rsid w:val="17C57205"/>
    <w:rsid w:val="17E95E3B"/>
    <w:rsid w:val="19BD5EE0"/>
    <w:rsid w:val="1A5A1E87"/>
    <w:rsid w:val="1B0E67CD"/>
    <w:rsid w:val="1E5310C7"/>
    <w:rsid w:val="20CA763A"/>
    <w:rsid w:val="21570ECE"/>
    <w:rsid w:val="21C267AA"/>
    <w:rsid w:val="222D60D3"/>
    <w:rsid w:val="234436D4"/>
    <w:rsid w:val="243454F7"/>
    <w:rsid w:val="2533755C"/>
    <w:rsid w:val="25A744E0"/>
    <w:rsid w:val="25CB2FB1"/>
    <w:rsid w:val="283B58B4"/>
    <w:rsid w:val="2B607E4E"/>
    <w:rsid w:val="2BA74800"/>
    <w:rsid w:val="2C7F17D8"/>
    <w:rsid w:val="2CD86C3B"/>
    <w:rsid w:val="2D8D444F"/>
    <w:rsid w:val="2DC86CB0"/>
    <w:rsid w:val="30F57DBC"/>
    <w:rsid w:val="31EB11BF"/>
    <w:rsid w:val="32EB591A"/>
    <w:rsid w:val="34B103C4"/>
    <w:rsid w:val="36B64491"/>
    <w:rsid w:val="399932C8"/>
    <w:rsid w:val="39B76556"/>
    <w:rsid w:val="3AFA0DF0"/>
    <w:rsid w:val="3F3E6DD2"/>
    <w:rsid w:val="3FB8121D"/>
    <w:rsid w:val="40AB5F10"/>
    <w:rsid w:val="40C902B3"/>
    <w:rsid w:val="41947FF7"/>
    <w:rsid w:val="479779C7"/>
    <w:rsid w:val="4C392213"/>
    <w:rsid w:val="4D5F3063"/>
    <w:rsid w:val="4DAE7A4F"/>
    <w:rsid w:val="4E4B1494"/>
    <w:rsid w:val="4E86609F"/>
    <w:rsid w:val="4F0C0C9A"/>
    <w:rsid w:val="4FD277EE"/>
    <w:rsid w:val="50306C0B"/>
    <w:rsid w:val="51B743B6"/>
    <w:rsid w:val="52E236E7"/>
    <w:rsid w:val="53A25729"/>
    <w:rsid w:val="567C4958"/>
    <w:rsid w:val="58070251"/>
    <w:rsid w:val="580F5357"/>
    <w:rsid w:val="5A697A69"/>
    <w:rsid w:val="5C183BC3"/>
    <w:rsid w:val="5CBD5382"/>
    <w:rsid w:val="600357A2"/>
    <w:rsid w:val="60BB7E2A"/>
    <w:rsid w:val="60D66BF4"/>
    <w:rsid w:val="615F10FE"/>
    <w:rsid w:val="61B16EB9"/>
    <w:rsid w:val="639130C5"/>
    <w:rsid w:val="63B76FCF"/>
    <w:rsid w:val="6BE20961"/>
    <w:rsid w:val="6D12171A"/>
    <w:rsid w:val="6EE175F6"/>
    <w:rsid w:val="6F8C57B4"/>
    <w:rsid w:val="72C25048"/>
    <w:rsid w:val="72C5367E"/>
    <w:rsid w:val="73942E89"/>
    <w:rsid w:val="739F538A"/>
    <w:rsid w:val="74C23A26"/>
    <w:rsid w:val="75300497"/>
    <w:rsid w:val="75324707"/>
    <w:rsid w:val="79BF6786"/>
    <w:rsid w:val="79D0629D"/>
    <w:rsid w:val="7A735A72"/>
    <w:rsid w:val="7ABC269F"/>
    <w:rsid w:val="7BF10DD0"/>
    <w:rsid w:val="7D675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4"/>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link w:val="43"/>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正文_无缩进 Char"/>
    <w:link w:val="39"/>
    <w:qFormat/>
    <w:uiPriority w:val="0"/>
    <w:rPr>
      <w:rFonts w:ascii="Arial" w:hAnsi="Arial"/>
      <w:sz w:val="24"/>
      <w:lang w:eastAsia="zh-CN"/>
    </w:rPr>
  </w:style>
  <w:style w:type="character" w:customStyle="1" w:styleId="44">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3432</Words>
  <Characters>3823</Characters>
  <Lines>0</Lines>
  <Paragraphs>0</Paragraphs>
  <TotalTime>2</TotalTime>
  <ScaleCrop>false</ScaleCrop>
  <LinksUpToDate>false</LinksUpToDate>
  <CharactersWithSpaces>3907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2026-03-15T19:05:18Z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