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89968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5405"/>
      <w:bookmarkStart w:id="1" w:name="_Toc18052"/>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bookmarkEnd w:id="1"/>
    </w:p>
    <w:p w14:paraId="35695EB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17094"/>
      <w:r>
        <w:rPr>
          <w:rFonts w:hint="eastAsia"/>
          <w:lang w:val="en-US" w:eastAsia="zh-CN"/>
        </w:rPr>
        <w:t>运维服务能力管理计划</w:t>
      </w:r>
      <w:bookmarkEnd w:id="2"/>
    </w:p>
    <w:p w14:paraId="3A73B0BE">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6909"/>
      <w:bookmarkStart w:id="4" w:name="_Toc11725"/>
      <w:r>
        <w:rPr>
          <w:rFonts w:hint="eastAsia"/>
          <w:lang w:val="en-US" w:eastAsia="zh-CN"/>
        </w:rPr>
        <w:t>（HXDL-ITSS-0303）</w:t>
      </w:r>
      <w:bookmarkEnd w:id="3"/>
      <w:bookmarkEnd w:id="4"/>
    </w:p>
    <w:p w14:paraId="7AC5AA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9F5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014B7C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084651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7BC9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C53036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B4A631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803E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4C8F30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E39D3F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18BC1F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B157E4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5" w:name="_Toc17696"/>
      <w:bookmarkStart w:id="6" w:name="_Toc5372"/>
      <w:r>
        <w:rPr>
          <w:rFonts w:ascii="宋体" w:hAnsi="宋体" w:eastAsia="宋体" w:cs="宋体"/>
          <w:b/>
          <w:bCs/>
          <w:spacing w:val="-4"/>
          <w:sz w:val="30"/>
          <w:szCs w:val="30"/>
        </w:rPr>
        <w:t>文件编制和变更履历</w:t>
      </w:r>
      <w:bookmarkEnd w:id="5"/>
      <w:bookmarkEnd w:id="6"/>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4E6A5C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5175671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97362E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237580E6">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D7A2D29">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6277BB5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3CBBC6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1C8F4F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17246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42AA37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3142D6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F229E8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4738355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3FB6F12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B4909A8">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BD3269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657C1B8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9587B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2ED7D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E23CFDC">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C7A885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607B73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21E36C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F01949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3F604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91EC4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EA24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0DE77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5457752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71B789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467B4C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B76A4D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FC9C230">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B87143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5BF3EF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4911B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D75903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76ECA3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BF943F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45745A3">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285037C">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4BDBA8B3">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5CEBDA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0E7DC104">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1264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78B01B7">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915A25F">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_Toc5405 </w:instrText>
          </w:r>
          <w:r>
            <w:rPr>
              <w:rFonts w:hint="eastAsia" w:ascii="宋体" w:hAnsi="宋体" w:eastAsia="宋体" w:cs="宋体"/>
              <w:szCs w:val="24"/>
            </w:rPr>
            <w:fldChar w:fldCharType="separate"/>
          </w:r>
          <w:r>
            <w:rPr>
              <w:rFonts w:hint="eastAsia"/>
              <w:lang w:val="en-US" w:eastAsia="zh-CN"/>
            </w:rPr>
            <w:t>天津市华夏电缆有限公司</w:t>
          </w:r>
          <w:r>
            <w:tab/>
          </w:r>
          <w:r>
            <w:fldChar w:fldCharType="begin"/>
          </w:r>
          <w:r>
            <w:instrText xml:space="preserve"> PAGEREF _Toc5405 \h </w:instrText>
          </w:r>
          <w:r>
            <w:fldChar w:fldCharType="separate"/>
          </w:r>
          <w:r>
            <w:t>1</w:t>
          </w:r>
          <w:r>
            <w:fldChar w:fldCharType="end"/>
          </w:r>
          <w:r>
            <w:rPr>
              <w:rFonts w:hint="eastAsia" w:ascii="宋体" w:hAnsi="宋体" w:eastAsia="宋体" w:cs="宋体"/>
              <w:szCs w:val="24"/>
            </w:rPr>
            <w:fldChar w:fldCharType="end"/>
          </w:r>
        </w:p>
        <w:p w14:paraId="6E697E13">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_Toc17094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_Toc17094 \h </w:instrText>
          </w:r>
          <w:r>
            <w:fldChar w:fldCharType="separate"/>
          </w:r>
          <w:r>
            <w:t>1</w:t>
          </w:r>
          <w:r>
            <w:fldChar w:fldCharType="end"/>
          </w:r>
          <w:r>
            <w:rPr>
              <w:rFonts w:hint="eastAsia" w:ascii="宋体" w:hAnsi="宋体" w:eastAsia="宋体" w:cs="宋体"/>
              <w:szCs w:val="24"/>
            </w:rPr>
            <w:fldChar w:fldCharType="end"/>
          </w:r>
        </w:p>
        <w:p w14:paraId="527B0F6D">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_Toc11725 </w:instrText>
          </w:r>
          <w:r>
            <w:rPr>
              <w:rFonts w:hint="eastAsia" w:ascii="宋体" w:hAnsi="宋体" w:eastAsia="宋体" w:cs="宋体"/>
              <w:szCs w:val="24"/>
            </w:rPr>
            <w:fldChar w:fldCharType="separate"/>
          </w:r>
          <w:r>
            <w:rPr>
              <w:rFonts w:hint="eastAsia"/>
              <w:lang w:val="en-US" w:eastAsia="zh-CN"/>
            </w:rPr>
            <w:t>（HXDL-ITSS-0303）</w:t>
          </w:r>
          <w:r>
            <w:tab/>
          </w:r>
          <w:r>
            <w:fldChar w:fldCharType="begin"/>
          </w:r>
          <w:r>
            <w:instrText xml:space="preserve"> PAGEREF _Toc11725 \h </w:instrText>
          </w:r>
          <w:r>
            <w:fldChar w:fldCharType="separate"/>
          </w:r>
          <w:r>
            <w:t>1</w:t>
          </w:r>
          <w:r>
            <w:fldChar w:fldCharType="end"/>
          </w:r>
          <w:r>
            <w:rPr>
              <w:rFonts w:hint="eastAsia" w:ascii="宋体" w:hAnsi="宋体" w:eastAsia="宋体" w:cs="宋体"/>
              <w:szCs w:val="24"/>
            </w:rPr>
            <w:fldChar w:fldCharType="end"/>
          </w:r>
        </w:p>
        <w:p w14:paraId="77E8F6CE">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_Toc17696 </w:instrText>
          </w:r>
          <w:r>
            <w:rPr>
              <w:rFonts w:hint="eastAsia" w:ascii="宋体" w:hAnsi="宋体" w:eastAsia="宋体" w:cs="宋体"/>
              <w:szCs w:val="24"/>
            </w:rPr>
            <w:fldChar w:fldCharType="separate"/>
          </w:r>
          <w:r>
            <w:rPr>
              <w:rFonts w:ascii="宋体" w:hAnsi="宋体" w:eastAsia="宋体" w:cs="宋体"/>
              <w:bCs/>
              <w:spacing w:val="-4"/>
              <w:szCs w:val="30"/>
            </w:rPr>
            <w:t>文件编制和变更履历</w:t>
          </w:r>
          <w:r>
            <w:tab/>
          </w:r>
          <w:r>
            <w:fldChar w:fldCharType="begin"/>
          </w:r>
          <w:r>
            <w:instrText xml:space="preserve"> PAGEREF _Toc17696 \h </w:instrText>
          </w:r>
          <w:r>
            <w:fldChar w:fldCharType="separate"/>
          </w:r>
          <w:r>
            <w:t>2</w:t>
          </w:r>
          <w:r>
            <w:fldChar w:fldCharType="end"/>
          </w:r>
          <w:r>
            <w:rPr>
              <w:rFonts w:hint="eastAsia" w:ascii="宋体" w:hAnsi="宋体" w:eastAsia="宋体" w:cs="宋体"/>
              <w:szCs w:val="24"/>
            </w:rPr>
            <w:fldChar w:fldCharType="end"/>
          </w:r>
        </w:p>
        <w:p w14:paraId="0392B50F">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_Toc6301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_Toc6301 \h </w:instrText>
          </w:r>
          <w:r>
            <w:fldChar w:fldCharType="separate"/>
          </w:r>
          <w:r>
            <w:t>5</w:t>
          </w:r>
          <w:r>
            <w:fldChar w:fldCharType="end"/>
          </w:r>
          <w:r>
            <w:rPr>
              <w:rFonts w:hint="eastAsia" w:ascii="宋体" w:hAnsi="宋体" w:eastAsia="宋体" w:cs="宋体"/>
              <w:szCs w:val="24"/>
            </w:rPr>
            <w:fldChar w:fldCharType="end"/>
          </w:r>
        </w:p>
        <w:p w14:paraId="6F7D6794">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_Toc10680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_Toc10680 \h </w:instrText>
          </w:r>
          <w:r>
            <w:fldChar w:fldCharType="separate"/>
          </w:r>
          <w:r>
            <w:t>5</w:t>
          </w:r>
          <w:r>
            <w:fldChar w:fldCharType="end"/>
          </w:r>
          <w:r>
            <w:rPr>
              <w:rFonts w:hint="eastAsia" w:ascii="宋体" w:hAnsi="宋体" w:eastAsia="宋体" w:cs="宋体"/>
              <w:szCs w:val="24"/>
            </w:rPr>
            <w:fldChar w:fldCharType="end"/>
          </w:r>
        </w:p>
        <w:p w14:paraId="10EE8234">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_Toc3044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_Toc3044 \h </w:instrText>
          </w:r>
          <w:r>
            <w:fldChar w:fldCharType="separate"/>
          </w:r>
          <w:r>
            <w:t>5</w:t>
          </w:r>
          <w:r>
            <w:fldChar w:fldCharType="end"/>
          </w:r>
          <w:r>
            <w:rPr>
              <w:rFonts w:hint="eastAsia" w:ascii="宋体" w:hAnsi="宋体" w:eastAsia="宋体" w:cs="宋体"/>
              <w:szCs w:val="24"/>
            </w:rPr>
            <w:fldChar w:fldCharType="end"/>
          </w:r>
        </w:p>
        <w:p w14:paraId="24666AED">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_Toc15443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_Toc15443 \h </w:instrText>
          </w:r>
          <w:r>
            <w:fldChar w:fldCharType="separate"/>
          </w:r>
          <w:r>
            <w:t>5</w:t>
          </w:r>
          <w:r>
            <w:fldChar w:fldCharType="end"/>
          </w:r>
          <w:r>
            <w:rPr>
              <w:rFonts w:hint="eastAsia" w:ascii="宋体" w:hAnsi="宋体" w:eastAsia="宋体" w:cs="宋体"/>
              <w:szCs w:val="24"/>
            </w:rPr>
            <w:fldChar w:fldCharType="end"/>
          </w:r>
        </w:p>
        <w:p w14:paraId="285718F1">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_Toc8158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_Toc8158 \h </w:instrText>
          </w:r>
          <w:r>
            <w:fldChar w:fldCharType="separate"/>
          </w:r>
          <w:r>
            <w:t>5</w:t>
          </w:r>
          <w:r>
            <w:fldChar w:fldCharType="end"/>
          </w:r>
          <w:r>
            <w:rPr>
              <w:rFonts w:hint="eastAsia" w:ascii="宋体" w:hAnsi="宋体" w:eastAsia="宋体" w:cs="宋体"/>
              <w:szCs w:val="24"/>
            </w:rPr>
            <w:fldChar w:fldCharType="end"/>
          </w:r>
        </w:p>
        <w:p w14:paraId="5DBE32D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_Toc27045 </w:instrText>
          </w:r>
          <w:r>
            <w:rPr>
              <w:rFonts w:hint="eastAsia" w:ascii="宋体" w:hAnsi="宋体" w:eastAsia="宋体" w:cs="宋体"/>
              <w:szCs w:val="24"/>
            </w:rPr>
            <w:fldChar w:fldCharType="separate"/>
          </w:r>
          <w:r>
            <w:rPr>
              <w:rFonts w:hint="default"/>
              <w:lang w:val="en-US" w:eastAsia="zh-CN"/>
            </w:rPr>
            <w:t xml:space="preserve">4.1.1. </w:t>
          </w:r>
          <w:r>
            <w:rPr>
              <w:rFonts w:hint="eastAsia"/>
              <w:lang w:val="en-US" w:eastAsia="zh-CN"/>
            </w:rPr>
            <w:t>人员招聘计划</w:t>
          </w:r>
          <w:r>
            <w:tab/>
          </w:r>
          <w:r>
            <w:fldChar w:fldCharType="begin"/>
          </w:r>
          <w:r>
            <w:instrText xml:space="preserve"> PAGEREF _Toc27045 \h </w:instrText>
          </w:r>
          <w:r>
            <w:fldChar w:fldCharType="separate"/>
          </w:r>
          <w:r>
            <w:t>5</w:t>
          </w:r>
          <w:r>
            <w:fldChar w:fldCharType="end"/>
          </w:r>
          <w:r>
            <w:rPr>
              <w:rFonts w:hint="eastAsia" w:ascii="宋体" w:hAnsi="宋体" w:eastAsia="宋体" w:cs="宋体"/>
              <w:szCs w:val="24"/>
            </w:rPr>
            <w:fldChar w:fldCharType="end"/>
          </w:r>
        </w:p>
        <w:p w14:paraId="4618D835">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_Toc30280 </w:instrText>
          </w:r>
          <w:r>
            <w:rPr>
              <w:rFonts w:hint="eastAsia" w:ascii="宋体" w:hAnsi="宋体" w:eastAsia="宋体" w:cs="宋体"/>
              <w:szCs w:val="24"/>
            </w:rPr>
            <w:fldChar w:fldCharType="separate"/>
          </w:r>
          <w:r>
            <w:rPr>
              <w:rFonts w:hint="default"/>
              <w:lang w:val="en-US" w:eastAsia="zh-CN"/>
            </w:rPr>
            <w:t xml:space="preserve">4.1.2. </w:t>
          </w:r>
          <w:r>
            <w:rPr>
              <w:rFonts w:hint="eastAsia"/>
              <w:lang w:val="en-US" w:eastAsia="zh-CN"/>
            </w:rPr>
            <w:t>人员储备计划</w:t>
          </w:r>
          <w:r>
            <w:tab/>
          </w:r>
          <w:r>
            <w:fldChar w:fldCharType="begin"/>
          </w:r>
          <w:r>
            <w:instrText xml:space="preserve"> PAGEREF _Toc30280 \h </w:instrText>
          </w:r>
          <w:r>
            <w:fldChar w:fldCharType="separate"/>
          </w:r>
          <w:r>
            <w:t>6</w:t>
          </w:r>
          <w:r>
            <w:fldChar w:fldCharType="end"/>
          </w:r>
          <w:r>
            <w:rPr>
              <w:rFonts w:hint="eastAsia" w:ascii="宋体" w:hAnsi="宋体" w:eastAsia="宋体" w:cs="宋体"/>
              <w:szCs w:val="24"/>
            </w:rPr>
            <w:fldChar w:fldCharType="end"/>
          </w:r>
        </w:p>
        <w:p w14:paraId="7740BD0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_Toc31976 </w:instrText>
          </w:r>
          <w:r>
            <w:rPr>
              <w:rFonts w:hint="eastAsia" w:ascii="宋体" w:hAnsi="宋体" w:eastAsia="宋体" w:cs="宋体"/>
              <w:szCs w:val="24"/>
            </w:rPr>
            <w:fldChar w:fldCharType="separate"/>
          </w:r>
          <w:r>
            <w:rPr>
              <w:rFonts w:hint="default"/>
              <w:lang w:val="en-US" w:eastAsia="zh-CN"/>
            </w:rPr>
            <w:t xml:space="preserve">4.1.3. </w:t>
          </w:r>
          <w:r>
            <w:rPr>
              <w:rFonts w:hint="eastAsia"/>
              <w:lang w:val="en-US" w:eastAsia="zh-CN"/>
            </w:rPr>
            <w:t>人员培训计划</w:t>
          </w:r>
          <w:r>
            <w:tab/>
          </w:r>
          <w:r>
            <w:fldChar w:fldCharType="begin"/>
          </w:r>
          <w:r>
            <w:instrText xml:space="preserve"> PAGEREF _Toc31976 \h </w:instrText>
          </w:r>
          <w:r>
            <w:fldChar w:fldCharType="separate"/>
          </w:r>
          <w:r>
            <w:t>7</w:t>
          </w:r>
          <w:r>
            <w:fldChar w:fldCharType="end"/>
          </w:r>
          <w:r>
            <w:rPr>
              <w:rFonts w:hint="eastAsia" w:ascii="宋体" w:hAnsi="宋体" w:eastAsia="宋体" w:cs="宋体"/>
              <w:szCs w:val="24"/>
            </w:rPr>
            <w:fldChar w:fldCharType="end"/>
          </w:r>
        </w:p>
        <w:p w14:paraId="75772FDE">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_Toc25631 </w:instrText>
          </w:r>
          <w:r>
            <w:rPr>
              <w:rFonts w:hint="eastAsia" w:ascii="宋体" w:hAnsi="宋体" w:eastAsia="宋体" w:cs="宋体"/>
              <w:szCs w:val="24"/>
            </w:rPr>
            <w:fldChar w:fldCharType="separate"/>
          </w:r>
          <w:r>
            <w:rPr>
              <w:rFonts w:hint="default"/>
              <w:lang w:val="en-US" w:eastAsia="zh-CN"/>
            </w:rPr>
            <w:t xml:space="preserve">4.1.4. </w:t>
          </w:r>
          <w:r>
            <w:rPr>
              <w:rFonts w:hint="eastAsia"/>
              <w:lang w:val="en-US" w:eastAsia="zh-CN"/>
            </w:rPr>
            <w:t>人员备份计划</w:t>
          </w:r>
          <w:r>
            <w:tab/>
          </w:r>
          <w:r>
            <w:fldChar w:fldCharType="begin"/>
          </w:r>
          <w:r>
            <w:instrText xml:space="preserve"> PAGEREF _Toc25631 \h </w:instrText>
          </w:r>
          <w:r>
            <w:fldChar w:fldCharType="separate"/>
          </w:r>
          <w:r>
            <w:t>11</w:t>
          </w:r>
          <w:r>
            <w:fldChar w:fldCharType="end"/>
          </w:r>
          <w:r>
            <w:rPr>
              <w:rFonts w:hint="eastAsia" w:ascii="宋体" w:hAnsi="宋体" w:eastAsia="宋体" w:cs="宋体"/>
              <w:szCs w:val="24"/>
            </w:rPr>
            <w:fldChar w:fldCharType="end"/>
          </w:r>
        </w:p>
        <w:p w14:paraId="54D1D8B0">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_Toc31526 </w:instrText>
          </w:r>
          <w:r>
            <w:rPr>
              <w:rFonts w:hint="eastAsia" w:ascii="宋体" w:hAnsi="宋体" w:eastAsia="宋体" w:cs="宋体"/>
              <w:szCs w:val="24"/>
            </w:rPr>
            <w:fldChar w:fldCharType="separate"/>
          </w:r>
          <w:r>
            <w:rPr>
              <w:rFonts w:hint="default"/>
              <w:lang w:val="en-US" w:eastAsia="zh-CN"/>
            </w:rPr>
            <w:t xml:space="preserve">4.1.5. </w:t>
          </w:r>
          <w:r>
            <w:rPr>
              <w:rFonts w:hint="eastAsia"/>
              <w:lang w:val="en-US" w:eastAsia="zh-CN"/>
            </w:rPr>
            <w:t>人员绩效考核计划</w:t>
          </w:r>
          <w:r>
            <w:tab/>
          </w:r>
          <w:r>
            <w:fldChar w:fldCharType="begin"/>
          </w:r>
          <w:r>
            <w:instrText xml:space="preserve"> PAGEREF _Toc31526 \h </w:instrText>
          </w:r>
          <w:r>
            <w:fldChar w:fldCharType="separate"/>
          </w:r>
          <w:r>
            <w:t>12</w:t>
          </w:r>
          <w:r>
            <w:fldChar w:fldCharType="end"/>
          </w:r>
          <w:r>
            <w:rPr>
              <w:rFonts w:hint="eastAsia" w:ascii="宋体" w:hAnsi="宋体" w:eastAsia="宋体" w:cs="宋体"/>
              <w:szCs w:val="24"/>
            </w:rPr>
            <w:fldChar w:fldCharType="end"/>
          </w:r>
        </w:p>
        <w:p w14:paraId="57837356">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_Toc22076 </w:instrText>
          </w:r>
          <w:r>
            <w:rPr>
              <w:rFonts w:hint="eastAsia" w:ascii="宋体" w:hAnsi="宋体" w:eastAsia="宋体" w:cs="宋体"/>
              <w:szCs w:val="24"/>
            </w:rPr>
            <w:fldChar w:fldCharType="separate"/>
          </w:r>
          <w:r>
            <w:rPr>
              <w:rFonts w:hint="default"/>
              <w:lang w:val="en-US" w:eastAsia="zh-CN"/>
            </w:rPr>
            <w:t xml:space="preserve">4.1.6. </w:t>
          </w:r>
          <w:r>
            <w:rPr>
              <w:rFonts w:hint="eastAsia"/>
              <w:lang w:val="en-US" w:eastAsia="zh-CN"/>
            </w:rPr>
            <w:t>人员能力评价计划</w:t>
          </w:r>
          <w:r>
            <w:tab/>
          </w:r>
          <w:r>
            <w:fldChar w:fldCharType="begin"/>
          </w:r>
          <w:r>
            <w:instrText xml:space="preserve"> PAGEREF _Toc22076 \h </w:instrText>
          </w:r>
          <w:r>
            <w:fldChar w:fldCharType="separate"/>
          </w:r>
          <w:r>
            <w:t>12</w:t>
          </w:r>
          <w:r>
            <w:fldChar w:fldCharType="end"/>
          </w:r>
          <w:r>
            <w:rPr>
              <w:rFonts w:hint="eastAsia" w:ascii="宋体" w:hAnsi="宋体" w:eastAsia="宋体" w:cs="宋体"/>
              <w:szCs w:val="24"/>
            </w:rPr>
            <w:fldChar w:fldCharType="end"/>
          </w:r>
        </w:p>
        <w:p w14:paraId="4F2B73B3">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_Toc4581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_Toc4581 \h </w:instrText>
          </w:r>
          <w:r>
            <w:fldChar w:fldCharType="separate"/>
          </w:r>
          <w:r>
            <w:t>12</w:t>
          </w:r>
          <w:r>
            <w:fldChar w:fldCharType="end"/>
          </w:r>
          <w:r>
            <w:rPr>
              <w:rFonts w:hint="eastAsia" w:ascii="宋体" w:hAnsi="宋体" w:eastAsia="宋体" w:cs="宋体"/>
              <w:szCs w:val="24"/>
            </w:rPr>
            <w:fldChar w:fldCharType="end"/>
          </w:r>
        </w:p>
        <w:p w14:paraId="60251C7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_Toc12253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_Toc12253 \h </w:instrText>
          </w:r>
          <w:r>
            <w:fldChar w:fldCharType="separate"/>
          </w:r>
          <w:r>
            <w:t>12</w:t>
          </w:r>
          <w:r>
            <w:fldChar w:fldCharType="end"/>
          </w:r>
          <w:r>
            <w:rPr>
              <w:rFonts w:hint="eastAsia" w:ascii="宋体" w:hAnsi="宋体" w:eastAsia="宋体" w:cs="宋体"/>
              <w:szCs w:val="24"/>
            </w:rPr>
            <w:fldChar w:fldCharType="end"/>
          </w:r>
        </w:p>
        <w:p w14:paraId="673E87C5">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_Toc31758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_Toc31758 \h </w:instrText>
          </w:r>
          <w:r>
            <w:fldChar w:fldCharType="separate"/>
          </w:r>
          <w:r>
            <w:t>12</w:t>
          </w:r>
          <w:r>
            <w:fldChar w:fldCharType="end"/>
          </w:r>
          <w:r>
            <w:rPr>
              <w:rFonts w:hint="eastAsia" w:ascii="宋体" w:hAnsi="宋体" w:eastAsia="宋体" w:cs="宋体"/>
              <w:szCs w:val="24"/>
            </w:rPr>
            <w:fldChar w:fldCharType="end"/>
          </w:r>
        </w:p>
        <w:p w14:paraId="48BB3E85">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_Toc6745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_Toc6745 \h </w:instrText>
          </w:r>
          <w:r>
            <w:fldChar w:fldCharType="separate"/>
          </w:r>
          <w:r>
            <w:t>13</w:t>
          </w:r>
          <w:r>
            <w:fldChar w:fldCharType="end"/>
          </w:r>
          <w:r>
            <w:rPr>
              <w:rFonts w:hint="eastAsia" w:ascii="宋体" w:hAnsi="宋体" w:eastAsia="宋体" w:cs="宋体"/>
              <w:szCs w:val="24"/>
            </w:rPr>
            <w:fldChar w:fldCharType="end"/>
          </w:r>
        </w:p>
        <w:p w14:paraId="3DBC82D8">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_Toc5970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_Toc5970 \h </w:instrText>
          </w:r>
          <w:r>
            <w:fldChar w:fldCharType="separate"/>
          </w:r>
          <w:r>
            <w:t>13</w:t>
          </w:r>
          <w:r>
            <w:fldChar w:fldCharType="end"/>
          </w:r>
          <w:r>
            <w:rPr>
              <w:rFonts w:hint="eastAsia" w:ascii="宋体" w:hAnsi="宋体" w:eastAsia="宋体" w:cs="宋体"/>
              <w:szCs w:val="24"/>
            </w:rPr>
            <w:fldChar w:fldCharType="end"/>
          </w:r>
        </w:p>
        <w:p w14:paraId="2508AFC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_Toc14223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_Toc14223 \h </w:instrText>
          </w:r>
          <w:r>
            <w:fldChar w:fldCharType="separate"/>
          </w:r>
          <w:r>
            <w:t>13</w:t>
          </w:r>
          <w:r>
            <w:fldChar w:fldCharType="end"/>
          </w:r>
          <w:r>
            <w:rPr>
              <w:rFonts w:hint="eastAsia" w:ascii="宋体" w:hAnsi="宋体" w:eastAsia="宋体" w:cs="宋体"/>
              <w:szCs w:val="24"/>
            </w:rPr>
            <w:fldChar w:fldCharType="end"/>
          </w:r>
        </w:p>
        <w:p w14:paraId="24343400">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_Toc30029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_Toc30029 \h </w:instrText>
          </w:r>
          <w:r>
            <w:fldChar w:fldCharType="separate"/>
          </w:r>
          <w:r>
            <w:t>14</w:t>
          </w:r>
          <w:r>
            <w:fldChar w:fldCharType="end"/>
          </w:r>
          <w:r>
            <w:rPr>
              <w:rFonts w:hint="eastAsia" w:ascii="宋体" w:hAnsi="宋体" w:eastAsia="宋体" w:cs="宋体"/>
              <w:szCs w:val="24"/>
            </w:rPr>
            <w:fldChar w:fldCharType="end"/>
          </w:r>
        </w:p>
        <w:p w14:paraId="246846F1">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_Toc29917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_Toc29917 \h </w:instrText>
          </w:r>
          <w:r>
            <w:fldChar w:fldCharType="separate"/>
          </w:r>
          <w:r>
            <w:t>14</w:t>
          </w:r>
          <w:r>
            <w:fldChar w:fldCharType="end"/>
          </w:r>
          <w:r>
            <w:rPr>
              <w:rFonts w:hint="eastAsia" w:ascii="宋体" w:hAnsi="宋体" w:eastAsia="宋体" w:cs="宋体"/>
              <w:szCs w:val="24"/>
            </w:rPr>
            <w:fldChar w:fldCharType="end"/>
          </w:r>
        </w:p>
        <w:p w14:paraId="2EB6DE6B">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_Toc20287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_Toc20287 \h </w:instrText>
          </w:r>
          <w:r>
            <w:fldChar w:fldCharType="separate"/>
          </w:r>
          <w:r>
            <w:t>14</w:t>
          </w:r>
          <w:r>
            <w:fldChar w:fldCharType="end"/>
          </w:r>
          <w:r>
            <w:rPr>
              <w:rFonts w:hint="eastAsia" w:ascii="宋体" w:hAnsi="宋体" w:eastAsia="宋体" w:cs="宋体"/>
              <w:szCs w:val="24"/>
            </w:rPr>
            <w:fldChar w:fldCharType="end"/>
          </w:r>
        </w:p>
        <w:p w14:paraId="3623903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_Toc27284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_Toc27284 \h </w:instrText>
          </w:r>
          <w:r>
            <w:fldChar w:fldCharType="separate"/>
          </w:r>
          <w:r>
            <w:t>14</w:t>
          </w:r>
          <w:r>
            <w:fldChar w:fldCharType="end"/>
          </w:r>
          <w:r>
            <w:rPr>
              <w:rFonts w:hint="eastAsia" w:ascii="宋体" w:hAnsi="宋体" w:eastAsia="宋体" w:cs="宋体"/>
              <w:szCs w:val="24"/>
            </w:rPr>
            <w:fldChar w:fldCharType="end"/>
          </w:r>
        </w:p>
        <w:p w14:paraId="1ADD924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_Toc14357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_Toc14357 \h </w:instrText>
          </w:r>
          <w:r>
            <w:fldChar w:fldCharType="separate"/>
          </w:r>
          <w:r>
            <w:t>14</w:t>
          </w:r>
          <w:r>
            <w:fldChar w:fldCharType="end"/>
          </w:r>
          <w:r>
            <w:rPr>
              <w:rFonts w:hint="eastAsia" w:ascii="宋体" w:hAnsi="宋体" w:eastAsia="宋体" w:cs="宋体"/>
              <w:szCs w:val="24"/>
            </w:rPr>
            <w:fldChar w:fldCharType="end"/>
          </w:r>
        </w:p>
        <w:p w14:paraId="2052698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_Toc21574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_Toc21574 \h </w:instrText>
          </w:r>
          <w:r>
            <w:fldChar w:fldCharType="separate"/>
          </w:r>
          <w:r>
            <w:t>15</w:t>
          </w:r>
          <w:r>
            <w:fldChar w:fldCharType="end"/>
          </w:r>
          <w:r>
            <w:rPr>
              <w:rFonts w:hint="eastAsia" w:ascii="宋体" w:hAnsi="宋体" w:eastAsia="宋体" w:cs="宋体"/>
              <w:szCs w:val="24"/>
            </w:rPr>
            <w:fldChar w:fldCharType="end"/>
          </w:r>
        </w:p>
        <w:p w14:paraId="6B93701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_Toc2057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_Toc2057 \h </w:instrText>
          </w:r>
          <w:r>
            <w:fldChar w:fldCharType="separate"/>
          </w:r>
          <w:r>
            <w:t>15</w:t>
          </w:r>
          <w:r>
            <w:fldChar w:fldCharType="end"/>
          </w:r>
          <w:r>
            <w:rPr>
              <w:rFonts w:hint="eastAsia" w:ascii="宋体" w:hAnsi="宋体" w:eastAsia="宋体" w:cs="宋体"/>
              <w:szCs w:val="24"/>
            </w:rPr>
            <w:fldChar w:fldCharType="end"/>
          </w:r>
        </w:p>
        <w:p w14:paraId="76589A4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_Toc20586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_Toc20586 \h </w:instrText>
          </w:r>
          <w:r>
            <w:fldChar w:fldCharType="separate"/>
          </w:r>
          <w:r>
            <w:t>15</w:t>
          </w:r>
          <w:r>
            <w:fldChar w:fldCharType="end"/>
          </w:r>
          <w:r>
            <w:rPr>
              <w:rFonts w:hint="eastAsia" w:ascii="宋体" w:hAnsi="宋体" w:eastAsia="宋体" w:cs="宋体"/>
              <w:szCs w:val="24"/>
            </w:rPr>
            <w:fldChar w:fldCharType="end"/>
          </w:r>
        </w:p>
        <w:p w14:paraId="5AA0AF9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_Toc5691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_Toc5691 \h </w:instrText>
          </w:r>
          <w:r>
            <w:fldChar w:fldCharType="separate"/>
          </w:r>
          <w:r>
            <w:t>16</w:t>
          </w:r>
          <w:r>
            <w:fldChar w:fldCharType="end"/>
          </w:r>
          <w:r>
            <w:rPr>
              <w:rFonts w:hint="eastAsia" w:ascii="宋体" w:hAnsi="宋体" w:eastAsia="宋体" w:cs="宋体"/>
              <w:szCs w:val="24"/>
            </w:rPr>
            <w:fldChar w:fldCharType="end"/>
          </w:r>
        </w:p>
        <w:p w14:paraId="0948C44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_Toc18976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_Toc18976 \h </w:instrText>
          </w:r>
          <w:r>
            <w:fldChar w:fldCharType="separate"/>
          </w:r>
          <w:r>
            <w:t>16</w:t>
          </w:r>
          <w:r>
            <w:fldChar w:fldCharType="end"/>
          </w:r>
          <w:r>
            <w:rPr>
              <w:rFonts w:hint="eastAsia" w:ascii="宋体" w:hAnsi="宋体" w:eastAsia="宋体" w:cs="宋体"/>
              <w:szCs w:val="24"/>
            </w:rPr>
            <w:fldChar w:fldCharType="end"/>
          </w:r>
        </w:p>
        <w:p w14:paraId="1AD7C5C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_Toc14298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_Toc14298 \h </w:instrText>
          </w:r>
          <w:r>
            <w:fldChar w:fldCharType="separate"/>
          </w:r>
          <w:r>
            <w:t>17</w:t>
          </w:r>
          <w:r>
            <w:fldChar w:fldCharType="end"/>
          </w:r>
          <w:r>
            <w:rPr>
              <w:rFonts w:hint="eastAsia" w:ascii="宋体" w:hAnsi="宋体" w:eastAsia="宋体" w:cs="宋体"/>
              <w:szCs w:val="24"/>
            </w:rPr>
            <w:fldChar w:fldCharType="end"/>
          </w:r>
        </w:p>
        <w:p w14:paraId="685BDF35">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_Toc17952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_Toc17952 \h </w:instrText>
          </w:r>
          <w:r>
            <w:fldChar w:fldCharType="separate"/>
          </w:r>
          <w:r>
            <w:t>17</w:t>
          </w:r>
          <w:r>
            <w:fldChar w:fldCharType="end"/>
          </w:r>
          <w:r>
            <w:rPr>
              <w:rFonts w:hint="eastAsia" w:ascii="宋体" w:hAnsi="宋体" w:eastAsia="宋体" w:cs="宋体"/>
              <w:szCs w:val="24"/>
            </w:rPr>
            <w:fldChar w:fldCharType="end"/>
          </w:r>
        </w:p>
        <w:p w14:paraId="10C72D6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_Toc31199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_Toc31199 \h </w:instrText>
          </w:r>
          <w:r>
            <w:fldChar w:fldCharType="separate"/>
          </w:r>
          <w:r>
            <w:t>17</w:t>
          </w:r>
          <w:r>
            <w:fldChar w:fldCharType="end"/>
          </w:r>
          <w:r>
            <w:rPr>
              <w:rFonts w:hint="eastAsia" w:ascii="宋体" w:hAnsi="宋体" w:eastAsia="宋体" w:cs="宋体"/>
              <w:szCs w:val="24"/>
            </w:rPr>
            <w:fldChar w:fldCharType="end"/>
          </w:r>
        </w:p>
        <w:p w14:paraId="74B5063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_Toc21531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_Toc21531 \h </w:instrText>
          </w:r>
          <w:r>
            <w:fldChar w:fldCharType="separate"/>
          </w:r>
          <w:r>
            <w:t>18</w:t>
          </w:r>
          <w:r>
            <w:fldChar w:fldCharType="end"/>
          </w:r>
          <w:r>
            <w:rPr>
              <w:rFonts w:hint="eastAsia" w:ascii="宋体" w:hAnsi="宋体" w:eastAsia="宋体" w:cs="宋体"/>
              <w:szCs w:val="24"/>
            </w:rPr>
            <w:fldChar w:fldCharType="end"/>
          </w:r>
        </w:p>
        <w:p w14:paraId="56748DBD">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_Toc29039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_Toc29039 \h </w:instrText>
          </w:r>
          <w:r>
            <w:fldChar w:fldCharType="separate"/>
          </w:r>
          <w:r>
            <w:t>18</w:t>
          </w:r>
          <w:r>
            <w:fldChar w:fldCharType="end"/>
          </w:r>
          <w:r>
            <w:rPr>
              <w:rFonts w:hint="eastAsia" w:ascii="宋体" w:hAnsi="宋体" w:eastAsia="宋体" w:cs="宋体"/>
              <w:szCs w:val="24"/>
            </w:rPr>
            <w:fldChar w:fldCharType="end"/>
          </w:r>
        </w:p>
        <w:p w14:paraId="16B1FF01">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_Toc12302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_Toc12302 \h </w:instrText>
          </w:r>
          <w:r>
            <w:fldChar w:fldCharType="separate"/>
          </w:r>
          <w:r>
            <w:t>19</w:t>
          </w:r>
          <w:r>
            <w:fldChar w:fldCharType="end"/>
          </w:r>
          <w:r>
            <w:rPr>
              <w:rFonts w:hint="eastAsia" w:ascii="宋体" w:hAnsi="宋体" w:eastAsia="宋体" w:cs="宋体"/>
              <w:szCs w:val="24"/>
            </w:rPr>
            <w:fldChar w:fldCharType="end"/>
          </w:r>
        </w:p>
        <w:p w14:paraId="301122AE">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_Toc8271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_Toc8271 \h </w:instrText>
          </w:r>
          <w:r>
            <w:fldChar w:fldCharType="separate"/>
          </w:r>
          <w:r>
            <w:t>19</w:t>
          </w:r>
          <w:r>
            <w:fldChar w:fldCharType="end"/>
          </w:r>
          <w:r>
            <w:rPr>
              <w:rFonts w:hint="eastAsia" w:ascii="宋体" w:hAnsi="宋体" w:eastAsia="宋体" w:cs="宋体"/>
              <w:szCs w:val="24"/>
            </w:rPr>
            <w:fldChar w:fldCharType="end"/>
          </w:r>
        </w:p>
        <w:p w14:paraId="226B3DF5">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_Toc15200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_Toc15200 \h </w:instrText>
          </w:r>
          <w:r>
            <w:fldChar w:fldCharType="separate"/>
          </w:r>
          <w:r>
            <w:t>19</w:t>
          </w:r>
          <w:r>
            <w:fldChar w:fldCharType="end"/>
          </w:r>
          <w:r>
            <w:rPr>
              <w:rFonts w:hint="eastAsia" w:ascii="宋体" w:hAnsi="宋体" w:eastAsia="宋体" w:cs="宋体"/>
              <w:szCs w:val="24"/>
            </w:rPr>
            <w:fldChar w:fldCharType="end"/>
          </w:r>
        </w:p>
        <w:p w14:paraId="7BD9948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_Toc5662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_Toc5662 \h </w:instrText>
          </w:r>
          <w:r>
            <w:fldChar w:fldCharType="separate"/>
          </w:r>
          <w:r>
            <w:t>19</w:t>
          </w:r>
          <w:r>
            <w:fldChar w:fldCharType="end"/>
          </w:r>
          <w:r>
            <w:rPr>
              <w:rFonts w:hint="eastAsia" w:ascii="宋体" w:hAnsi="宋体" w:eastAsia="宋体" w:cs="宋体"/>
              <w:szCs w:val="24"/>
            </w:rPr>
            <w:fldChar w:fldCharType="end"/>
          </w:r>
        </w:p>
        <w:p w14:paraId="0F4F306E">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_Toc29635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_Toc29635 \h </w:instrText>
          </w:r>
          <w:r>
            <w:fldChar w:fldCharType="separate"/>
          </w:r>
          <w:r>
            <w:t>19</w:t>
          </w:r>
          <w:r>
            <w:fldChar w:fldCharType="end"/>
          </w:r>
          <w:r>
            <w:rPr>
              <w:rFonts w:hint="eastAsia" w:ascii="宋体" w:hAnsi="宋体" w:eastAsia="宋体" w:cs="宋体"/>
              <w:szCs w:val="24"/>
            </w:rPr>
            <w:fldChar w:fldCharType="end"/>
          </w:r>
        </w:p>
        <w:p w14:paraId="3613B71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_Toc31785 </w:instrText>
          </w:r>
          <w:r>
            <w:rPr>
              <w:rFonts w:hint="eastAsia" w:ascii="宋体" w:hAnsi="宋体" w:eastAsia="宋体" w:cs="宋体"/>
              <w:szCs w:val="24"/>
            </w:rPr>
            <w:fldChar w:fldCharType="separate"/>
          </w:r>
          <w:r>
            <w:rPr>
              <w:rFonts w:hint="default"/>
              <w:lang w:val="en-US" w:eastAsia="zh-CN"/>
            </w:rPr>
            <w:t xml:space="preserve">4.7.4. </w:t>
          </w:r>
          <w:r>
            <w:rPr>
              <w:rFonts w:hint="eastAsia"/>
              <w:lang w:val="en-US" w:eastAsia="zh-CN"/>
            </w:rPr>
            <w:t>SLA达成率</w:t>
          </w:r>
          <w:r>
            <w:tab/>
          </w:r>
          <w:r>
            <w:fldChar w:fldCharType="begin"/>
          </w:r>
          <w:r>
            <w:instrText xml:space="preserve"> PAGEREF _Toc31785 \h </w:instrText>
          </w:r>
          <w:r>
            <w:fldChar w:fldCharType="separate"/>
          </w:r>
          <w:r>
            <w:t>20</w:t>
          </w:r>
          <w:r>
            <w:fldChar w:fldCharType="end"/>
          </w:r>
          <w:r>
            <w:rPr>
              <w:rFonts w:hint="eastAsia" w:ascii="宋体" w:hAnsi="宋体" w:eastAsia="宋体" w:cs="宋体"/>
              <w:szCs w:val="24"/>
            </w:rPr>
            <w:fldChar w:fldCharType="end"/>
          </w:r>
        </w:p>
        <w:p w14:paraId="06BEB7FC">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_Toc32293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_Toc32293 \h </w:instrText>
          </w:r>
          <w:r>
            <w:fldChar w:fldCharType="separate"/>
          </w:r>
          <w:r>
            <w:t>20</w:t>
          </w:r>
          <w:r>
            <w:fldChar w:fldCharType="end"/>
          </w:r>
          <w:r>
            <w:rPr>
              <w:rFonts w:hint="eastAsia" w:ascii="宋体" w:hAnsi="宋体" w:eastAsia="宋体" w:cs="宋体"/>
              <w:szCs w:val="24"/>
            </w:rPr>
            <w:fldChar w:fldCharType="end"/>
          </w:r>
        </w:p>
        <w:p w14:paraId="52D0C159">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_Toc26903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_Toc26903 \h </w:instrText>
          </w:r>
          <w:r>
            <w:fldChar w:fldCharType="separate"/>
          </w:r>
          <w:r>
            <w:t>20</w:t>
          </w:r>
          <w:r>
            <w:fldChar w:fldCharType="end"/>
          </w:r>
          <w:r>
            <w:rPr>
              <w:rFonts w:hint="eastAsia" w:ascii="宋体" w:hAnsi="宋体" w:eastAsia="宋体" w:cs="宋体"/>
              <w:szCs w:val="24"/>
            </w:rPr>
            <w:fldChar w:fldCharType="end"/>
          </w:r>
        </w:p>
        <w:p w14:paraId="6E1CC3D8">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_Toc20031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_Toc20031 \h </w:instrText>
          </w:r>
          <w:r>
            <w:fldChar w:fldCharType="separate"/>
          </w:r>
          <w:r>
            <w:t>20</w:t>
          </w:r>
          <w:r>
            <w:fldChar w:fldCharType="end"/>
          </w:r>
          <w:r>
            <w:rPr>
              <w:rFonts w:hint="eastAsia" w:ascii="宋体" w:hAnsi="宋体" w:eastAsia="宋体" w:cs="宋体"/>
              <w:szCs w:val="24"/>
            </w:rPr>
            <w:fldChar w:fldCharType="end"/>
          </w:r>
        </w:p>
        <w:p w14:paraId="4687D5A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85242A4">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795CF3E">
      <w:pPr>
        <w:pStyle w:val="28"/>
        <w:keepNext w:val="0"/>
        <w:keepLines w:val="0"/>
        <w:pageBreakBefore w:val="0"/>
        <w:widowControl w:val="0"/>
        <w:kinsoku w:val="0"/>
        <w:wordWrap/>
        <w:overflowPunct/>
        <w:autoSpaceDE w:val="0"/>
        <w:autoSpaceDN w:val="0"/>
        <w:bidi w:val="0"/>
        <w:adjustRightInd w:val="0"/>
        <w:snapToGrid w:val="0"/>
        <w:textAlignment w:val="baseline"/>
      </w:pPr>
      <w:bookmarkStart w:id="7" w:name="_Toc6301"/>
      <w:r>
        <w:t>目的</w:t>
      </w:r>
      <w:bookmarkEnd w:id="7"/>
    </w:p>
    <w:p w14:paraId="49BE2705">
      <w:pPr>
        <w:pStyle w:val="29"/>
        <w:keepNext w:val="0"/>
        <w:keepLines w:val="0"/>
        <w:pageBreakBefore w:val="0"/>
        <w:widowControl w:val="0"/>
        <w:kinsoku w:val="0"/>
        <w:wordWrap/>
        <w:overflowPunct/>
        <w:autoSpaceDE w:val="0"/>
        <w:autoSpaceDN w:val="0"/>
        <w:bidi w:val="0"/>
        <w:adjustRightInd w:val="0"/>
        <w:snapToGrid w:val="0"/>
        <w:textAlignment w:val="baseline"/>
      </w:pPr>
      <w:r>
        <w:t>为了分解部门工作目标，细化部门工作内容，规范员工工作行为，充分发挥员工工作积极性和能动性，现制定运维服务能力管理</w:t>
      </w:r>
      <w:r>
        <w:rPr>
          <w:rFonts w:hint="eastAsia"/>
          <w:lang w:val="en-US" w:eastAsia="zh-CN"/>
        </w:rPr>
        <w:t>计划</w:t>
      </w:r>
      <w:r>
        <w:t>。</w:t>
      </w:r>
    </w:p>
    <w:p w14:paraId="39B6CE59">
      <w:pPr>
        <w:pStyle w:val="29"/>
        <w:keepNext w:val="0"/>
        <w:keepLines w:val="0"/>
        <w:pageBreakBefore w:val="0"/>
        <w:widowControl w:val="0"/>
        <w:kinsoku w:val="0"/>
        <w:wordWrap/>
        <w:overflowPunct/>
        <w:autoSpaceDE w:val="0"/>
        <w:autoSpaceDN w:val="0"/>
        <w:bidi w:val="0"/>
        <w:adjustRightInd w:val="0"/>
        <w:snapToGrid w:val="0"/>
        <w:textAlignment w:val="baseline"/>
      </w:pPr>
      <w:r>
        <w:t>在公司的总体战略规划要求下，在2025年</w:t>
      </w:r>
      <w:r>
        <w:rPr>
          <w:rFonts w:hint="eastAsia"/>
          <w:lang w:val="en-US" w:eastAsia="zh-CN"/>
        </w:rPr>
        <w:t>7月-2026年6月</w:t>
      </w:r>
      <w:r>
        <w:t>，运维收入计划增长率为10%，为实现这一目标，必须保证我们的运维服务能力有效进行，保障完成人员、资源、技术、过程四要素、应急交付和质量管理要求各项指标。</w:t>
      </w:r>
    </w:p>
    <w:p w14:paraId="3AE92F34">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0680"/>
      <w:r>
        <w:rPr>
          <w:rFonts w:hint="eastAsia"/>
          <w:lang w:val="en-US" w:eastAsia="zh-CN"/>
        </w:rPr>
        <w:t>原则</w:t>
      </w:r>
      <w:bookmarkEnd w:id="8"/>
    </w:p>
    <w:p w14:paraId="2CC2FF2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F4A38D7">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23DC612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0307D3F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060E439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159346B4">
      <w:pPr>
        <w:pStyle w:val="28"/>
        <w:keepNext w:val="0"/>
        <w:keepLines w:val="0"/>
        <w:pageBreakBefore w:val="0"/>
        <w:widowControl w:val="0"/>
        <w:kinsoku w:val="0"/>
        <w:wordWrap/>
        <w:overflowPunct/>
        <w:autoSpaceDE w:val="0"/>
        <w:autoSpaceDN w:val="0"/>
        <w:bidi w:val="0"/>
        <w:adjustRightInd w:val="0"/>
        <w:snapToGrid w:val="0"/>
        <w:textAlignment w:val="baseline"/>
      </w:pPr>
      <w:bookmarkStart w:id="9" w:name="_Toc3044"/>
      <w:r>
        <w:rPr>
          <w:rFonts w:hint="eastAsia"/>
          <w:lang w:val="en-US" w:eastAsia="zh-CN"/>
        </w:rPr>
        <w:t>适用</w:t>
      </w:r>
      <w:r>
        <w:t>范围</w:t>
      </w:r>
      <w:bookmarkEnd w:id="9"/>
    </w:p>
    <w:p w14:paraId="749C818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公司运维服务的全过程。</w:t>
      </w:r>
    </w:p>
    <w:p w14:paraId="4241998C">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15443"/>
      <w:r>
        <w:rPr>
          <w:rFonts w:hint="eastAsia"/>
          <w:lang w:val="en-US" w:eastAsia="zh-CN"/>
        </w:rPr>
        <w:t>运维能力管理实施</w:t>
      </w:r>
      <w:bookmarkEnd w:id="10"/>
    </w:p>
    <w:p w14:paraId="4976D620">
      <w:pPr>
        <w:pStyle w:val="30"/>
        <w:keepNext w:val="0"/>
        <w:keepLines w:val="0"/>
        <w:pageBreakBefore w:val="0"/>
        <w:widowControl w:val="0"/>
        <w:kinsoku w:val="0"/>
        <w:wordWrap/>
        <w:overflowPunct/>
        <w:autoSpaceDE w:val="0"/>
        <w:autoSpaceDN w:val="0"/>
        <w:bidi w:val="0"/>
        <w:adjustRightInd w:val="0"/>
        <w:snapToGrid w:val="0"/>
        <w:textAlignment w:val="baseline"/>
      </w:pPr>
      <w:bookmarkStart w:id="11" w:name="_Toc8158"/>
      <w:r>
        <w:t>人员</w:t>
      </w:r>
      <w:bookmarkEnd w:id="11"/>
    </w:p>
    <w:p w14:paraId="4AF2C04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27045"/>
      <w:r>
        <w:rPr>
          <w:rFonts w:hint="eastAsia"/>
          <w:lang w:val="en-US" w:eastAsia="zh-CN"/>
        </w:rPr>
        <w:t>人员招聘计划</w:t>
      </w:r>
      <w:bookmarkEnd w:id="12"/>
    </w:p>
    <w:p w14:paraId="7079FA34">
      <w:pPr>
        <w:pStyle w:val="29"/>
        <w:keepNext w:val="0"/>
        <w:keepLines w:val="0"/>
        <w:pageBreakBefore w:val="0"/>
        <w:widowControl w:val="0"/>
        <w:kinsoku w:val="0"/>
        <w:wordWrap/>
        <w:overflowPunct/>
        <w:autoSpaceDE w:val="0"/>
        <w:autoSpaceDN w:val="0"/>
        <w:bidi w:val="0"/>
        <w:adjustRightInd w:val="0"/>
        <w:snapToGrid w:val="0"/>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7"/>
        <w:gridCol w:w="685"/>
        <w:gridCol w:w="1359"/>
        <w:gridCol w:w="1020"/>
        <w:gridCol w:w="3020"/>
        <w:gridCol w:w="1020"/>
        <w:gridCol w:w="1460"/>
      </w:tblGrid>
      <w:tr w14:paraId="7D1D1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AB5AA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6DA024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0" w:type="auto"/>
            <w:noWrap w:val="0"/>
            <w:tcMar>
              <w:top w:w="60" w:type="dxa"/>
              <w:left w:w="120" w:type="dxa"/>
              <w:bottom w:w="30" w:type="dxa"/>
              <w:right w:w="120" w:type="dxa"/>
            </w:tcMar>
            <w:vAlign w:val="center"/>
          </w:tcPr>
          <w:p w14:paraId="48452D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09DDC0D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0A265C7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112738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5FAB386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20A5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436E1BA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11FB01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jc w:val="center"/>
              <w:textAlignment w:val="baseline"/>
              <w:rPr>
                <w:rFonts w:ascii="Arial" w:eastAsia="等线"/>
                <w:sz w:val="22"/>
              </w:rPr>
            </w:pPr>
            <w:r>
              <w:rPr>
                <w:rFonts w:hint="eastAsia" w:ascii="Arial" w:eastAsia="等线" w:cs="Arial"/>
                <w:sz w:val="22"/>
                <w:lang w:val="en-US" w:eastAsia="zh-CN"/>
              </w:rPr>
              <w:t>运维部</w:t>
            </w:r>
          </w:p>
        </w:tc>
        <w:tc>
          <w:tcPr>
            <w:tcW w:w="0" w:type="auto"/>
            <w:noWrap w:val="0"/>
            <w:tcMar>
              <w:top w:w="60" w:type="dxa"/>
              <w:left w:w="120" w:type="dxa"/>
              <w:bottom w:w="30" w:type="dxa"/>
              <w:right w:w="120" w:type="dxa"/>
            </w:tcMar>
            <w:vAlign w:val="center"/>
          </w:tcPr>
          <w:p w14:paraId="4DEF144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数据库运维工程师</w:t>
            </w:r>
          </w:p>
        </w:tc>
        <w:tc>
          <w:tcPr>
            <w:tcW w:w="1020" w:type="dxa"/>
            <w:noWrap w:val="0"/>
            <w:tcMar>
              <w:top w:w="60" w:type="dxa"/>
              <w:left w:w="120" w:type="dxa"/>
              <w:bottom w:w="30" w:type="dxa"/>
              <w:right w:w="120" w:type="dxa"/>
            </w:tcMar>
            <w:vAlign w:val="center"/>
          </w:tcPr>
          <w:p w14:paraId="13933C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A6C13C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1CDF440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2AF13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5BFB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30F1C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51E3B0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noWrap w:val="0"/>
            <w:tcMar>
              <w:top w:w="60" w:type="dxa"/>
              <w:left w:w="120" w:type="dxa"/>
              <w:bottom w:w="30" w:type="dxa"/>
              <w:right w:w="120" w:type="dxa"/>
            </w:tcMar>
            <w:vAlign w:val="center"/>
          </w:tcPr>
          <w:p w14:paraId="38EF79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692D7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408518E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5903C9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D454A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440C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36DA30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71F957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noWrap w:val="0"/>
            <w:tcMar>
              <w:top w:w="60" w:type="dxa"/>
              <w:left w:w="120" w:type="dxa"/>
              <w:bottom w:w="30" w:type="dxa"/>
              <w:right w:w="120" w:type="dxa"/>
            </w:tcMar>
            <w:vAlign w:val="center"/>
          </w:tcPr>
          <w:p w14:paraId="5BEC12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4A4CB3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9B8AE1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E15C9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B6993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39DE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85CC13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2DAA804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0" w:type="auto"/>
            <w:vMerge w:val="restart"/>
            <w:noWrap w:val="0"/>
            <w:tcMar>
              <w:top w:w="60" w:type="dxa"/>
              <w:left w:w="120" w:type="dxa"/>
              <w:bottom w:w="30" w:type="dxa"/>
              <w:right w:w="120" w:type="dxa"/>
            </w:tcMar>
            <w:vAlign w:val="center"/>
          </w:tcPr>
          <w:p w14:paraId="1DFC4A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713BCE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1BA616B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41FC49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6634907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37D4F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6F336B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520770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7EEB13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7FD1E3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392E33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559A04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18E409E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20D1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20" w:type="dxa"/>
            <w:gridSpan w:val="3"/>
            <w:noWrap w:val="0"/>
            <w:tcMar>
              <w:top w:w="60" w:type="dxa"/>
              <w:left w:w="120" w:type="dxa"/>
              <w:bottom w:w="30" w:type="dxa"/>
              <w:right w:w="120" w:type="dxa"/>
            </w:tcMar>
            <w:vAlign w:val="center"/>
          </w:tcPr>
          <w:p w14:paraId="772BF1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6F300F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5CA3FC0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1F2D597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3399431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18038531">
      <w:pPr>
        <w:pStyle w:val="29"/>
        <w:keepNext w:val="0"/>
        <w:keepLines w:val="0"/>
        <w:pageBreakBefore w:val="0"/>
        <w:widowControl w:val="0"/>
        <w:kinsoku w:val="0"/>
        <w:wordWrap/>
        <w:overflowPunct/>
        <w:autoSpaceDE w:val="0"/>
        <w:autoSpaceDN w:val="0"/>
        <w:bidi w:val="0"/>
        <w:adjustRightInd w:val="0"/>
        <w:snapToGrid w:val="0"/>
        <w:textAlignment w:val="baseline"/>
      </w:pPr>
    </w:p>
    <w:p w14:paraId="05E7828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根据工作重点估算人力需求，并对现有人员的分析，进一步完成年度招聘和储备计划。人员招聘计划预计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会议电视运维工程师1人、数据库运维工程师2人、服务台专员1人及软件研发工程师2人。</w:t>
      </w:r>
    </w:p>
    <w:p w14:paraId="6F6E39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人员招聘计划的考核指标为招聘计划完成率，目标值为招聘计划完成率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w:t>
      </w:r>
      <w:r>
        <w:rPr>
          <w:rFonts w:hint="eastAsia"/>
          <w:lang w:val="en-US" w:eastAsia="zh-CN"/>
        </w:rPr>
        <w:t>考核频次为</w:t>
      </w:r>
      <w:r>
        <w:rPr>
          <w:rFonts w:hint="default"/>
          <w:lang w:val="en-US" w:eastAsia="zh-CN"/>
        </w:rPr>
        <w:t>每年度考核一次。</w:t>
      </w:r>
    </w:p>
    <w:p w14:paraId="45AC18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3" w:name="_Toc30280"/>
      <w:r>
        <w:rPr>
          <w:rFonts w:hint="eastAsia"/>
          <w:lang w:val="en-US" w:eastAsia="zh-CN"/>
        </w:rPr>
        <w:t>人员储备计划</w:t>
      </w:r>
      <w:bookmarkEnd w:id="13"/>
    </w:p>
    <w:p w14:paraId="3C93BC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w:t>
      </w:r>
      <w:r>
        <w:rPr>
          <w:rFonts w:hint="eastAsia"/>
          <w:lang w:val="en-US" w:eastAsia="zh-CN"/>
        </w:rPr>
        <w:t>5</w:t>
      </w:r>
      <w:r>
        <w:t>年</w:t>
      </w:r>
      <w:r>
        <w:rPr>
          <w:rFonts w:hint="eastAsia"/>
          <w:lang w:val="en-US" w:eastAsia="zh-CN"/>
        </w:rPr>
        <w:t>7月-2026年6月</w:t>
      </w:r>
      <w:r>
        <w:t>总储备计划14人，其中外部招聘6人、内部选聘8人。计划外部招聘6人，具体为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w:t>
      </w:r>
      <w:r>
        <w:rPr>
          <w:rFonts w:hint="eastAsia"/>
          <w:lang w:val="en-US" w:eastAsia="zh-CN"/>
        </w:rPr>
        <w:t>章节第1小节</w:t>
      </w:r>
      <w:r>
        <w:t>“人员招聘计划”）。</w:t>
      </w:r>
      <w:r>
        <w:rPr>
          <w:rFonts w:hint="eastAsia"/>
          <w:lang w:val="en-US" w:eastAsia="zh-CN"/>
        </w:rPr>
        <w:t>内部储备8人，如下表所示</w:t>
      </w:r>
    </w:p>
    <w:p w14:paraId="3909C900">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083"/>
        <w:gridCol w:w="1083"/>
        <w:gridCol w:w="2190"/>
        <w:gridCol w:w="1535"/>
        <w:gridCol w:w="1535"/>
        <w:gridCol w:w="1096"/>
      </w:tblGrid>
      <w:tr w14:paraId="6FA1DF0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08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0E711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08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39F9E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部门名称</w:t>
            </w:r>
          </w:p>
        </w:tc>
        <w:tc>
          <w:tcPr>
            <w:tcW w:w="219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8BF25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53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3E534D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计划储备人数</w:t>
            </w:r>
          </w:p>
        </w:tc>
        <w:tc>
          <w:tcPr>
            <w:tcW w:w="153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B5C3E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计划储备时间</w:t>
            </w:r>
          </w:p>
        </w:tc>
        <w:tc>
          <w:tcPr>
            <w:tcW w:w="109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71B29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储备方式</w:t>
            </w:r>
          </w:p>
        </w:tc>
      </w:tr>
      <w:tr w14:paraId="7E6A684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B36110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08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28A23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CF793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项目经理</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21A679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E6ECF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w:t>
            </w:r>
            <w:r>
              <w:rPr>
                <w:rFonts w:ascii="Arial" w:hAnsi="Arial" w:eastAsia="等线" w:cs="Arial"/>
                <w:sz w:val="22"/>
              </w:rPr>
              <w:t>7月</w:t>
            </w:r>
          </w:p>
        </w:tc>
        <w:tc>
          <w:tcPr>
            <w:tcW w:w="10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879D1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内部选聘</w:t>
            </w:r>
          </w:p>
        </w:tc>
      </w:tr>
      <w:tr w14:paraId="2BF0E9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290C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操作岗</w:t>
            </w:r>
          </w:p>
        </w:tc>
        <w:tc>
          <w:tcPr>
            <w:tcW w:w="108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0022E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51C9BE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ERP系统运维工程师</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CD2B9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B1C76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w:t>
            </w:r>
            <w:r>
              <w:rPr>
                <w:rFonts w:ascii="Arial" w:hAnsi="Arial" w:eastAsia="等线" w:cs="Arial"/>
                <w:sz w:val="22"/>
              </w:rPr>
              <w:t>9月</w:t>
            </w:r>
          </w:p>
        </w:tc>
        <w:tc>
          <w:tcPr>
            <w:tcW w:w="10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DE349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内部选聘</w:t>
            </w:r>
          </w:p>
        </w:tc>
      </w:tr>
      <w:tr w14:paraId="4B581FE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17CBFFB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83"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64F1840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0DE59C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运行监控运维工程师</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8A22F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FD23B8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w:t>
            </w:r>
            <w:r>
              <w:rPr>
                <w:rFonts w:ascii="Arial" w:hAnsi="Arial" w:eastAsia="等线" w:cs="Arial"/>
                <w:sz w:val="22"/>
              </w:rPr>
              <w:t>10月</w:t>
            </w:r>
          </w:p>
        </w:tc>
        <w:tc>
          <w:tcPr>
            <w:tcW w:w="1095"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027FF1E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内部选聘</w:t>
            </w:r>
          </w:p>
        </w:tc>
      </w:tr>
      <w:tr w14:paraId="7D9B990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295E7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操作岗</w:t>
            </w:r>
          </w:p>
        </w:tc>
        <w:tc>
          <w:tcPr>
            <w:tcW w:w="108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BC445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B715E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数据库运维工程师</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5778E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53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915C2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w:t>
            </w:r>
            <w:r>
              <w:rPr>
                <w:rFonts w:ascii="Arial" w:hAnsi="Arial" w:eastAsia="等线" w:cs="Arial"/>
                <w:sz w:val="22"/>
              </w:rPr>
              <w:t>12月</w:t>
            </w:r>
          </w:p>
        </w:tc>
        <w:tc>
          <w:tcPr>
            <w:tcW w:w="10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44DB61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内部选聘</w:t>
            </w:r>
          </w:p>
        </w:tc>
      </w:tr>
      <w:tr w14:paraId="0485CCC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29E349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83"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0B4A91B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2F696E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应急通信运维工程师</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811374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6F3C03A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1月</w:t>
            </w:r>
          </w:p>
        </w:tc>
        <w:tc>
          <w:tcPr>
            <w:tcW w:w="1095"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38CC4C0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内部选聘</w:t>
            </w:r>
          </w:p>
        </w:tc>
      </w:tr>
      <w:tr w14:paraId="57280F6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74A9566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83"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69A2919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48F63E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传输设备运维工程师</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08C3F43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67E278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3月</w:t>
            </w:r>
          </w:p>
        </w:tc>
        <w:tc>
          <w:tcPr>
            <w:tcW w:w="1095"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38ABF1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内部选聘</w:t>
            </w:r>
          </w:p>
        </w:tc>
      </w:tr>
      <w:tr w14:paraId="712716A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83"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14DF77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ascii="Arial" w:hAnsi="Arial" w:eastAsia="等线" w:cs="Arial"/>
                <w:sz w:val="22"/>
              </w:rPr>
              <w:t>技术岗</w:t>
            </w:r>
          </w:p>
        </w:tc>
        <w:tc>
          <w:tcPr>
            <w:tcW w:w="1083"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7BF3F2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190"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27AAC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项目经理</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B4EE1F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35"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BC2C6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6月</w:t>
            </w:r>
          </w:p>
        </w:tc>
        <w:tc>
          <w:tcPr>
            <w:tcW w:w="1095"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20F1341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内部选聘</w:t>
            </w:r>
          </w:p>
        </w:tc>
      </w:tr>
      <w:tr w14:paraId="262BFB1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2190" w:type="dxa"/>
            <w:gridSpan w:val="3"/>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D84B2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小计</w:t>
            </w:r>
          </w:p>
        </w:tc>
        <w:tc>
          <w:tcPr>
            <w:tcW w:w="153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FB57D8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8</w:t>
            </w:r>
          </w:p>
        </w:tc>
        <w:tc>
          <w:tcPr>
            <w:tcW w:w="153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8B2AD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09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F3B62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645A574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w:t>
      </w:r>
    </w:p>
    <w:p w14:paraId="3751A98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4" w:name="_Toc31976"/>
      <w:r>
        <w:rPr>
          <w:rFonts w:hint="eastAsia"/>
          <w:lang w:val="en-US" w:eastAsia="zh-CN"/>
        </w:rPr>
        <w:t>人员培训计划</w:t>
      </w:r>
      <w:bookmarkEnd w:id="14"/>
    </w:p>
    <w:p w14:paraId="07EBAA0A">
      <w:pPr>
        <w:pStyle w:val="29"/>
        <w:keepNext w:val="0"/>
        <w:keepLines w:val="0"/>
        <w:pageBreakBefore w:val="0"/>
        <w:widowControl w:val="0"/>
        <w:kinsoku w:val="0"/>
        <w:wordWrap/>
        <w:overflowPunct/>
        <w:autoSpaceDE w:val="0"/>
        <w:autoSpaceDN w:val="0"/>
        <w:bidi w:val="0"/>
        <w:adjustRightInd w:val="0"/>
        <w:snapToGrid w:val="0"/>
        <w:textAlignment w:val="baseline"/>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723173D6">
      <w:pPr>
        <w:pStyle w:val="29"/>
        <w:keepNext w:val="0"/>
        <w:keepLines w:val="0"/>
        <w:pageBreakBefore w:val="0"/>
        <w:widowControl w:val="0"/>
        <w:kinsoku w:val="0"/>
        <w:wordWrap/>
        <w:overflowPunct/>
        <w:autoSpaceDE w:val="0"/>
        <w:autoSpaceDN w:val="0"/>
        <w:bidi w:val="0"/>
        <w:adjustRightInd w:val="0"/>
        <w:snapToGrid w:val="0"/>
        <w:textAlignment w:val="baseline"/>
      </w:pPr>
      <w:r>
        <w:t>2025年</w:t>
      </w:r>
      <w:r>
        <w:rPr>
          <w:rFonts w:hint="eastAsia"/>
          <w:lang w:val="en-US" w:eastAsia="zh-CN"/>
        </w:rPr>
        <w:t>7月-2026年6月</w:t>
      </w:r>
      <w:r>
        <w:t>培训投入预算</w:t>
      </w:r>
      <w:r>
        <w:rPr>
          <w:rFonts w:hint="eastAsia"/>
          <w:lang w:val="en-US" w:eastAsia="zh-CN"/>
        </w:rPr>
        <w:t>1</w:t>
      </w:r>
      <w:r>
        <w:t>万元。</w:t>
      </w:r>
    </w:p>
    <w:p w14:paraId="494825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公司</w:t>
      </w:r>
      <w:r>
        <w:rPr>
          <w:rFonts w:hint="eastAsia"/>
          <w:lang w:eastAsia="zh-CN"/>
        </w:rPr>
        <w:t>人力资源部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643C5163">
      <w:pPr>
        <w:keepNext w:val="0"/>
        <w:keepLines w:val="0"/>
        <w:pageBreakBefore w:val="0"/>
        <w:widowControl w:val="0"/>
        <w:kinsoku w:val="0"/>
        <w:wordWrap/>
        <w:overflowPunct/>
        <w:autoSpaceDE w:val="0"/>
        <w:autoSpaceDN w:val="0"/>
        <w:bidi w:val="0"/>
        <w:adjustRightInd w:val="0"/>
        <w:snapToGrid w:val="0"/>
        <w:spacing w:line="25" w:lineRule="auto"/>
        <w:textAlignment w:val="baseline"/>
        <w:rPr>
          <w:rFonts w:ascii="Arial"/>
          <w:sz w:val="2"/>
        </w:rPr>
      </w:pPr>
    </w:p>
    <w:p w14:paraId="37C29D7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550CF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5858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D6A15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B2308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3464DA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6904EA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399617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0CA1D9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2A89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392D41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9662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37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267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F4D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7C3B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D0E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BE9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979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834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424D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FDB7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F9A7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AC7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AA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6F3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9D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097B4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D96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46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D4E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黑麋峰抽水蓄能电站调度通信系统介绍</w:t>
            </w:r>
          </w:p>
        </w:tc>
        <w:tc>
          <w:tcPr>
            <w:tcW w:w="1209" w:type="dxa"/>
            <w:shd w:val="clear" w:color="auto" w:fill="auto"/>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2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CAB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F38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E3D9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61227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A0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8D0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8E7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9F8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3BC7A9EC">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25631"/>
      <w:r>
        <w:rPr>
          <w:rFonts w:hint="eastAsia"/>
          <w:lang w:val="en-US" w:eastAsia="zh-CN"/>
        </w:rPr>
        <w:t>人员备份计划</w:t>
      </w:r>
      <w:bookmarkEnd w:id="15"/>
    </w:p>
    <w:p w14:paraId="042CD37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cs="宋体"/>
          <w:snapToGrid w:val="0"/>
          <w:color w:val="000000"/>
          <w:kern w:val="0"/>
          <w:sz w:val="24"/>
          <w:szCs w:val="24"/>
          <w:lang w:val="en-US" w:eastAsia="zh-CN" w:bidi="ar-SA"/>
        </w:rPr>
      </w:pPr>
      <w:r>
        <w:rPr>
          <w:rFonts w:hint="eastAsia"/>
          <w:lang w:val="en-US" w:eastAsia="zh-CN"/>
        </w:rPr>
        <w:t>人员备份的考核指标是备份计划完成率，计算方式为</w:t>
      </w:r>
      <w:r>
        <w:rPr>
          <w:rFonts w:hint="eastAsia" w:cs="宋体"/>
          <w:snapToGrid w:val="0"/>
          <w:color w:val="000000"/>
          <w:kern w:val="0"/>
          <w:sz w:val="24"/>
          <w:szCs w:val="24"/>
          <w:lang w:val="en-US" w:eastAsia="zh-CN" w:bidi="ar-SA"/>
        </w:rPr>
        <w:t>实际备份人数/计划备份人数*100%，目标值为≥90%，考核周期为年度考核。以下是人员备份计划</w:t>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832"/>
        <w:gridCol w:w="1361"/>
        <w:gridCol w:w="1055"/>
        <w:gridCol w:w="1679"/>
        <w:gridCol w:w="1723"/>
        <w:gridCol w:w="1055"/>
        <w:gridCol w:w="817"/>
      </w:tblGrid>
      <w:tr w14:paraId="57DE3AC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83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987F1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36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45F6E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5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28940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互备人数</w:t>
            </w:r>
          </w:p>
        </w:tc>
        <w:tc>
          <w:tcPr>
            <w:tcW w:w="16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BADC9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岗位角色（A）</w:t>
            </w:r>
          </w:p>
        </w:tc>
        <w:tc>
          <w:tcPr>
            <w:tcW w:w="172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90DD7D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岗位角色（B）</w:t>
            </w:r>
          </w:p>
        </w:tc>
        <w:tc>
          <w:tcPr>
            <w:tcW w:w="105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BB2AC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储备方式</w:t>
            </w:r>
          </w:p>
        </w:tc>
        <w:tc>
          <w:tcPr>
            <w:tcW w:w="81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BFB4D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b/>
                <w:sz w:val="22"/>
                <w:lang w:val="en-US" w:eastAsia="zh-CN"/>
              </w:rPr>
            </w:pPr>
            <w:r>
              <w:rPr>
                <w:rFonts w:hint="eastAsia" w:ascii="Arial" w:eastAsia="等线"/>
                <w:b/>
                <w:sz w:val="22"/>
                <w:lang w:val="en-US" w:eastAsia="zh-CN"/>
              </w:rPr>
              <w:t>计划时间</w:t>
            </w:r>
          </w:p>
        </w:tc>
      </w:tr>
      <w:tr w14:paraId="65ACE8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591A0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管理岗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69436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59A8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F27C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3189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055" w:type="dxa"/>
            <w:vMerge w:val="restart"/>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EB57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岗位互备</w:t>
            </w:r>
          </w:p>
        </w:tc>
        <w:tc>
          <w:tcPr>
            <w:tcW w:w="81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2C2DF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sz w:val="22"/>
                <w:lang w:val="en-US" w:eastAsia="zh-CN"/>
              </w:rPr>
              <w:t>2026年3月</w:t>
            </w:r>
          </w:p>
        </w:tc>
      </w:tr>
      <w:tr w14:paraId="579FDDB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663348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B4086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研发部经理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1CE2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CC6F1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研发部经理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92FA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3EA9B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B4D432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2026年3月</w:t>
            </w:r>
          </w:p>
        </w:tc>
      </w:tr>
      <w:tr w14:paraId="0EE096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5422E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29B92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91DA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3C2D2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应急通信运维工程师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06C83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传输设备运维工程师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CBD3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25EDD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2025年7月</w:t>
            </w:r>
          </w:p>
        </w:tc>
      </w:tr>
      <w:tr w14:paraId="2587C0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9F518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925A0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6C66C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AC68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FB5CFC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会议电视运维工程师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F2B5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84DBF1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2A97954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6D1E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19E75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CCF6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4</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BBD2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软件研发工程师（中级）</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EF1F4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eastAsia="zh-CN"/>
              </w:rPr>
              <w:t>软件研发工程师</w:t>
            </w:r>
            <w:r>
              <w:rPr>
                <w:rFonts w:ascii="Arial" w:hAnsi="Arial" w:eastAsia="等线" w:cs="Arial"/>
                <w:sz w:val="22"/>
              </w:rPr>
              <w:t>（初级）</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2B63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D3DB00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3A8887E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361" w:type="dxa"/>
            <w:gridSpan w:val="2"/>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495FD1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合计</w:t>
            </w:r>
          </w:p>
        </w:tc>
        <w:tc>
          <w:tcPr>
            <w:tcW w:w="105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2F540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default" w:ascii="Arial" w:eastAsia="等线"/>
                <w:b/>
                <w:sz w:val="22"/>
                <w:lang w:val="en-US" w:eastAsia="zh-CN"/>
              </w:rPr>
            </w:pPr>
            <w:r>
              <w:rPr>
                <w:rFonts w:hint="eastAsia" w:ascii="Arial" w:eastAsia="等线"/>
                <w:b/>
                <w:sz w:val="22"/>
                <w:lang w:val="en-US" w:eastAsia="zh-CN"/>
              </w:rPr>
              <w:t>10</w:t>
            </w:r>
          </w:p>
        </w:tc>
        <w:tc>
          <w:tcPr>
            <w:tcW w:w="16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B3E70B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72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AC90C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05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DDFA4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81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8704FE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p>
        </w:tc>
      </w:tr>
    </w:tbl>
    <w:p w14:paraId="04AC049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6" w:name="_Toc31526"/>
      <w:r>
        <w:rPr>
          <w:rFonts w:hint="eastAsia"/>
          <w:lang w:val="en-US" w:eastAsia="zh-CN"/>
        </w:rPr>
        <w:t>人员绩效考核计划</w:t>
      </w:r>
      <w:bookmarkEnd w:id="16"/>
    </w:p>
    <w:p w14:paraId="7BFA362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14:paraId="762D4F7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7" w:name="_Toc22076"/>
      <w:r>
        <w:rPr>
          <w:rFonts w:hint="eastAsia"/>
          <w:lang w:val="en-US" w:eastAsia="zh-CN"/>
        </w:rPr>
        <w:t>人员能力评价计划</w:t>
      </w:r>
      <w:bookmarkEnd w:id="17"/>
    </w:p>
    <w:p w14:paraId="6E817699">
      <w:pPr>
        <w:pStyle w:val="29"/>
        <w:keepNext w:val="0"/>
        <w:keepLines w:val="0"/>
        <w:pageBreakBefore w:val="0"/>
        <w:widowControl w:val="0"/>
        <w:kinsoku w:val="0"/>
        <w:wordWrap/>
        <w:overflowPunct/>
        <w:autoSpaceDE w:val="0"/>
        <w:autoSpaceDN w:val="0"/>
        <w:bidi w:val="0"/>
        <w:adjustRightInd w:val="0"/>
        <w:snapToGrid w:val="0"/>
        <w:textAlignment w:val="baseline"/>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1FEEB7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8" w:name="_Toc4581"/>
      <w:bookmarkStart w:id="19" w:name="_Toc17424"/>
      <w:r>
        <w:rPr>
          <w:rFonts w:hint="eastAsia"/>
          <w:lang w:val="en-US" w:eastAsia="zh-CN"/>
        </w:rPr>
        <w:t>资源</w:t>
      </w:r>
      <w:bookmarkEnd w:id="18"/>
    </w:p>
    <w:p w14:paraId="5ED102FB">
      <w:pPr>
        <w:pStyle w:val="29"/>
        <w:bidi w:val="0"/>
      </w:pPr>
      <w:r>
        <w:t>总结202</w:t>
      </w:r>
      <w:r>
        <w:rPr>
          <w:rFonts w:hint="eastAsia"/>
          <w:lang w:val="en-US" w:eastAsia="zh-CN"/>
        </w:rPr>
        <w:t>5</w:t>
      </w:r>
      <w:r>
        <w:t>年</w:t>
      </w:r>
      <w:r>
        <w:rPr>
          <w:rFonts w:hint="eastAsia"/>
          <w:lang w:val="en-US" w:eastAsia="zh-CN"/>
        </w:rPr>
        <w:t>1-6月</w:t>
      </w:r>
      <w:r>
        <w:t>运维服务工作中资源情况，发现我们还存在不少可以优化的地</w:t>
      </w:r>
    </w:p>
    <w:p w14:paraId="541DE64D">
      <w:pPr>
        <w:pStyle w:val="29"/>
        <w:bidi w:val="0"/>
        <w:rPr>
          <w:rFonts w:hint="eastAsia"/>
          <w:lang w:eastAsia="zh-CN"/>
        </w:rPr>
      </w:pPr>
      <w:r>
        <w:t>方，比如计划运维需要更详细</w:t>
      </w:r>
      <w:r>
        <w:rPr>
          <w:rFonts w:hint="eastAsia"/>
          <w:lang w:val="en-US" w:eastAsia="zh-CN"/>
        </w:rPr>
        <w:t>禅道项目管理</w:t>
      </w:r>
      <w:r>
        <w:t>系统需要</w:t>
      </w:r>
      <w:r>
        <w:rPr>
          <w:rFonts w:hint="eastAsia"/>
          <w:lang w:val="en-US" w:eastAsia="zh-CN"/>
        </w:rPr>
        <w:t>在2025年7月-2026年6月进行</w:t>
      </w:r>
      <w:r>
        <w:t>开发提升等</w:t>
      </w:r>
      <w:r>
        <w:rPr>
          <w:rFonts w:hint="eastAsia"/>
          <w:lang w:eastAsia="zh-CN"/>
        </w:rPr>
        <w:t>。</w:t>
      </w:r>
    </w:p>
    <w:p w14:paraId="00B44D77">
      <w:pPr>
        <w:pStyle w:val="31"/>
        <w:keepNext w:val="0"/>
        <w:keepLines w:val="0"/>
        <w:pageBreakBefore w:val="0"/>
        <w:widowControl w:val="0"/>
        <w:kinsoku w:val="0"/>
        <w:wordWrap/>
        <w:overflowPunct/>
        <w:autoSpaceDE w:val="0"/>
        <w:autoSpaceDN w:val="0"/>
        <w:bidi w:val="0"/>
        <w:adjustRightInd w:val="0"/>
        <w:snapToGrid w:val="0"/>
        <w:textAlignment w:val="baseline"/>
      </w:pPr>
      <w:bookmarkStart w:id="20" w:name="bookmark66"/>
      <w:bookmarkEnd w:id="20"/>
      <w:bookmarkStart w:id="21" w:name="bookmark16"/>
      <w:bookmarkEnd w:id="21"/>
      <w:bookmarkStart w:id="22" w:name="bookmark17"/>
      <w:bookmarkEnd w:id="22"/>
      <w:bookmarkStart w:id="23" w:name="_Toc12253"/>
      <w:r>
        <w:t>运行维护工具</w:t>
      </w:r>
      <w:bookmarkEnd w:id="23"/>
    </w:p>
    <w:p w14:paraId="7F77D2A1">
      <w:pPr>
        <w:pStyle w:val="29"/>
        <w:keepNext w:val="0"/>
        <w:keepLines w:val="0"/>
        <w:pageBreakBefore w:val="0"/>
        <w:widowControl w:val="0"/>
        <w:kinsoku w:val="0"/>
        <w:wordWrap/>
        <w:overflowPunct/>
        <w:autoSpaceDE w:val="0"/>
        <w:autoSpaceDN w:val="0"/>
        <w:bidi w:val="0"/>
        <w:adjustRightInd w:val="0"/>
        <w:snapToGrid w:val="0"/>
        <w:textAlignment w:val="baseline"/>
      </w:pPr>
      <w:r>
        <w:t>运维工具在2025 年的应用需要加强以下几个方面的工作：</w:t>
      </w:r>
    </w:p>
    <w:p w14:paraId="11DE38B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加强流程管理工具的改进工作：对于驻场服务项目，本年度要重点收集使用意见，对工具进行改进，提高工具的实用性；</w:t>
      </w:r>
    </w:p>
    <w:p w14:paraId="7D94288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继续加强自动化监控管理工具的应用：部分有条件的项目，已经上线自动化监控管理工具，需要对运维部的主要运维工程师加强自动化监控管理工具的培训，提升操作能力。</w:t>
      </w:r>
    </w:p>
    <w:p w14:paraId="44B3EA3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rPr>
          <w:rFonts w:hint="eastAsia"/>
          <w:lang w:val="en-US" w:eastAsia="zh-CN"/>
        </w:rPr>
        <w:t>运维工具至少自评估一次。</w:t>
      </w:r>
    </w:p>
    <w:p w14:paraId="353929F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31758"/>
      <w:r>
        <w:rPr>
          <w:rFonts w:hint="eastAsia"/>
          <w:lang w:val="en-US" w:eastAsia="zh-CN"/>
        </w:rPr>
        <w:t>服务台</w:t>
      </w:r>
      <w:bookmarkEnd w:id="24"/>
    </w:p>
    <w:p w14:paraId="0D4DD1AA">
      <w:pPr>
        <w:keepNext w:val="0"/>
        <w:keepLines w:val="0"/>
        <w:pageBreakBefore w:val="0"/>
        <w:widowControl w:val="0"/>
        <w:kinsoku w:val="0"/>
        <w:wordWrap/>
        <w:overflowPunct/>
        <w:autoSpaceDE w:val="0"/>
        <w:autoSpaceDN w:val="0"/>
        <w:bidi w:val="0"/>
        <w:adjustRightInd w:val="0"/>
        <w:snapToGrid w:val="0"/>
        <w:spacing w:line="219" w:lineRule="auto"/>
        <w:ind w:left="443"/>
        <w:textAlignment w:val="baseline"/>
        <w:rPr>
          <w:rFonts w:hint="eastAsia" w:ascii="宋体" w:hAnsi="宋体" w:eastAsia="宋体" w:cs="宋体"/>
          <w:sz w:val="24"/>
          <w:szCs w:val="24"/>
          <w:lang w:eastAsia="zh-CN"/>
        </w:rPr>
      </w:pPr>
      <w:r>
        <w:rPr>
          <w:rFonts w:ascii="宋体" w:hAnsi="宋体" w:eastAsia="宋体" w:cs="宋体"/>
          <w:spacing w:val="-1"/>
          <w:sz w:val="24"/>
          <w:szCs w:val="24"/>
        </w:rPr>
        <w:t>针对客户投诉，2025年</w:t>
      </w:r>
      <w:r>
        <w:rPr>
          <w:rFonts w:hint="eastAsia" w:ascii="宋体" w:hAnsi="宋体" w:cs="宋体"/>
          <w:spacing w:val="-1"/>
          <w:sz w:val="24"/>
          <w:szCs w:val="24"/>
          <w:lang w:val="en-US" w:eastAsia="zh-CN"/>
        </w:rPr>
        <w:t>7月-2026年6月</w:t>
      </w:r>
      <w:r>
        <w:rPr>
          <w:rFonts w:ascii="宋体" w:hAnsi="宋体" w:eastAsia="宋体" w:cs="宋体"/>
          <w:spacing w:val="-1"/>
          <w:sz w:val="24"/>
          <w:szCs w:val="24"/>
        </w:rPr>
        <w:t>规划做出更好的要求</w:t>
      </w:r>
      <w:r>
        <w:rPr>
          <w:rFonts w:hint="eastAsia" w:ascii="宋体" w:hAnsi="宋体" w:eastAsia="宋体" w:cs="宋体"/>
          <w:spacing w:val="-1"/>
          <w:sz w:val="24"/>
          <w:szCs w:val="24"/>
          <w:lang w:eastAsia="zh-CN"/>
        </w:rPr>
        <w:t>：</w:t>
      </w:r>
    </w:p>
    <w:p w14:paraId="5560E0CC">
      <w:pPr>
        <w:keepNext w:val="0"/>
        <w:keepLines w:val="0"/>
        <w:pageBreakBefore w:val="0"/>
        <w:widowControl w:val="0"/>
        <w:numPr>
          <w:ilvl w:val="0"/>
          <w:numId w:val="5"/>
        </w:numPr>
        <w:kinsoku w:val="0"/>
        <w:wordWrap/>
        <w:overflowPunct/>
        <w:autoSpaceDE w:val="0"/>
        <w:autoSpaceDN w:val="0"/>
        <w:bidi w:val="0"/>
        <w:adjustRightInd w:val="0"/>
        <w:snapToGrid w:val="0"/>
        <w:spacing w:before="184" w:line="219"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优化客户满意度调查，做好对客户的服务，确保客户满意度≥95分。</w:t>
      </w:r>
    </w:p>
    <w:p w14:paraId="29DDAC28">
      <w:pPr>
        <w:keepNext w:val="0"/>
        <w:keepLines w:val="0"/>
        <w:pageBreakBefore w:val="0"/>
        <w:widowControl w:val="0"/>
        <w:numPr>
          <w:ilvl w:val="0"/>
          <w:numId w:val="5"/>
        </w:numPr>
        <w:kinsoku w:val="0"/>
        <w:wordWrap/>
        <w:overflowPunct/>
        <w:autoSpaceDE w:val="0"/>
        <w:autoSpaceDN w:val="0"/>
        <w:bidi w:val="0"/>
        <w:adjustRightInd w:val="0"/>
        <w:snapToGrid w:val="0"/>
        <w:spacing w:before="183" w:line="365" w:lineRule="auto"/>
        <w:ind w:left="425" w:leftChars="0" w:right="15" w:hanging="425" w:firstLineChars="0"/>
        <w:textAlignment w:val="baseline"/>
        <w:rPr>
          <w:rFonts w:ascii="宋体" w:hAnsi="宋体" w:eastAsia="宋体" w:cs="宋体"/>
          <w:sz w:val="24"/>
          <w:szCs w:val="24"/>
        </w:rPr>
      </w:pPr>
      <w:r>
        <w:rPr>
          <w:rFonts w:ascii="宋体" w:hAnsi="宋体" w:eastAsia="宋体" w:cs="宋体"/>
          <w:spacing w:val="-1"/>
          <w:sz w:val="24"/>
          <w:szCs w:val="24"/>
        </w:rPr>
        <w:t>对服务台日常工作记录的完整性，用户评价记</w:t>
      </w:r>
      <w:r>
        <w:rPr>
          <w:rFonts w:ascii="宋体" w:hAnsi="宋体" w:eastAsia="宋体" w:cs="宋体"/>
          <w:spacing w:val="-2"/>
          <w:sz w:val="24"/>
          <w:szCs w:val="24"/>
        </w:rPr>
        <w:t>录的完整性等指标进行评价改</w:t>
      </w:r>
      <w:r>
        <w:rPr>
          <w:rFonts w:ascii="宋体" w:hAnsi="宋体" w:eastAsia="宋体" w:cs="宋体"/>
          <w:spacing w:val="-4"/>
          <w:sz w:val="24"/>
          <w:szCs w:val="24"/>
        </w:rPr>
        <w:t>进。</w:t>
      </w:r>
    </w:p>
    <w:p w14:paraId="48C40D19">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针对客户投诉，</w:t>
      </w: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ascii="宋体" w:hAnsi="宋体" w:eastAsia="宋体" w:cs="宋体"/>
          <w:spacing w:val="2"/>
          <w:sz w:val="24"/>
          <w:szCs w:val="24"/>
        </w:rPr>
        <w:t>规划做出更好的</w:t>
      </w:r>
      <w:r>
        <w:rPr>
          <w:rFonts w:ascii="宋体" w:hAnsi="宋体" w:eastAsia="宋体" w:cs="宋体"/>
          <w:spacing w:val="1"/>
          <w:sz w:val="24"/>
          <w:szCs w:val="24"/>
        </w:rPr>
        <w:t>要求，要求每个客户投诉都要进行</w:t>
      </w:r>
      <w:r>
        <w:rPr>
          <w:rFonts w:ascii="宋体" w:hAnsi="宋体" w:eastAsia="宋体" w:cs="宋体"/>
          <w:spacing w:val="-4"/>
          <w:sz w:val="24"/>
          <w:szCs w:val="24"/>
        </w:rPr>
        <w:t>当天有效处理，投诉24小时内有效处理率100%。</w:t>
      </w:r>
    </w:p>
    <w:p w14:paraId="12B89B9D">
      <w:pPr>
        <w:keepNext w:val="0"/>
        <w:keepLines w:val="0"/>
        <w:pageBreakBefore w:val="0"/>
        <w:widowControl w:val="0"/>
        <w:numPr>
          <w:ilvl w:val="0"/>
          <w:numId w:val="5"/>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ascii="宋体" w:hAnsi="宋体" w:eastAsia="宋体" w:cs="宋体"/>
          <w:spacing w:val="2"/>
          <w:sz w:val="24"/>
          <w:szCs w:val="24"/>
        </w:rPr>
        <w:t>成功回访事件数占事件总数的比例，</w:t>
      </w: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ascii="宋体" w:hAnsi="宋体" w:eastAsia="宋体" w:cs="宋体"/>
          <w:spacing w:val="2"/>
          <w:sz w:val="24"/>
          <w:szCs w:val="24"/>
        </w:rPr>
        <w:t>规</w:t>
      </w:r>
      <w:r>
        <w:rPr>
          <w:rFonts w:ascii="宋体" w:hAnsi="宋体" w:eastAsia="宋体" w:cs="宋体"/>
          <w:spacing w:val="1"/>
          <w:sz w:val="24"/>
          <w:szCs w:val="24"/>
        </w:rPr>
        <w:t>划成功回访事件覆盖率目标</w:t>
      </w:r>
      <w:r>
        <w:rPr>
          <w:rFonts w:ascii="宋体" w:hAnsi="宋体" w:eastAsia="宋体" w:cs="宋体"/>
          <w:spacing w:val="-3"/>
          <w:sz w:val="24"/>
          <w:szCs w:val="24"/>
        </w:rPr>
        <w:t>应达到</w:t>
      </w:r>
      <w:r>
        <w:rPr>
          <w:rFonts w:ascii="宋体" w:hAnsi="宋体" w:eastAsia="宋体" w:cs="宋体"/>
          <w:spacing w:val="-49"/>
          <w:sz w:val="24"/>
          <w:szCs w:val="24"/>
        </w:rPr>
        <w:t xml:space="preserve"> </w:t>
      </w:r>
      <w:r>
        <w:rPr>
          <w:rFonts w:hint="eastAsia" w:ascii="宋体" w:hAnsi="宋体" w:cs="宋体"/>
          <w:spacing w:val="-49"/>
          <w:sz w:val="24"/>
          <w:szCs w:val="24"/>
          <w:lang w:val="en-US" w:eastAsia="zh-CN"/>
        </w:rPr>
        <w:t>95</w:t>
      </w:r>
      <w:r>
        <w:rPr>
          <w:rFonts w:ascii="宋体" w:hAnsi="宋体" w:eastAsia="宋体" w:cs="宋体"/>
          <w:spacing w:val="-3"/>
          <w:sz w:val="24"/>
          <w:szCs w:val="24"/>
        </w:rPr>
        <w:t>%</w:t>
      </w:r>
      <w:r>
        <w:rPr>
          <w:rFonts w:hint="eastAsia" w:ascii="宋体" w:hAnsi="宋体" w:cs="宋体"/>
          <w:spacing w:val="-3"/>
          <w:sz w:val="24"/>
          <w:szCs w:val="24"/>
          <w:lang w:eastAsia="zh-CN"/>
        </w:rPr>
        <w:t>，</w:t>
      </w:r>
      <w:r>
        <w:rPr>
          <w:rFonts w:hint="eastAsia" w:ascii="宋体" w:hAnsi="宋体" w:cs="宋体"/>
          <w:spacing w:val="-3"/>
          <w:sz w:val="24"/>
          <w:szCs w:val="24"/>
          <w:lang w:val="en-US" w:eastAsia="zh-CN"/>
        </w:rPr>
        <w:t>每半年考核一次</w:t>
      </w:r>
      <w:r>
        <w:rPr>
          <w:rFonts w:ascii="宋体" w:hAnsi="宋体" w:eastAsia="宋体" w:cs="宋体"/>
          <w:spacing w:val="-3"/>
          <w:sz w:val="24"/>
          <w:szCs w:val="24"/>
        </w:rPr>
        <w:t>。</w:t>
      </w:r>
    </w:p>
    <w:p w14:paraId="719F626F">
      <w:pPr>
        <w:keepNext w:val="0"/>
        <w:keepLines w:val="0"/>
        <w:pageBreakBefore w:val="0"/>
        <w:widowControl w:val="0"/>
        <w:numPr>
          <w:ilvl w:val="0"/>
          <w:numId w:val="5"/>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服务台成功派单数占服务台派单总数的比例，要求不低于95%，每季度考核一次。</w:t>
      </w:r>
    </w:p>
    <w:p w14:paraId="70BA82B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6745"/>
      <w:r>
        <w:rPr>
          <w:rFonts w:hint="eastAsia"/>
          <w:lang w:val="en-US" w:eastAsia="zh-CN"/>
        </w:rPr>
        <w:t>备件库</w:t>
      </w:r>
      <w:bookmarkEnd w:id="25"/>
    </w:p>
    <w:p w14:paraId="42CE7C7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3C8BE8F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6" w:name="_Toc5970"/>
      <w:r>
        <w:rPr>
          <w:rFonts w:hint="eastAsia"/>
          <w:lang w:val="en-US" w:eastAsia="zh-CN"/>
        </w:rPr>
        <w:t>服务知识</w:t>
      </w:r>
      <w:bookmarkEnd w:id="26"/>
    </w:p>
    <w:p w14:paraId="3F2068FE">
      <w:pPr>
        <w:pStyle w:val="29"/>
        <w:keepNext w:val="0"/>
        <w:keepLines w:val="0"/>
        <w:pageBreakBefore w:val="0"/>
        <w:widowControl w:val="0"/>
        <w:kinsoku w:val="0"/>
        <w:wordWrap/>
        <w:overflowPunct/>
        <w:autoSpaceDE w:val="0"/>
        <w:autoSpaceDN w:val="0"/>
        <w:bidi w:val="0"/>
        <w:adjustRightInd w:val="0"/>
        <w:snapToGrid w:val="0"/>
        <w:textAlignment w:val="baseline"/>
      </w:pPr>
      <w:r>
        <w:t>202</w:t>
      </w:r>
      <w:r>
        <w:rPr>
          <w:rFonts w:hint="eastAsia"/>
          <w:lang w:val="en-US" w:eastAsia="zh-CN"/>
        </w:rPr>
        <w:t>5</w:t>
      </w:r>
      <w:r>
        <w:t>年</w:t>
      </w:r>
      <w:r>
        <w:rPr>
          <w:rFonts w:hint="eastAsia"/>
          <w:lang w:val="en-US" w:eastAsia="zh-CN"/>
        </w:rPr>
        <w:t>1-6月</w:t>
      </w:r>
      <w:r>
        <w:t>在服务知识维护和利用方面有了较大的提高，也为运维工作的效率、质量的提高起到很好的支撑作用，但在服务知识入库审核、服务知识的覆盖面等方面还存在不足。</w:t>
      </w: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规划在服务知识覆盖面、知识入库审核等多个方面进行优化完善。</w:t>
      </w:r>
    </w:p>
    <w:p w14:paraId="09A37DD2">
      <w:pPr>
        <w:pStyle w:val="29"/>
        <w:keepNext w:val="0"/>
        <w:keepLines w:val="0"/>
        <w:pageBreakBefore w:val="0"/>
        <w:widowControl w:val="0"/>
        <w:kinsoku w:val="0"/>
        <w:wordWrap/>
        <w:overflowPunct/>
        <w:autoSpaceDE w:val="0"/>
        <w:autoSpaceDN w:val="0"/>
        <w:bidi w:val="0"/>
        <w:adjustRightInd w:val="0"/>
        <w:snapToGrid w:val="0"/>
        <w:textAlignment w:val="baseline"/>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6F10164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14223"/>
      <w:r>
        <w:rPr>
          <w:rFonts w:hint="eastAsia"/>
          <w:lang w:val="en-US" w:eastAsia="zh-CN"/>
        </w:rPr>
        <w:t>最终软件库</w:t>
      </w:r>
      <w:bookmarkEnd w:id="27"/>
    </w:p>
    <w:p w14:paraId="03DB530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2FE206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3DF7D4B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_Toc30029"/>
      <w:r>
        <w:rPr>
          <w:rFonts w:hint="eastAsia"/>
          <w:lang w:val="en-US" w:eastAsia="zh-CN"/>
        </w:rPr>
        <w:t>服务数据</w:t>
      </w:r>
      <w:bookmarkEnd w:id="28"/>
    </w:p>
    <w:p w14:paraId="525B44B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1D334A0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4CF377F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29917"/>
      <w:r>
        <w:rPr>
          <w:rFonts w:hint="eastAsia"/>
          <w:lang w:val="en-US" w:eastAsia="zh-CN"/>
        </w:rPr>
        <w:t>技术</w:t>
      </w:r>
      <w:bookmarkEnd w:id="29"/>
    </w:p>
    <w:p w14:paraId="02654E4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根据公司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具体技术研发目标、重点项目及实施</w:t>
      </w:r>
      <w:r>
        <w:rPr>
          <w:rFonts w:hint="eastAsia"/>
          <w:lang w:val="en-US" w:eastAsia="zh-CN"/>
        </w:rPr>
        <w:t>计划</w:t>
      </w:r>
      <w:r>
        <w:t>见《</w:t>
      </w:r>
      <w:r>
        <w:rPr>
          <w:rFonts w:hint="eastAsia"/>
        </w:rPr>
        <w:t>运维研发规划</w:t>
      </w:r>
      <w:r>
        <w:t>》</w:t>
      </w:r>
    </w:p>
    <w:p w14:paraId="501182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20287"/>
      <w:r>
        <w:rPr>
          <w:rFonts w:hint="eastAsia"/>
          <w:lang w:val="en-US" w:eastAsia="zh-CN"/>
        </w:rPr>
        <w:t>过程</w:t>
      </w:r>
      <w:bookmarkEnd w:id="30"/>
    </w:p>
    <w:p w14:paraId="1C3D2B9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1" w:name="_Toc27284"/>
      <w:r>
        <w:rPr>
          <w:rFonts w:hint="eastAsia"/>
          <w:lang w:val="en-US" w:eastAsia="zh-CN"/>
        </w:rPr>
        <w:t>过程框架设计</w:t>
      </w:r>
      <w:bookmarkEnd w:id="31"/>
    </w:p>
    <w:p w14:paraId="066CE3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1FE3841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14357"/>
      <w:r>
        <w:rPr>
          <w:rFonts w:hint="eastAsia"/>
          <w:lang w:val="en-US" w:eastAsia="zh-CN"/>
        </w:rPr>
        <w:t>服务级别管理</w:t>
      </w:r>
      <w:bookmarkEnd w:id="32"/>
    </w:p>
    <w:p w14:paraId="3B59F85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要求每年的SLA达成率不得低于95%。</w:t>
      </w:r>
    </w:p>
    <w:p w14:paraId="4C0C43F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21574"/>
      <w:r>
        <w:rPr>
          <w:rFonts w:hint="eastAsia"/>
          <w:lang w:val="en-US" w:eastAsia="zh-CN"/>
        </w:rPr>
        <w:t>服务报告管理</w:t>
      </w:r>
      <w:bookmarkEnd w:id="33"/>
    </w:p>
    <w:p w14:paraId="65A9DEC5">
      <w:pPr>
        <w:pStyle w:val="29"/>
        <w:keepNext w:val="0"/>
        <w:keepLines w:val="0"/>
        <w:pageBreakBefore w:val="0"/>
        <w:widowControl w:val="0"/>
        <w:kinsoku w:val="0"/>
        <w:wordWrap/>
        <w:overflowPunct/>
        <w:autoSpaceDE w:val="0"/>
        <w:autoSpaceDN w:val="0"/>
        <w:bidi w:val="0"/>
        <w:adjustRightInd w:val="0"/>
        <w:snapToGrid w:val="0"/>
        <w:textAlignment w:val="baseline"/>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default"/>
        </w:rPr>
        <w:t>，服务报告管理工作将重点围绕以下两方面深入开展：</w:t>
      </w:r>
    </w:p>
    <w:p w14:paraId="59E2B94D">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135519A4">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40D5654A">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每季度对服务报告及时提交率进行考核，要求不低于95%，计算方式为</w:t>
      </w:r>
      <w:r>
        <w:rPr>
          <w:spacing w:val="-1"/>
          <w:sz w:val="24"/>
          <w:szCs w:val="24"/>
        </w:rPr>
        <w:t>服务报告按时提交的数量/应提交的服务报</w:t>
      </w:r>
      <w:r>
        <w:rPr>
          <w:spacing w:val="-10"/>
          <w:sz w:val="24"/>
          <w:szCs w:val="24"/>
        </w:rPr>
        <w:t>告数量×100 %</w:t>
      </w:r>
    </w:p>
    <w:p w14:paraId="0B3D233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4" w:name="_Toc2057"/>
      <w:r>
        <w:rPr>
          <w:rFonts w:hint="eastAsia"/>
          <w:lang w:val="en-US" w:eastAsia="zh-CN"/>
        </w:rPr>
        <w:t>事件管理</w:t>
      </w:r>
      <w:bookmarkEnd w:id="34"/>
    </w:p>
    <w:p w14:paraId="282485A4">
      <w:pPr>
        <w:pStyle w:val="29"/>
        <w:keepNext w:val="0"/>
        <w:keepLines w:val="0"/>
        <w:pageBreakBefore w:val="0"/>
        <w:widowControl w:val="0"/>
        <w:kinsoku w:val="0"/>
        <w:wordWrap/>
        <w:overflowPunct/>
        <w:autoSpaceDE w:val="0"/>
        <w:autoSpaceDN w:val="0"/>
        <w:bidi w:val="0"/>
        <w:adjustRightInd w:val="0"/>
        <w:snapToGrid w:val="0"/>
        <w:textAlignment w:val="baseline"/>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default"/>
        </w:rPr>
        <w:t>，事件管理工作将重点围绕以下两方面进行深化与优化：</w:t>
      </w:r>
    </w:p>
    <w:p w14:paraId="4868CECB">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43D42EBE">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17D2E102">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每月对事件及时响应率和事件解决率进行考核，均要求不低于90%</w:t>
      </w:r>
    </w:p>
    <w:p w14:paraId="7962B1C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20586"/>
      <w:r>
        <w:rPr>
          <w:rFonts w:hint="eastAsia"/>
          <w:lang w:val="en-US" w:eastAsia="zh-CN"/>
        </w:rPr>
        <w:t>问题管理</w:t>
      </w:r>
      <w:bookmarkEnd w:id="35"/>
    </w:p>
    <w:p w14:paraId="72529228">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24847CBF">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2707C2D2">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按季度对问题解决率进行考核，计算方式为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w:t>
      </w:r>
      <w:r>
        <w:rPr>
          <w:rFonts w:hint="eastAsia"/>
          <w:spacing w:val="-4"/>
          <w:sz w:val="24"/>
          <w:szCs w:val="24"/>
          <w:lang w:eastAsia="zh-CN"/>
        </w:rPr>
        <w:t>。</w:t>
      </w:r>
    </w:p>
    <w:p w14:paraId="14AB6CB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5691"/>
      <w:r>
        <w:rPr>
          <w:rFonts w:hint="eastAsia"/>
          <w:lang w:val="en-US" w:eastAsia="zh-CN"/>
        </w:rPr>
        <w:t>变更管理</w:t>
      </w:r>
      <w:bookmarkEnd w:id="36"/>
    </w:p>
    <w:p w14:paraId="2D972A4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lang w:val="en-US" w:eastAsia="zh-CN"/>
        </w:rPr>
        <w:t>，变更管理工作将重点提升变更过程的规范性与安全性，核心任务如下：</w:t>
      </w:r>
    </w:p>
    <w:p w14:paraId="1B3A8B13">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2301D319">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2DF09733">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按季度对变更成功率进行考核，计算方式为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要求变更成功率不低于90%，变更成功率的计算方式为</w:t>
      </w:r>
      <w:r>
        <w:rPr>
          <w:spacing w:val="-4"/>
          <w:sz w:val="24"/>
          <w:szCs w:val="24"/>
        </w:rPr>
        <w:t>变更成功次数/变更的次数</w:t>
      </w:r>
      <w:r>
        <w:rPr>
          <w:spacing w:val="47"/>
          <w:sz w:val="24"/>
          <w:szCs w:val="24"/>
        </w:rPr>
        <w:t xml:space="preserve"> </w:t>
      </w:r>
      <w:r>
        <w:rPr>
          <w:spacing w:val="-4"/>
          <w:sz w:val="24"/>
          <w:szCs w:val="24"/>
        </w:rPr>
        <w:t>× 100</w:t>
      </w:r>
      <w:r>
        <w:rPr>
          <w:spacing w:val="2"/>
          <w:sz w:val="24"/>
          <w:szCs w:val="24"/>
        </w:rPr>
        <w:t xml:space="preserve"> </w:t>
      </w:r>
      <w:r>
        <w:rPr>
          <w:spacing w:val="-4"/>
          <w:sz w:val="24"/>
          <w:szCs w:val="24"/>
        </w:rPr>
        <w:t>%</w:t>
      </w:r>
      <w:r>
        <w:rPr>
          <w:rFonts w:hint="eastAsia"/>
          <w:spacing w:val="-4"/>
          <w:sz w:val="24"/>
          <w:szCs w:val="24"/>
          <w:lang w:eastAsia="zh-CN"/>
        </w:rPr>
        <w:t>。</w:t>
      </w:r>
    </w:p>
    <w:p w14:paraId="4BFE2572">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7" w:name="_Toc18976"/>
      <w:r>
        <w:rPr>
          <w:rFonts w:hint="eastAsia"/>
          <w:lang w:val="en-US" w:eastAsia="zh-CN"/>
        </w:rPr>
        <w:t>发布管理</w:t>
      </w:r>
      <w:bookmarkEnd w:id="37"/>
    </w:p>
    <w:p w14:paraId="23DDF2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0A9E0FB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8" w:name="_Toc14298"/>
      <w:r>
        <w:rPr>
          <w:rFonts w:hint="eastAsia"/>
          <w:lang w:val="en-US" w:eastAsia="zh-CN"/>
        </w:rPr>
        <w:t>配置管理</w:t>
      </w:r>
      <w:bookmarkEnd w:id="38"/>
    </w:p>
    <w:p w14:paraId="3FC093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lang w:val="en-US" w:eastAsia="zh-CN"/>
        </w:rPr>
        <w:t>，配置管理工作将重点围绕配置数据库（CMDB）的准确性与有效性开展系统化提升，核心工作方向如下：</w:t>
      </w:r>
    </w:p>
    <w:p w14:paraId="0DC789E7">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308421D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6F5158CB">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每半年对配置管理准确率进行考核，要求不低于95%。配置准确率的计算方式为</w:t>
      </w:r>
      <w:r>
        <w:rPr>
          <w:spacing w:val="-4"/>
          <w:sz w:val="24"/>
          <w:szCs w:val="24"/>
        </w:rPr>
        <w:t>在审计中发现正确的数量/配置项数量</w:t>
      </w:r>
      <w:r>
        <w:rPr>
          <w:spacing w:val="53"/>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p w14:paraId="467665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9" w:name="_Toc17952"/>
      <w:r>
        <w:rPr>
          <w:rFonts w:hint="eastAsia"/>
          <w:lang w:val="en-US" w:eastAsia="zh-CN"/>
        </w:rPr>
        <w:t>服务可用性和连续性管理</w:t>
      </w:r>
      <w:bookmarkEnd w:id="39"/>
    </w:p>
    <w:p w14:paraId="463D5B9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rPr>
        <w:t>，服务可用性与连续性管理工作将围绕提升系统可靠性与应急响应能力重点展开，核心目标与措施如下：</w:t>
      </w:r>
    </w:p>
    <w:p w14:paraId="10A15B9A">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强化系统监控与高可用保障：完善常态化监控预警机制，明确当系统可用率低于99</w:t>
      </w:r>
      <w:r>
        <w:rPr>
          <w:rFonts w:hint="eastAsia"/>
          <w:lang w:val="en-US" w:eastAsia="zh-CN"/>
        </w:rPr>
        <w:t>%</w:t>
      </w:r>
      <w:r>
        <w:rPr>
          <w:rFonts w:hint="eastAsia"/>
        </w:rPr>
        <w:t>时，须立即触发根本原因分析及整改流程，形成事件-问题-改进的闭环管理，持续提升服务可用性水平。</w:t>
      </w:r>
    </w:p>
    <w:p w14:paraId="319FBF01">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594B89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3641AA0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0" w:name="_Toc31199"/>
      <w:r>
        <w:rPr>
          <w:rFonts w:hint="eastAsia"/>
          <w:lang w:val="en-US" w:eastAsia="zh-CN"/>
        </w:rPr>
        <w:t>容量管理</w:t>
      </w:r>
      <w:bookmarkEnd w:id="40"/>
    </w:p>
    <w:p w14:paraId="0081BAB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lang w:val="en-US" w:eastAsia="zh-CN"/>
        </w:rPr>
        <w:t>，系统容量管理工作将重点构建以事件驱动、数据为基的持续优化机制，具体计划如下：</w:t>
      </w:r>
    </w:p>
    <w:p w14:paraId="37CA4AB8">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004BA2DF">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7217D9C3">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控制每季度容量事件不得超过1次。</w:t>
      </w:r>
    </w:p>
    <w:p w14:paraId="6A210FB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1" w:name="_Toc21531"/>
      <w:r>
        <w:rPr>
          <w:rFonts w:hint="eastAsia"/>
          <w:lang w:val="en-US" w:eastAsia="zh-CN"/>
        </w:rPr>
        <w:t>信息安全管理</w:t>
      </w:r>
      <w:bookmarkEnd w:id="41"/>
    </w:p>
    <w:p w14:paraId="716DC697">
      <w:pPr>
        <w:pStyle w:val="29"/>
        <w:bidi w:val="0"/>
        <w:rPr>
          <w:rFonts w:hint="default"/>
          <w:lang w:val="en-US" w:eastAsia="zh-CN"/>
        </w:rPr>
      </w:pPr>
      <w:r>
        <w:t>2025年</w:t>
      </w:r>
      <w:r>
        <w:rPr>
          <w:rFonts w:hint="eastAsia"/>
          <w:lang w:val="en-US" w:eastAsia="zh-CN"/>
        </w:rPr>
        <w:t>7月-2026年6月</w:t>
      </w:r>
      <w:r>
        <w:rPr>
          <w:rFonts w:hint="default"/>
          <w:lang w:val="en-US" w:eastAsia="zh-CN"/>
        </w:rPr>
        <w:t>，信息安全管理工作的开展将聚焦于人员能力与制度遵从两大核心领域，具体计划如下：</w:t>
      </w:r>
    </w:p>
    <w:p w14:paraId="2941AD05">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2BCA448">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28FD20EC">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加强信息安全管理，避免信息安全事件发生。</w:t>
      </w:r>
    </w:p>
    <w:p w14:paraId="78EBDD7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2" w:name="_Toc29039"/>
      <w:r>
        <w:rPr>
          <w:rFonts w:hint="eastAsia"/>
          <w:lang w:val="en-US" w:eastAsia="zh-CN"/>
        </w:rPr>
        <w:t>交付</w:t>
      </w:r>
      <w:bookmarkEnd w:id="42"/>
    </w:p>
    <w:p w14:paraId="3269E63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58E703AD">
      <w:pPr>
        <w:pStyle w:val="29"/>
        <w:bidi w:val="0"/>
        <w:rPr>
          <w:rFonts w:hint="default"/>
        </w:rPr>
      </w:pPr>
      <w:r>
        <w:t>2025年</w:t>
      </w:r>
      <w:r>
        <w:rPr>
          <w:rFonts w:hint="eastAsia"/>
          <w:lang w:val="en-US" w:eastAsia="zh-CN"/>
        </w:rPr>
        <w:t>7月-2026年6月</w:t>
      </w:r>
      <w:r>
        <w:rPr>
          <w:rFonts w:hint="default"/>
        </w:rPr>
        <w:t>将重点推进该制度的优化工作，基于现行交付管理制度及SLA要求，深入分析客户需求，科学制定与客户期望和项目特点相匹配的交付方案。</w:t>
      </w:r>
    </w:p>
    <w:p w14:paraId="17B3467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每月度对服务报告比例进行汇总，要求不低于95%。服务报告比例计算方式为实际交付服务报告数量/应交付的服务报告数量*100%</w:t>
      </w:r>
    </w:p>
    <w:p w14:paraId="367BE54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3" w:name="_Toc12302"/>
      <w:r>
        <w:rPr>
          <w:rFonts w:hint="eastAsia"/>
          <w:lang w:val="en-US" w:eastAsia="zh-CN"/>
        </w:rPr>
        <w:t>应急</w:t>
      </w:r>
      <w:bookmarkEnd w:id="43"/>
    </w:p>
    <w:p w14:paraId="394363F9">
      <w:pPr>
        <w:pStyle w:val="29"/>
        <w:bidi w:val="0"/>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w:t>
      </w:r>
      <w:r>
        <w:rPr>
          <w:rFonts w:hint="eastAsia"/>
          <w:lang w:val="en-US" w:eastAsia="zh-CN"/>
        </w:rPr>
        <w:t>7月-2026年6月</w:t>
      </w:r>
      <w:r>
        <w:t>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6C3A230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每年度对项目应急演练次数进行汇总，要求应急演练次数不得少于1次。</w:t>
      </w:r>
    </w:p>
    <w:p w14:paraId="725E0DC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4" w:name="_Toc8271"/>
      <w:r>
        <w:rPr>
          <w:rFonts w:hint="eastAsia"/>
          <w:lang w:val="en-US" w:eastAsia="zh-CN"/>
        </w:rPr>
        <w:t>质量</w:t>
      </w:r>
      <w:bookmarkEnd w:id="44"/>
    </w:p>
    <w:p w14:paraId="158FE70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5" w:name="_Toc15200"/>
      <w:r>
        <w:rPr>
          <w:rFonts w:hint="eastAsia"/>
          <w:lang w:val="en-US" w:eastAsia="zh-CN"/>
        </w:rPr>
        <w:t>运维服务质量内部评审</w:t>
      </w:r>
      <w:bookmarkEnd w:id="45"/>
    </w:p>
    <w:p w14:paraId="1F30F21C">
      <w:pPr>
        <w:pStyle w:val="29"/>
        <w:keepNext w:val="0"/>
        <w:keepLines w:val="0"/>
        <w:pageBreakBefore w:val="0"/>
        <w:widowControl w:val="0"/>
        <w:kinsoku w:val="0"/>
        <w:wordWrap/>
        <w:overflowPunct/>
        <w:autoSpaceDE w:val="0"/>
        <w:autoSpaceDN w:val="0"/>
        <w:bidi w:val="0"/>
        <w:adjustRightInd w:val="0"/>
        <w:snapToGrid w:val="0"/>
        <w:textAlignment w:val="baseline"/>
      </w:pPr>
      <w:r>
        <w:t>审核运维服务活动及其结果是否符合策划的安排，确保ITSS 运维服务能力管理体系的有效性。</w:t>
      </w:r>
    </w:p>
    <w:p w14:paraId="63299D09">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运维服务能力内审由</w:t>
      </w:r>
      <w:r>
        <w:rPr>
          <w:rFonts w:hint="eastAsia"/>
          <w:lang w:val="en-US" w:eastAsia="zh-CN"/>
        </w:rPr>
        <w:t>质量部</w:t>
      </w:r>
      <w:r>
        <w:t>负责组织实施</w:t>
      </w:r>
      <w:r>
        <w:rPr>
          <w:rFonts w:hint="eastAsia"/>
          <w:lang w:eastAsia="zh-CN"/>
        </w:rPr>
        <w:t>，</w:t>
      </w:r>
      <w:r>
        <w:rPr>
          <w:rFonts w:hint="eastAsia"/>
          <w:lang w:val="en-US" w:eastAsia="zh-CN"/>
        </w:rPr>
        <w:t>所有运维相关部门都应参与</w:t>
      </w:r>
      <w:r>
        <w:t>。</w:t>
      </w:r>
    </w:p>
    <w:p w14:paraId="01F703A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每年度至少进行一次内部评审</w:t>
      </w:r>
    </w:p>
    <w:p w14:paraId="7BE55853">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6" w:name="_Toc5662"/>
      <w:r>
        <w:rPr>
          <w:rFonts w:hint="eastAsia"/>
          <w:lang w:val="en-US" w:eastAsia="zh-CN"/>
        </w:rPr>
        <w:t>运维服务质量管理评审</w:t>
      </w:r>
      <w:bookmarkEnd w:id="46"/>
    </w:p>
    <w:p w14:paraId="31CB94DF">
      <w:pPr>
        <w:pStyle w:val="29"/>
        <w:keepNext w:val="0"/>
        <w:keepLines w:val="0"/>
        <w:pageBreakBefore w:val="0"/>
        <w:widowControl w:val="0"/>
        <w:kinsoku w:val="0"/>
        <w:wordWrap/>
        <w:overflowPunct/>
        <w:autoSpaceDE w:val="0"/>
        <w:autoSpaceDN w:val="0"/>
        <w:bidi w:val="0"/>
        <w:adjustRightInd w:val="0"/>
        <w:snapToGrid w:val="0"/>
        <w:textAlignment w:val="baseline"/>
      </w:pPr>
      <w:r>
        <w:t>管理评审目的是对公司 ITSS 运维服务能力管理体系进行系统评审，识别并确定各种改进的机会和需要，确保 ITSS 运维服务能力管理体系持续的适宜性、充分性和有效性。</w:t>
      </w:r>
    </w:p>
    <w:p w14:paraId="6007000D">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运维服务能力管理评审由</w:t>
      </w:r>
      <w:r>
        <w:rPr>
          <w:rFonts w:hint="eastAsia"/>
          <w:lang w:val="en-US" w:eastAsia="zh-CN"/>
        </w:rPr>
        <w:t>总经理组织实施</w:t>
      </w:r>
      <w:r>
        <w:t>。</w:t>
      </w:r>
    </w:p>
    <w:p w14:paraId="21A0BF8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每年度至少进行一次管理评审</w:t>
      </w:r>
    </w:p>
    <w:p w14:paraId="6627140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7" w:name="_Toc29635"/>
      <w:r>
        <w:rPr>
          <w:rFonts w:hint="eastAsia"/>
          <w:lang w:val="en-US" w:eastAsia="zh-CN"/>
        </w:rPr>
        <w:t>客户满意度调查与分析</w:t>
      </w:r>
      <w:bookmarkEnd w:id="47"/>
    </w:p>
    <w:p w14:paraId="3A0F38AF">
      <w:pPr>
        <w:keepNext w:val="0"/>
        <w:keepLines w:val="0"/>
        <w:pageBreakBefore w:val="0"/>
        <w:widowControl w:val="0"/>
        <w:kinsoku w:val="0"/>
        <w:wordWrap/>
        <w:overflowPunct/>
        <w:autoSpaceDE w:val="0"/>
        <w:autoSpaceDN w:val="0"/>
        <w:bidi w:val="0"/>
        <w:adjustRightInd w:val="0"/>
        <w:snapToGrid w:val="0"/>
        <w:spacing w:before="79" w:line="360" w:lineRule="auto"/>
        <w:ind w:left="45" w:firstLine="457"/>
        <w:textAlignment w:val="baseline"/>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23880DAE">
      <w:pPr>
        <w:keepNext w:val="0"/>
        <w:keepLines w:val="0"/>
        <w:pageBreakBefore w:val="0"/>
        <w:widowControl w:val="0"/>
        <w:kinsoku w:val="0"/>
        <w:wordWrap/>
        <w:overflowPunct/>
        <w:autoSpaceDE w:val="0"/>
        <w:autoSpaceDN w:val="0"/>
        <w:bidi w:val="0"/>
        <w:adjustRightInd w:val="0"/>
        <w:snapToGrid w:val="0"/>
        <w:spacing w:before="4" w:line="359" w:lineRule="auto"/>
        <w:ind w:left="22" w:right="42" w:firstLine="522"/>
        <w:jc w:val="both"/>
        <w:textAlignment w:val="baseline"/>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4FE97A6F">
      <w:pPr>
        <w:keepNext w:val="0"/>
        <w:keepLines w:val="0"/>
        <w:pageBreakBefore w:val="0"/>
        <w:widowControl w:val="0"/>
        <w:kinsoku w:val="0"/>
        <w:wordWrap/>
        <w:overflowPunct/>
        <w:autoSpaceDE w:val="0"/>
        <w:autoSpaceDN w:val="0"/>
        <w:bidi w:val="0"/>
        <w:adjustRightInd w:val="0"/>
        <w:snapToGrid w:val="0"/>
        <w:spacing w:before="1" w:line="361" w:lineRule="auto"/>
        <w:ind w:left="29" w:right="42" w:firstLine="477"/>
        <w:textAlignment w:val="baseline"/>
        <w:rPr>
          <w:rFonts w:ascii="宋体" w:hAnsi="宋体" w:eastAsia="宋体" w:cs="宋体"/>
          <w:spacing w:val="-3"/>
          <w:sz w:val="24"/>
          <w:szCs w:val="24"/>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ascii="宋体" w:hAnsi="宋体" w:eastAsia="宋体" w:cs="宋体"/>
          <w:sz w:val="24"/>
          <w:szCs w:val="24"/>
        </w:rPr>
        <w:t>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5C55E58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8" w:name="_Toc31785"/>
      <w:r>
        <w:rPr>
          <w:rFonts w:hint="eastAsia"/>
          <w:lang w:val="en-US" w:eastAsia="zh-CN"/>
        </w:rPr>
        <w:t>SLA达成率</w:t>
      </w:r>
      <w:bookmarkEnd w:id="48"/>
    </w:p>
    <w:p w14:paraId="2B77882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每年7月</w:t>
      </w:r>
      <w:bookmarkStart w:id="53" w:name="_GoBack"/>
      <w:bookmarkEnd w:id="53"/>
      <w:r>
        <w:rPr>
          <w:rFonts w:hint="eastAsia"/>
          <w:lang w:val="en-US" w:eastAsia="zh-CN"/>
        </w:rPr>
        <w:t>对SLA达成率进行汇总，要求不低于95%，并根据项目运维情况对服务目录进行修改。</w:t>
      </w:r>
    </w:p>
    <w:p w14:paraId="79E26183">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49" w:name="_Toc32293"/>
      <w:r>
        <w:rPr>
          <w:rStyle w:val="38"/>
          <w:rFonts w:hint="eastAsia" w:eastAsia="宋体"/>
          <w:lang w:val="en-US" w:eastAsia="zh-CN"/>
        </w:rPr>
        <w:t>附则</w:t>
      </w:r>
      <w:bookmarkEnd w:id="19"/>
      <w:bookmarkEnd w:id="49"/>
    </w:p>
    <w:p w14:paraId="6FCB3D9D">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质量部</w:t>
      </w:r>
      <w:r>
        <w:rPr>
          <w:rFonts w:ascii="宋体" w:hAnsi="宋体" w:eastAsia="宋体" w:cs="宋体"/>
          <w:spacing w:val="-1"/>
          <w:sz w:val="24"/>
          <w:szCs w:val="24"/>
        </w:rPr>
        <w:t>。</w:t>
      </w:r>
    </w:p>
    <w:p w14:paraId="1D3EA0A8">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AD2C1F5">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0" w:name="bookmark14"/>
      <w:bookmarkEnd w:id="50"/>
      <w:bookmarkStart w:id="51" w:name="_Toc26903"/>
      <w:r>
        <w:rPr>
          <w:rFonts w:hint="eastAsia"/>
          <w:lang w:val="en-US" w:eastAsia="zh-CN"/>
        </w:rPr>
        <w:t>附件</w:t>
      </w:r>
      <w:bookmarkEnd w:id="51"/>
    </w:p>
    <w:p w14:paraId="1B0638A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14:paraId="798512E6">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2" w:name="_Toc20031"/>
      <w:r>
        <w:rPr>
          <w:rFonts w:hint="eastAsia"/>
          <w:lang w:val="en-US" w:eastAsia="zh-CN"/>
        </w:rPr>
        <w:t>记录</w:t>
      </w:r>
      <w:bookmarkEnd w:id="52"/>
    </w:p>
    <w:p w14:paraId="7200D2A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B5C6A">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13D8067B"/>
    <w:multiLevelType w:val="singleLevel"/>
    <w:tmpl w:val="13D8067B"/>
    <w:lvl w:ilvl="0" w:tentative="0">
      <w:start w:val="1"/>
      <w:numFmt w:val="decimal"/>
      <w:lvlText w:val="%1."/>
      <w:lvlJc w:val="left"/>
      <w:pPr>
        <w:ind w:left="425" w:hanging="425"/>
      </w:pPr>
      <w:rPr>
        <w:rFonts w:hint="default"/>
      </w:rPr>
    </w:lvl>
  </w:abstractNum>
  <w:abstractNum w:abstractNumId="8">
    <w:nsid w:val="23601102"/>
    <w:multiLevelType w:val="singleLevel"/>
    <w:tmpl w:val="23601102"/>
    <w:lvl w:ilvl="0" w:tentative="0">
      <w:start w:val="1"/>
      <w:numFmt w:val="decimal"/>
      <w:lvlText w:val="%1."/>
      <w:lvlJc w:val="left"/>
      <w:pPr>
        <w:ind w:left="425" w:hanging="425"/>
      </w:pPr>
      <w:rPr>
        <w:rFonts w:hint="default"/>
      </w:rPr>
    </w:lvl>
  </w:abstractNum>
  <w:abstractNum w:abstractNumId="9">
    <w:nsid w:val="48F3E8D5"/>
    <w:multiLevelType w:val="singleLevel"/>
    <w:tmpl w:val="48F3E8D5"/>
    <w:lvl w:ilvl="0" w:tentative="0">
      <w:start w:val="1"/>
      <w:numFmt w:val="decimal"/>
      <w:lvlText w:val="%1."/>
      <w:lvlJc w:val="left"/>
      <w:pPr>
        <w:ind w:left="425" w:hanging="425"/>
      </w:pPr>
      <w:rPr>
        <w:rFonts w:hint="default"/>
      </w:rPr>
    </w:lvl>
  </w:abstractNum>
  <w:abstractNum w:abstractNumId="10">
    <w:nsid w:val="5AC9E4D8"/>
    <w:multiLevelType w:val="singleLevel"/>
    <w:tmpl w:val="5AC9E4D8"/>
    <w:lvl w:ilvl="0" w:tentative="0">
      <w:start w:val="1"/>
      <w:numFmt w:val="decimal"/>
      <w:lvlText w:val="%1."/>
      <w:lvlJc w:val="left"/>
      <w:pPr>
        <w:ind w:left="425" w:hanging="425"/>
      </w:pPr>
      <w:rPr>
        <w:rFonts w:hint="default"/>
      </w:rPr>
    </w:lvl>
  </w:abstractNum>
  <w:abstractNum w:abstractNumId="11">
    <w:nsid w:val="6C10DCD7"/>
    <w:multiLevelType w:val="singleLevel"/>
    <w:tmpl w:val="6C10DCD7"/>
    <w:lvl w:ilvl="0" w:tentative="0">
      <w:start w:val="1"/>
      <w:numFmt w:val="decimal"/>
      <w:lvlText w:val="%1."/>
      <w:lvlJc w:val="left"/>
      <w:pPr>
        <w:ind w:left="425" w:hanging="425"/>
      </w:pPr>
      <w:rPr>
        <w:rFonts w:hint="default"/>
      </w:rPr>
    </w:lvl>
  </w:abstractNum>
  <w:abstractNum w:abstractNumId="12">
    <w:nsid w:val="749258C4"/>
    <w:multiLevelType w:val="singleLevel"/>
    <w:tmpl w:val="749258C4"/>
    <w:lvl w:ilvl="0" w:tentative="0">
      <w:start w:val="1"/>
      <w:numFmt w:val="decimal"/>
      <w:lvlText w:val="%1."/>
      <w:lvlJc w:val="left"/>
      <w:pPr>
        <w:ind w:left="425" w:hanging="425"/>
      </w:pPr>
      <w:rPr>
        <w:rFonts w:hint="default"/>
      </w:rPr>
    </w:lvl>
  </w:abstractNum>
  <w:abstractNum w:abstractNumId="13">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10"/>
  </w:num>
  <w:num w:numId="3">
    <w:abstractNumId w:val="7"/>
  </w:num>
  <w:num w:numId="4">
    <w:abstractNumId w:val="1"/>
  </w:num>
  <w:num w:numId="5">
    <w:abstractNumId w:val="2"/>
  </w:num>
  <w:num w:numId="6">
    <w:abstractNumId w:val="3"/>
  </w:num>
  <w:num w:numId="7">
    <w:abstractNumId w:val="12"/>
  </w:num>
  <w:num w:numId="8">
    <w:abstractNumId w:val="8"/>
  </w:num>
  <w:num w:numId="9">
    <w:abstractNumId w:val="9"/>
  </w:num>
  <w:num w:numId="10">
    <w:abstractNumId w:val="13"/>
  </w:num>
  <w:num w:numId="11">
    <w:abstractNumId w:val="4"/>
  </w:num>
  <w:num w:numId="12">
    <w:abstractNumId w:val="5"/>
  </w:num>
  <w:num w:numId="13">
    <w:abstractNumId w:val="11"/>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12093A"/>
    <w:rsid w:val="05F31C91"/>
    <w:rsid w:val="0EBB2FA3"/>
    <w:rsid w:val="100E0101"/>
    <w:rsid w:val="11EC514B"/>
    <w:rsid w:val="12C43900"/>
    <w:rsid w:val="13166FBF"/>
    <w:rsid w:val="158A0071"/>
    <w:rsid w:val="162E2871"/>
    <w:rsid w:val="16953304"/>
    <w:rsid w:val="17E7717C"/>
    <w:rsid w:val="18047D2E"/>
    <w:rsid w:val="19C86B39"/>
    <w:rsid w:val="1B2304CB"/>
    <w:rsid w:val="1C071B9A"/>
    <w:rsid w:val="1DE26CE1"/>
    <w:rsid w:val="1E2519B4"/>
    <w:rsid w:val="21A34ECE"/>
    <w:rsid w:val="231352C9"/>
    <w:rsid w:val="23570A45"/>
    <w:rsid w:val="25975FC6"/>
    <w:rsid w:val="27983FEE"/>
    <w:rsid w:val="29D90298"/>
    <w:rsid w:val="2CAB0320"/>
    <w:rsid w:val="2D1A7254"/>
    <w:rsid w:val="2ED04B1A"/>
    <w:rsid w:val="31E81B7E"/>
    <w:rsid w:val="31FB7654"/>
    <w:rsid w:val="33843679"/>
    <w:rsid w:val="352754C6"/>
    <w:rsid w:val="364517E5"/>
    <w:rsid w:val="39810D86"/>
    <w:rsid w:val="3BCE402B"/>
    <w:rsid w:val="3C8A5D88"/>
    <w:rsid w:val="3D7B3D3F"/>
    <w:rsid w:val="4061451C"/>
    <w:rsid w:val="41200E85"/>
    <w:rsid w:val="41807B75"/>
    <w:rsid w:val="43382E86"/>
    <w:rsid w:val="438F22F2"/>
    <w:rsid w:val="45230F44"/>
    <w:rsid w:val="452F78E8"/>
    <w:rsid w:val="467A2DE5"/>
    <w:rsid w:val="47F6293F"/>
    <w:rsid w:val="48541414"/>
    <w:rsid w:val="491A440C"/>
    <w:rsid w:val="49BE123B"/>
    <w:rsid w:val="4C6A7509"/>
    <w:rsid w:val="4EDA32B7"/>
    <w:rsid w:val="4F8F63DD"/>
    <w:rsid w:val="50731BEF"/>
    <w:rsid w:val="52572AAC"/>
    <w:rsid w:val="53F02939"/>
    <w:rsid w:val="57236B81"/>
    <w:rsid w:val="5AF26F96"/>
    <w:rsid w:val="5B7C2D04"/>
    <w:rsid w:val="5BCD17B1"/>
    <w:rsid w:val="5EA04F5B"/>
    <w:rsid w:val="5FC1162D"/>
    <w:rsid w:val="636429FB"/>
    <w:rsid w:val="663366B5"/>
    <w:rsid w:val="67A930D3"/>
    <w:rsid w:val="67F862ED"/>
    <w:rsid w:val="6B3B2294"/>
    <w:rsid w:val="6D350EF8"/>
    <w:rsid w:val="6E805B45"/>
    <w:rsid w:val="6F8A37EA"/>
    <w:rsid w:val="70076BE8"/>
    <w:rsid w:val="70673B2B"/>
    <w:rsid w:val="72386550"/>
    <w:rsid w:val="7657019E"/>
    <w:rsid w:val="783F0EE9"/>
    <w:rsid w:val="7840713B"/>
    <w:rsid w:val="7A0917AF"/>
    <w:rsid w:val="7A1E34AC"/>
    <w:rsid w:val="7CFD0814"/>
    <w:rsid w:val="7DC15C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8231</Words>
  <Characters>8851</Characters>
  <Lines>0</Lines>
  <Paragraphs>0</Paragraphs>
  <TotalTime>0</TotalTime>
  <ScaleCrop>false</ScaleCrop>
  <LinksUpToDate>false</LinksUpToDate>
  <CharactersWithSpaces>9057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2026-03-04T22:37:05Z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