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BD4C1D">
      <w:pPr>
        <w:pStyle w:val="24"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15875</wp:posOffset>
            </wp:positionV>
            <wp:extent cx="7609840" cy="9761855"/>
            <wp:effectExtent l="0" t="0" r="10160" b="698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天津市华夏电缆有限公司</w:t>
      </w:r>
    </w:p>
    <w:p w14:paraId="10894361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运维服务管理评审报告</w:t>
      </w:r>
    </w:p>
    <w:p w14:paraId="22D74C2F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（HXDL-ITSS-0416）</w:t>
      </w:r>
    </w:p>
    <w:p w14:paraId="352B9DCF">
      <w:pPr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7B8C52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25AC9003">
            <w:pPr>
              <w:widowControl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刘鑫楠</w:t>
            </w:r>
          </w:p>
        </w:tc>
        <w:tc>
          <w:tcPr>
            <w:tcW w:w="4261" w:type="dxa"/>
          </w:tcPr>
          <w:p w14:paraId="0DC089B0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2026.01.20</w:t>
            </w:r>
          </w:p>
        </w:tc>
      </w:tr>
      <w:tr w14:paraId="1F750A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15EB648C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 w14:paraId="39AB4138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2026.01.20</w:t>
            </w:r>
          </w:p>
        </w:tc>
      </w:tr>
      <w:tr w14:paraId="0FBEF9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1AE42B5D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 w14:paraId="70C37C58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2026.01.20</w:t>
            </w:r>
          </w:p>
        </w:tc>
      </w:tr>
    </w:tbl>
    <w:p w14:paraId="594DCC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6F25F338">
      <w:pPr>
        <w:spacing w:before="98" w:line="220" w:lineRule="auto"/>
        <w:ind w:left="3195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</w:p>
    <w:tbl>
      <w:tblPr>
        <w:tblStyle w:val="26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482"/>
        <w:gridCol w:w="1172"/>
      </w:tblGrid>
      <w:tr w14:paraId="337170E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7FC00F1D">
            <w:pPr>
              <w:spacing w:line="350" w:lineRule="auto"/>
              <w:rPr>
                <w:rFonts w:ascii="Arial"/>
                <w:sz w:val="21"/>
              </w:rPr>
            </w:pPr>
          </w:p>
          <w:p w14:paraId="55E7873B">
            <w:pPr>
              <w:spacing w:before="78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3146D224">
            <w:pPr>
              <w:spacing w:before="181" w:line="220" w:lineRule="auto"/>
              <w:ind w:left="5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A084C4B">
            <w:pPr>
              <w:spacing w:before="181" w:line="219" w:lineRule="auto"/>
              <w:ind w:left="9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499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3EDC83ED">
            <w:pPr>
              <w:spacing w:before="181" w:line="220" w:lineRule="auto"/>
              <w:ind w:left="9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172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3716AC5F">
            <w:pPr>
              <w:spacing w:line="350" w:lineRule="auto"/>
              <w:rPr>
                <w:rFonts w:ascii="Arial"/>
                <w:sz w:val="21"/>
              </w:rPr>
            </w:pPr>
          </w:p>
          <w:p w14:paraId="765DF204">
            <w:pPr>
              <w:spacing w:before="78" w:line="220" w:lineRule="auto"/>
              <w:ind w:left="2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486C1AA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458B96DF"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126A296F">
            <w:pPr>
              <w:spacing w:before="177" w:line="220" w:lineRule="auto"/>
              <w:ind w:left="1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65F758D3">
            <w:pPr>
              <w:spacing w:before="177" w:line="220" w:lineRule="auto"/>
              <w:ind w:left="4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04391FDB">
            <w:pPr>
              <w:spacing w:before="177" w:line="220" w:lineRule="auto"/>
              <w:ind w:left="2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3ED90F08">
            <w:pPr>
              <w:spacing w:before="177" w:line="220" w:lineRule="auto"/>
              <w:ind w:left="4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3B5C5123">
            <w:pPr>
              <w:spacing w:before="176" w:line="221" w:lineRule="auto"/>
              <w:ind w:left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482" w:type="dxa"/>
            <w:shd w:val="clear" w:color="auto" w:fill="D9D9D9"/>
          </w:tcPr>
          <w:p w14:paraId="1026BA40">
            <w:pPr>
              <w:spacing w:before="177" w:line="220" w:lineRule="auto"/>
              <w:ind w:left="4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172" w:type="dxa"/>
            <w:vMerge w:val="continue"/>
            <w:tcBorders>
              <w:top w:val="nil"/>
              <w:right w:val="single" w:color="000000" w:sz="10" w:space="0"/>
            </w:tcBorders>
          </w:tcPr>
          <w:p w14:paraId="4479FCD2">
            <w:pPr>
              <w:rPr>
                <w:rFonts w:ascii="Arial"/>
                <w:sz w:val="21"/>
              </w:rPr>
            </w:pPr>
          </w:p>
        </w:tc>
      </w:tr>
      <w:tr w14:paraId="51B599D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75394E32">
            <w:pPr>
              <w:pStyle w:val="27"/>
              <w:spacing w:before="230" w:line="237" w:lineRule="auto"/>
              <w:ind w:left="195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6DB48B53">
            <w:pPr>
              <w:pStyle w:val="27"/>
              <w:spacing w:before="230" w:line="219" w:lineRule="auto"/>
              <w:ind w:left="125"/>
            </w:pPr>
            <w:r>
              <w:rPr>
                <w:rFonts w:hint="eastAsia"/>
                <w:spacing w:val="-4"/>
              </w:rPr>
              <w:t>刘鑫楠</w:t>
            </w:r>
          </w:p>
        </w:tc>
        <w:tc>
          <w:tcPr>
            <w:tcW w:w="1274" w:type="dxa"/>
          </w:tcPr>
          <w:p w14:paraId="79215772">
            <w:pPr>
              <w:pStyle w:val="27"/>
              <w:spacing w:before="230" w:line="237" w:lineRule="auto"/>
              <w:ind w:left="104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pacing w:val="-1"/>
                <w:lang w:eastAsia="zh-CN"/>
              </w:rPr>
              <w:t>2026.1</w:t>
            </w:r>
            <w:r>
              <w:rPr>
                <w:rFonts w:hint="eastAsia"/>
                <w:spacing w:val="-1"/>
                <w:lang w:val="en-US" w:eastAsia="zh-CN"/>
              </w:rPr>
              <w:t>.20</w:t>
            </w:r>
          </w:p>
        </w:tc>
        <w:tc>
          <w:tcPr>
            <w:tcW w:w="957" w:type="dxa"/>
          </w:tcPr>
          <w:p w14:paraId="050F9C22">
            <w:pPr>
              <w:pStyle w:val="27"/>
              <w:spacing w:before="230" w:line="219" w:lineRule="auto"/>
              <w:ind w:left="168"/>
            </w:pPr>
            <w:r>
              <w:rPr>
                <w:spacing w:val="-4"/>
              </w:rPr>
              <w:t>张智宏</w:t>
            </w:r>
          </w:p>
        </w:tc>
        <w:tc>
          <w:tcPr>
            <w:tcW w:w="1377" w:type="dxa"/>
          </w:tcPr>
          <w:p w14:paraId="6624F945">
            <w:pPr>
              <w:pStyle w:val="27"/>
              <w:spacing w:before="230" w:line="237" w:lineRule="auto"/>
              <w:ind w:left="161"/>
              <w:rPr>
                <w:rFonts w:hint="default"/>
                <w:lang w:val="en-US"/>
              </w:rPr>
            </w:pPr>
            <w:r>
              <w:rPr>
                <w:rFonts w:hint="eastAsia"/>
                <w:spacing w:val="-1"/>
                <w:lang w:eastAsia="zh-CN"/>
              </w:rPr>
              <w:t>2026.1</w:t>
            </w:r>
            <w:r>
              <w:rPr>
                <w:rFonts w:hint="eastAsia"/>
                <w:spacing w:val="-1"/>
                <w:lang w:val="en-US" w:eastAsia="zh-CN"/>
              </w:rPr>
              <w:t>.20</w:t>
            </w:r>
          </w:p>
        </w:tc>
        <w:tc>
          <w:tcPr>
            <w:tcW w:w="1017" w:type="dxa"/>
          </w:tcPr>
          <w:p w14:paraId="5FAEE39A">
            <w:pPr>
              <w:pStyle w:val="27"/>
              <w:spacing w:before="230" w:line="220" w:lineRule="auto"/>
              <w:ind w:left="202"/>
            </w:pPr>
            <w:r>
              <w:rPr>
                <w:spacing w:val="-3"/>
              </w:rPr>
              <w:t>陈垒</w:t>
            </w:r>
          </w:p>
        </w:tc>
        <w:tc>
          <w:tcPr>
            <w:tcW w:w="1482" w:type="dxa"/>
          </w:tcPr>
          <w:p w14:paraId="4ADE16D4">
            <w:pPr>
              <w:pStyle w:val="27"/>
              <w:spacing w:before="230" w:line="237" w:lineRule="auto"/>
              <w:ind w:left="220"/>
              <w:rPr>
                <w:rFonts w:hint="default"/>
                <w:lang w:val="en-US"/>
              </w:rPr>
            </w:pPr>
            <w:r>
              <w:rPr>
                <w:rFonts w:hint="eastAsia"/>
                <w:spacing w:val="-1"/>
                <w:lang w:eastAsia="zh-CN"/>
              </w:rPr>
              <w:t>2026.</w:t>
            </w:r>
            <w:bookmarkStart w:id="0" w:name="_GoBack"/>
            <w:bookmarkEnd w:id="0"/>
            <w:r>
              <w:rPr>
                <w:rFonts w:hint="eastAsia"/>
                <w:spacing w:val="-1"/>
                <w:lang w:eastAsia="zh-CN"/>
              </w:rPr>
              <w:t>1</w:t>
            </w:r>
            <w:r>
              <w:rPr>
                <w:rFonts w:hint="eastAsia"/>
                <w:spacing w:val="-1"/>
                <w:lang w:val="en-US" w:eastAsia="zh-CN"/>
              </w:rPr>
              <w:t>.20</w:t>
            </w:r>
          </w:p>
        </w:tc>
        <w:tc>
          <w:tcPr>
            <w:tcW w:w="1172" w:type="dxa"/>
            <w:tcBorders>
              <w:right w:val="single" w:color="000000" w:sz="10" w:space="0"/>
            </w:tcBorders>
          </w:tcPr>
          <w:p w14:paraId="0A26EDB7">
            <w:pPr>
              <w:pStyle w:val="27"/>
              <w:spacing w:before="230" w:line="217" w:lineRule="auto"/>
              <w:ind w:left="341"/>
            </w:pPr>
            <w:r>
              <w:rPr>
                <w:spacing w:val="-5"/>
              </w:rPr>
              <w:t>首次发布</w:t>
            </w:r>
          </w:p>
        </w:tc>
      </w:tr>
      <w:tr w14:paraId="4FE8306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188F75A0">
            <w:pPr>
              <w:pStyle w:val="27"/>
              <w:spacing w:before="152" w:line="237" w:lineRule="auto"/>
              <w:ind w:left="195"/>
            </w:pPr>
          </w:p>
        </w:tc>
        <w:tc>
          <w:tcPr>
            <w:tcW w:w="881" w:type="dxa"/>
          </w:tcPr>
          <w:p w14:paraId="67535F90">
            <w:pPr>
              <w:pStyle w:val="27"/>
              <w:spacing w:before="152" w:line="219" w:lineRule="auto"/>
              <w:ind w:left="125"/>
            </w:pPr>
          </w:p>
        </w:tc>
        <w:tc>
          <w:tcPr>
            <w:tcW w:w="1274" w:type="dxa"/>
          </w:tcPr>
          <w:p w14:paraId="1BF13C09">
            <w:pPr>
              <w:pStyle w:val="27"/>
              <w:spacing w:before="152" w:line="237" w:lineRule="auto"/>
              <w:ind w:left="210"/>
            </w:pPr>
          </w:p>
        </w:tc>
        <w:tc>
          <w:tcPr>
            <w:tcW w:w="957" w:type="dxa"/>
          </w:tcPr>
          <w:p w14:paraId="3409E376">
            <w:pPr>
              <w:pStyle w:val="27"/>
              <w:spacing w:before="152" w:line="219" w:lineRule="auto"/>
              <w:ind w:left="168"/>
            </w:pPr>
          </w:p>
        </w:tc>
        <w:tc>
          <w:tcPr>
            <w:tcW w:w="1377" w:type="dxa"/>
          </w:tcPr>
          <w:p w14:paraId="7A36B237">
            <w:pPr>
              <w:pStyle w:val="27"/>
              <w:spacing w:before="152" w:line="237" w:lineRule="auto"/>
              <w:ind w:left="267"/>
            </w:pPr>
          </w:p>
        </w:tc>
        <w:tc>
          <w:tcPr>
            <w:tcW w:w="1017" w:type="dxa"/>
          </w:tcPr>
          <w:p w14:paraId="1F09EB07">
            <w:pPr>
              <w:pStyle w:val="27"/>
              <w:spacing w:before="152" w:line="220" w:lineRule="auto"/>
              <w:ind w:left="202"/>
            </w:pPr>
          </w:p>
        </w:tc>
        <w:tc>
          <w:tcPr>
            <w:tcW w:w="1482" w:type="dxa"/>
          </w:tcPr>
          <w:p w14:paraId="555FAB5D">
            <w:pPr>
              <w:pStyle w:val="27"/>
              <w:spacing w:before="152" w:line="237" w:lineRule="auto"/>
              <w:ind w:left="220"/>
            </w:pPr>
          </w:p>
        </w:tc>
        <w:tc>
          <w:tcPr>
            <w:tcW w:w="1172" w:type="dxa"/>
            <w:tcBorders>
              <w:right w:val="single" w:color="000000" w:sz="10" w:space="0"/>
            </w:tcBorders>
          </w:tcPr>
          <w:p w14:paraId="73C25BBE">
            <w:pPr>
              <w:pStyle w:val="27"/>
              <w:spacing w:before="152" w:line="219" w:lineRule="auto"/>
              <w:ind w:left="436"/>
            </w:pPr>
          </w:p>
        </w:tc>
      </w:tr>
      <w:tr w14:paraId="48F8B82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6CCEAF6E">
            <w:pPr>
              <w:pStyle w:val="27"/>
              <w:spacing w:before="157" w:line="237" w:lineRule="auto"/>
              <w:ind w:left="195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79F72C7C">
            <w:pPr>
              <w:pStyle w:val="27"/>
              <w:spacing w:before="157" w:line="219" w:lineRule="auto"/>
              <w:ind w:left="125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4B3C91E2">
            <w:pPr>
              <w:pStyle w:val="27"/>
              <w:spacing w:before="157" w:line="237" w:lineRule="auto"/>
              <w:ind w:left="210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70D833BE">
            <w:pPr>
              <w:pStyle w:val="27"/>
              <w:spacing w:before="157" w:line="218" w:lineRule="auto"/>
              <w:ind w:left="164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2FE64962">
            <w:pPr>
              <w:pStyle w:val="27"/>
              <w:spacing w:before="157" w:line="237" w:lineRule="auto"/>
              <w:ind w:left="267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57E95EEE">
            <w:pPr>
              <w:pStyle w:val="27"/>
              <w:spacing w:before="157" w:line="220" w:lineRule="auto"/>
              <w:ind w:left="202"/>
            </w:pPr>
          </w:p>
        </w:tc>
        <w:tc>
          <w:tcPr>
            <w:tcW w:w="1482" w:type="dxa"/>
            <w:tcBorders>
              <w:bottom w:val="single" w:color="000000" w:sz="10" w:space="0"/>
            </w:tcBorders>
          </w:tcPr>
          <w:p w14:paraId="72D97434">
            <w:pPr>
              <w:pStyle w:val="27"/>
              <w:spacing w:before="157" w:line="237" w:lineRule="auto"/>
              <w:ind w:left="220"/>
            </w:pPr>
          </w:p>
        </w:tc>
        <w:tc>
          <w:tcPr>
            <w:tcW w:w="1172" w:type="dxa"/>
            <w:tcBorders>
              <w:bottom w:val="single" w:color="000000" w:sz="10" w:space="0"/>
              <w:right w:val="single" w:color="000000" w:sz="10" w:space="0"/>
            </w:tcBorders>
          </w:tcPr>
          <w:p w14:paraId="5AF33903">
            <w:pPr>
              <w:pStyle w:val="27"/>
              <w:spacing w:before="157" w:line="219" w:lineRule="auto"/>
              <w:ind w:left="436"/>
            </w:pPr>
          </w:p>
        </w:tc>
      </w:tr>
    </w:tbl>
    <w:p w14:paraId="51838A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tbl>
      <w:tblPr>
        <w:tblStyle w:val="28"/>
        <w:tblW w:w="9733" w:type="dxa"/>
        <w:tblInd w:w="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33"/>
      </w:tblGrid>
      <w:tr w14:paraId="435C9E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9" w:hRule="atLeast"/>
        </w:trPr>
        <w:tc>
          <w:tcPr>
            <w:tcW w:w="9733" w:type="dxa"/>
          </w:tcPr>
          <w:p w14:paraId="5C05A793">
            <w:pPr>
              <w:spacing w:before="156" w:line="224" w:lineRule="auto"/>
              <w:ind w:left="134"/>
              <w:rPr>
                <w:rFonts w:ascii="仿宋" w:hAnsi="仿宋" w:eastAsia="仿宋" w:cs="仿宋"/>
                <w:sz w:val="31"/>
                <w:szCs w:val="31"/>
              </w:rPr>
            </w:pPr>
            <w:r>
              <w:rPr>
                <w:rFonts w:ascii="仿宋" w:hAnsi="仿宋" w:eastAsia="仿宋" w:cs="仿宋"/>
                <w:b/>
                <w:bCs/>
                <w:spacing w:val="4"/>
                <w:sz w:val="31"/>
                <w:szCs w:val="31"/>
              </w:rPr>
              <w:t>一、管理评审会议时间、地点</w:t>
            </w:r>
          </w:p>
          <w:p w14:paraId="5BDBDC78">
            <w:pPr>
              <w:spacing w:before="211" w:line="218" w:lineRule="auto"/>
              <w:ind w:left="54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9"/>
                <w:sz w:val="24"/>
                <w:szCs w:val="24"/>
              </w:rPr>
              <w:t>时间：202</w:t>
            </w:r>
            <w:r>
              <w:rPr>
                <w:rFonts w:hint="eastAsia" w:ascii="仿宋" w:hAnsi="仿宋" w:eastAsia="仿宋" w:cs="仿宋"/>
                <w:spacing w:val="-9"/>
                <w:sz w:val="24"/>
                <w:szCs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spacing w:val="-9"/>
                <w:sz w:val="24"/>
                <w:szCs w:val="24"/>
              </w:rPr>
              <w:t>年</w:t>
            </w:r>
            <w:r>
              <w:rPr>
                <w:rFonts w:hint="eastAsia" w:ascii="仿宋" w:hAnsi="仿宋" w:eastAsia="仿宋" w:cs="仿宋"/>
                <w:spacing w:val="-34"/>
                <w:sz w:val="24"/>
                <w:szCs w:val="24"/>
                <w:lang w:val="en-US" w:eastAsia="zh-CN"/>
              </w:rPr>
              <w:t>1</w:t>
            </w:r>
            <w:r>
              <w:rPr>
                <w:rFonts w:ascii="仿宋" w:hAnsi="仿宋" w:eastAsia="仿宋" w:cs="仿宋"/>
                <w:spacing w:val="-9"/>
                <w:sz w:val="24"/>
                <w:szCs w:val="24"/>
              </w:rPr>
              <w:t>月</w:t>
            </w:r>
            <w:r>
              <w:rPr>
                <w:rFonts w:hint="eastAsia" w:ascii="仿宋" w:hAnsi="仿宋" w:eastAsia="仿宋" w:cs="仿宋"/>
                <w:spacing w:val="-9"/>
                <w:sz w:val="24"/>
                <w:szCs w:val="24"/>
                <w:lang w:val="en-US" w:eastAsia="zh-CN"/>
              </w:rPr>
              <w:t>20</w:t>
            </w:r>
            <w:r>
              <w:rPr>
                <w:rFonts w:ascii="仿宋" w:hAnsi="仿宋" w:eastAsia="仿宋" w:cs="仿宋"/>
                <w:spacing w:val="-9"/>
                <w:sz w:val="24"/>
                <w:szCs w:val="24"/>
              </w:rPr>
              <w:t>日</w:t>
            </w:r>
          </w:p>
          <w:p w14:paraId="75F82768">
            <w:pPr>
              <w:spacing w:before="183" w:line="220" w:lineRule="auto"/>
              <w:ind w:left="53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地点：会议室</w:t>
            </w:r>
          </w:p>
        </w:tc>
      </w:tr>
      <w:tr w14:paraId="6F5EBD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4" w:hRule="atLeast"/>
        </w:trPr>
        <w:tc>
          <w:tcPr>
            <w:tcW w:w="9733" w:type="dxa"/>
          </w:tcPr>
          <w:p w14:paraId="66703857">
            <w:pPr>
              <w:spacing w:before="152" w:line="224" w:lineRule="auto"/>
              <w:ind w:left="139"/>
              <w:rPr>
                <w:rFonts w:ascii="仿宋" w:hAnsi="仿宋" w:eastAsia="仿宋" w:cs="仿宋"/>
                <w:sz w:val="31"/>
                <w:szCs w:val="31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31"/>
                <w:szCs w:val="31"/>
              </w:rPr>
              <w:t>二、评审目的：</w:t>
            </w:r>
          </w:p>
          <w:p w14:paraId="12F52091">
            <w:pPr>
              <w:spacing w:before="211" w:line="313" w:lineRule="auto"/>
              <w:ind w:left="128" w:right="106" w:firstLine="40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评价公司运维管理体系的适宜性、充分性、有效性，识别改进和变更需求，实现公司运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维服务管理体系的持续改进。</w:t>
            </w:r>
          </w:p>
        </w:tc>
      </w:tr>
      <w:tr w14:paraId="237C11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4" w:hRule="atLeast"/>
        </w:trPr>
        <w:tc>
          <w:tcPr>
            <w:tcW w:w="9733" w:type="dxa"/>
          </w:tcPr>
          <w:p w14:paraId="11D7A706">
            <w:pPr>
              <w:spacing w:before="154" w:line="223" w:lineRule="auto"/>
              <w:ind w:left="138"/>
              <w:rPr>
                <w:rFonts w:ascii="仿宋" w:hAnsi="仿宋" w:eastAsia="仿宋" w:cs="仿宋"/>
                <w:sz w:val="31"/>
                <w:szCs w:val="31"/>
              </w:rPr>
            </w:pPr>
            <w:r>
              <w:rPr>
                <w:rFonts w:ascii="仿宋" w:hAnsi="仿宋" w:eastAsia="仿宋" w:cs="仿宋"/>
                <w:b/>
                <w:bCs/>
                <w:spacing w:val="4"/>
                <w:sz w:val="31"/>
                <w:szCs w:val="31"/>
              </w:rPr>
              <w:t>三、参加评审部门（人员）</w:t>
            </w:r>
          </w:p>
          <w:p w14:paraId="4F426FED">
            <w:pPr>
              <w:spacing w:before="212" w:line="218" w:lineRule="auto"/>
              <w:ind w:left="13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1、会议主持：总经理 陈垒</w:t>
            </w:r>
          </w:p>
          <w:p w14:paraId="494D678C">
            <w:pPr>
              <w:spacing w:before="184" w:line="217" w:lineRule="auto"/>
              <w:ind w:left="11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  <w:szCs w:val="24"/>
              </w:rPr>
              <w:t>2、体系覆盖部门负责人：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赵川华.、刘鑫楠、李欣雨、郑运龙</w:t>
            </w:r>
          </w:p>
        </w:tc>
      </w:tr>
      <w:tr w14:paraId="360FD5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83" w:hRule="atLeast"/>
        </w:trPr>
        <w:tc>
          <w:tcPr>
            <w:tcW w:w="9733" w:type="dxa"/>
          </w:tcPr>
          <w:p w14:paraId="3B9BCA98">
            <w:pPr>
              <w:spacing w:before="154" w:line="224" w:lineRule="auto"/>
              <w:ind w:left="167"/>
              <w:rPr>
                <w:rFonts w:ascii="仿宋" w:hAnsi="仿宋" w:eastAsia="仿宋" w:cs="仿宋"/>
                <w:sz w:val="31"/>
                <w:szCs w:val="31"/>
              </w:rPr>
            </w:pPr>
            <w:r>
              <w:rPr>
                <w:rFonts w:ascii="仿宋" w:hAnsi="仿宋" w:eastAsia="仿宋" w:cs="仿宋"/>
                <w:b/>
                <w:bCs/>
                <w:spacing w:val="1"/>
                <w:sz w:val="31"/>
                <w:szCs w:val="31"/>
              </w:rPr>
              <w:t>四、管理评审报告内容</w:t>
            </w:r>
          </w:p>
          <w:p w14:paraId="157FEB20">
            <w:pPr>
              <w:spacing w:before="211" w:line="218" w:lineRule="auto"/>
              <w:ind w:left="55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7"/>
                <w:sz w:val="24"/>
                <w:szCs w:val="24"/>
              </w:rPr>
              <w:t>1.</w:t>
            </w:r>
            <w:r>
              <w:rPr>
                <w:rFonts w:ascii="仿宋" w:hAnsi="仿宋" w:eastAsia="仿宋" w:cs="仿宋"/>
                <w:spacing w:val="90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7"/>
                <w:sz w:val="24"/>
                <w:szCs w:val="24"/>
              </w:rPr>
              <w:t>质量方针和目标的实现情况；</w:t>
            </w:r>
          </w:p>
          <w:p w14:paraId="07955931">
            <w:pPr>
              <w:spacing w:before="183" w:line="348" w:lineRule="auto"/>
              <w:ind w:left="124" w:right="112" w:firstLine="42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5"/>
                <w:sz w:val="24"/>
                <w:szCs w:val="24"/>
              </w:rPr>
              <w:t>本公司质量管理方针是：创新的服务理念、精湛的服务技术、卓著的服务信誉</w:t>
            </w:r>
            <w:r>
              <w:rPr>
                <w:rFonts w:ascii="仿宋" w:hAnsi="仿宋" w:eastAsia="仿宋" w:cs="仿宋"/>
                <w:spacing w:val="4"/>
                <w:sz w:val="24"/>
                <w:szCs w:val="24"/>
              </w:rPr>
              <w:t>。公司</w:t>
            </w:r>
            <w:r>
              <w:rPr>
                <w:rFonts w:ascii="仿宋" w:hAnsi="仿宋" w:eastAsia="仿宋" w:cs="仿宋"/>
                <w:spacing w:val="3"/>
                <w:sz w:val="24"/>
                <w:szCs w:val="24"/>
              </w:rPr>
              <w:t>注重于对员工服务意识的培训，培训所有员工以创新的服务理念、精湛的服务技术以及卓</w:t>
            </w:r>
            <w:r>
              <w:rPr>
                <w:rFonts w:ascii="仿宋" w:hAnsi="仿宋" w:eastAsia="仿宋" w:cs="仿宋"/>
                <w:spacing w:val="10"/>
                <w:sz w:val="24"/>
                <w:szCs w:val="24"/>
              </w:rPr>
              <w:t>著的服务信誉去服务客户。大家本着以客户为中心的服务</w:t>
            </w:r>
            <w:r>
              <w:rPr>
                <w:rFonts w:ascii="仿宋" w:hAnsi="仿宋" w:eastAsia="仿宋" w:cs="仿宋"/>
                <w:spacing w:val="9"/>
                <w:sz w:val="24"/>
                <w:szCs w:val="24"/>
              </w:rPr>
              <w:t>理念、不断提高和改进技术水</w:t>
            </w:r>
            <w:r>
              <w:rPr>
                <w:rFonts w:ascii="仿宋" w:hAnsi="仿宋" w:eastAsia="仿宋" w:cs="仿宋"/>
                <w:spacing w:val="2"/>
                <w:sz w:val="24"/>
                <w:szCs w:val="24"/>
              </w:rPr>
              <w:t>平，</w:t>
            </w:r>
            <w:r>
              <w:rPr>
                <w:rFonts w:ascii="仿宋" w:hAnsi="仿宋" w:eastAsia="仿宋" w:cs="仿宋"/>
                <w:spacing w:val="-68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2"/>
                <w:sz w:val="24"/>
                <w:szCs w:val="24"/>
              </w:rPr>
              <w:t>以高质量高效益的服务回报客户的信任，得到了客户的一致好评。评审人员认为：公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司的质量方针得到了切实的贯彻执行。</w:t>
            </w:r>
          </w:p>
          <w:p w14:paraId="314699D5">
            <w:pPr>
              <w:spacing w:line="217" w:lineRule="auto"/>
              <w:ind w:left="60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运维质量管理目标达成情况。</w:t>
            </w:r>
          </w:p>
          <w:p w14:paraId="6E2DA54E">
            <w:pPr>
              <w:spacing w:before="184" w:line="359" w:lineRule="auto"/>
              <w:ind w:left="123" w:right="107" w:firstLine="48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公司运维服务能力指标共</w:t>
            </w:r>
            <w:r>
              <w:rPr>
                <w:rFonts w:hint="eastAsia" w:ascii="仿宋" w:hAnsi="仿宋" w:eastAsia="仿宋" w:cs="仿宋"/>
                <w:spacing w:val="-3"/>
                <w:sz w:val="24"/>
                <w:szCs w:val="24"/>
                <w:lang w:val="en-US" w:eastAsia="zh-CN"/>
              </w:rPr>
              <w:t>34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项，其中年度考核指标</w:t>
            </w:r>
            <w:r>
              <w:rPr>
                <w:rFonts w:hint="eastAsia" w:ascii="仿宋" w:hAnsi="仿宋" w:eastAsia="仿宋" w:cs="仿宋"/>
                <w:spacing w:val="-29"/>
                <w:sz w:val="24"/>
                <w:szCs w:val="24"/>
                <w:lang w:val="en-US" w:eastAsia="zh-CN"/>
              </w:rPr>
              <w:t>18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项,半年</w:t>
            </w:r>
            <w:r>
              <w:rPr>
                <w:rFonts w:hint="eastAsia" w:ascii="仿宋" w:hAnsi="仿宋" w:eastAsia="仿宋" w:cs="仿宋"/>
                <w:spacing w:val="-3"/>
                <w:sz w:val="24"/>
                <w:szCs w:val="24"/>
                <w:lang w:val="en-US" w:eastAsia="zh-CN"/>
              </w:rPr>
              <w:t>指标2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项，季度考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核指标</w:t>
            </w:r>
            <w:r>
              <w:rPr>
                <w:rFonts w:hint="eastAsia" w:ascii="仿宋" w:hAnsi="仿宋" w:eastAsia="仿宋" w:cs="仿宋"/>
                <w:spacing w:val="-39"/>
                <w:sz w:val="24"/>
                <w:szCs w:val="24"/>
                <w:lang w:val="en-US" w:eastAsia="zh-CN"/>
              </w:rPr>
              <w:t>11项目，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月度考核指标</w:t>
            </w: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  <w:lang w:val="en-US" w:eastAsia="zh-CN"/>
              </w:rPr>
              <w:t>3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项；</w:t>
            </w:r>
            <w:r>
              <w:rPr>
                <w:rFonts w:hint="eastAsia" w:ascii="仿宋" w:hAnsi="仿宋" w:eastAsia="仿宋" w:cs="仿宋"/>
                <w:spacing w:val="-4"/>
                <w:sz w:val="24"/>
                <w:szCs w:val="24"/>
                <w:lang w:val="en-US" w:eastAsia="zh-CN"/>
              </w:rPr>
              <w:t>截止2026年1月在内审中发现一项不符合，已经进行整改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。</w:t>
            </w:r>
          </w:p>
          <w:p w14:paraId="6786D824">
            <w:pPr>
              <w:spacing w:before="3" w:line="359" w:lineRule="auto"/>
              <w:ind w:left="127" w:right="105" w:firstLine="423"/>
              <w:jc w:val="both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截至 202</w:t>
            </w:r>
            <w:r>
              <w:rPr>
                <w:rFonts w:hint="eastAsia" w:ascii="仿宋" w:hAnsi="仿宋" w:eastAsia="仿宋" w:cs="仿宋"/>
                <w:spacing w:val="-1"/>
                <w:sz w:val="24"/>
                <w:szCs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年1月运维服务能力规划的适宜性、充分性和有效性及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完成情况；自建立</w:t>
            </w:r>
            <w:r>
              <w:rPr>
                <w:rFonts w:ascii="仿宋" w:hAnsi="仿宋" w:eastAsia="仿宋" w:cs="仿宋"/>
                <w:sz w:val="24"/>
                <w:szCs w:val="24"/>
              </w:rPr>
              <w:t>ITSS运维体系和实施以来，经过内审和管理评审，体系方面完善，肯定了质量体系的正确</w:t>
            </w:r>
            <w:r>
              <w:rPr>
                <w:rFonts w:ascii="仿宋" w:hAnsi="仿宋" w:eastAsia="仿宋" w:cs="仿宋"/>
                <w:spacing w:val="3"/>
                <w:sz w:val="24"/>
                <w:szCs w:val="24"/>
              </w:rPr>
              <w:t>性，质量目标已经基本达成，各方面运作都有较好效果，相信以后通过公司全体人员的努</w:t>
            </w: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力领导的正确指引和支持，体系的不断完善，各方面捷报会越来越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多，成绩会越来越好。</w:t>
            </w:r>
          </w:p>
          <w:p w14:paraId="020CC6E2">
            <w:pPr>
              <w:spacing w:before="76" w:line="216" w:lineRule="auto"/>
              <w:ind w:left="53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2.</w:t>
            </w:r>
            <w:r>
              <w:rPr>
                <w:rFonts w:ascii="仿宋" w:hAnsi="仿宋" w:eastAsia="仿宋" w:cs="仿宋"/>
                <w:spacing w:val="94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组织架构、人员、资源、技术、过程</w:t>
            </w: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  <w:lang w:val="en-US" w:eastAsia="zh-CN"/>
              </w:rPr>
              <w:t>交付和应急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等的适宜性</w:t>
            </w:r>
          </w:p>
          <w:p w14:paraId="2A795D3B">
            <w:pPr>
              <w:spacing w:before="108" w:line="216" w:lineRule="auto"/>
              <w:ind w:left="674"/>
              <w:rPr>
                <w:rFonts w:ascii="仿宋" w:hAnsi="仿宋" w:eastAsia="仿宋" w:cs="仿宋"/>
                <w:spacing w:val="2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2"/>
                <w:sz w:val="24"/>
                <w:szCs w:val="24"/>
              </w:rPr>
              <w:t>组织架构内各部门分工明确、职责清晰，有相互的协调和沟通通道</w:t>
            </w:r>
            <w:r>
              <w:rPr>
                <w:rFonts w:ascii="仿宋" w:hAnsi="仿宋" w:eastAsia="仿宋" w:cs="仿宋"/>
                <w:spacing w:val="1"/>
                <w:sz w:val="24"/>
                <w:szCs w:val="24"/>
              </w:rPr>
              <w:t>，保障了运行维护</w:t>
            </w:r>
          </w:p>
          <w:p w14:paraId="404D2994">
            <w:pPr>
              <w:spacing w:before="42" w:line="359" w:lineRule="auto"/>
              <w:ind w:left="124" w:right="112" w:hanging="1"/>
              <w:jc w:val="both"/>
              <w:rPr>
                <w:rFonts w:ascii="仿宋" w:hAnsi="仿宋" w:eastAsia="仿宋" w:cs="仿宋"/>
                <w:spacing w:val="3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3"/>
                <w:sz w:val="24"/>
                <w:szCs w:val="24"/>
              </w:rPr>
              <w:t>服务的顺利实施。现有人员管理、岗位结构和人员的知识、技能、经验、安全意识等方面可以达到运行维护服务应有的水平。</w:t>
            </w:r>
          </w:p>
          <w:p w14:paraId="50DA2C4F">
            <w:pPr>
              <w:spacing w:before="42" w:line="359" w:lineRule="auto"/>
              <w:ind w:left="124" w:right="112" w:hanging="1"/>
              <w:jc w:val="both"/>
              <w:rPr>
                <w:rFonts w:hint="default" w:ascii="仿宋" w:hAnsi="仿宋" w:eastAsia="仿宋" w:cs="仿宋"/>
                <w:spacing w:val="3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pacing w:val="3"/>
                <w:sz w:val="24"/>
                <w:szCs w:val="24"/>
                <w:lang w:val="en-US" w:eastAsia="zh-CN"/>
              </w:rPr>
              <w:t>资源方面</w:t>
            </w:r>
            <w:r>
              <w:rPr>
                <w:rFonts w:ascii="仿宋" w:hAnsi="仿宋" w:eastAsia="仿宋" w:cs="仿宋"/>
                <w:spacing w:val="3"/>
                <w:sz w:val="24"/>
                <w:szCs w:val="24"/>
              </w:rPr>
              <w:t>公司提供足够的资源，鼓励开展创新性，持续改进所需的资源和机制，以保持管理体系并持续改进其有效性。</w:t>
            </w:r>
            <w:r>
              <w:rPr>
                <w:rFonts w:hint="eastAsia" w:ascii="仿宋" w:hAnsi="仿宋" w:eastAsia="仿宋" w:cs="仿宋"/>
                <w:spacing w:val="3"/>
                <w:sz w:val="24"/>
                <w:szCs w:val="24"/>
                <w:lang w:val="en-US" w:eastAsia="zh-CN"/>
              </w:rPr>
              <w:t>在最终软件库检查时，一、二季度没有达到考核指标。与部门经理沟通，及时学习最终软件库管理制度并培训Git使用流程，质量部加强监督，避免再次出现考核不合格情况。</w:t>
            </w:r>
          </w:p>
          <w:p w14:paraId="0973324F">
            <w:pPr>
              <w:spacing w:before="42" w:line="359" w:lineRule="auto"/>
              <w:ind w:left="124" w:right="112" w:hanging="1"/>
              <w:jc w:val="both"/>
              <w:rPr>
                <w:rFonts w:ascii="仿宋" w:hAnsi="仿宋" w:eastAsia="仿宋" w:cs="仿宋"/>
                <w:spacing w:val="3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3"/>
                <w:sz w:val="24"/>
                <w:szCs w:val="24"/>
                <w:lang w:val="en-US" w:eastAsia="zh-CN"/>
              </w:rPr>
              <w:t>研发方面</w:t>
            </w:r>
            <w:r>
              <w:rPr>
                <w:rFonts w:ascii="仿宋" w:hAnsi="仿宋" w:eastAsia="仿宋" w:cs="仿宋"/>
                <w:spacing w:val="3"/>
                <w:sz w:val="24"/>
                <w:szCs w:val="24"/>
              </w:rPr>
              <w:t>公司具备发现和解决问题、风险控制、技术储备以及研发、应用新技术和前沿技术的能力。</w:t>
            </w:r>
          </w:p>
          <w:p w14:paraId="2E465F17">
            <w:pPr>
              <w:spacing w:before="42" w:line="359" w:lineRule="auto"/>
              <w:ind w:left="124" w:right="112" w:hanging="1"/>
              <w:jc w:val="both"/>
              <w:rPr>
                <w:rFonts w:ascii="仿宋" w:hAnsi="仿宋" w:eastAsia="仿宋" w:cs="仿宋"/>
                <w:spacing w:val="-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3"/>
                <w:sz w:val="24"/>
                <w:szCs w:val="24"/>
                <w:lang w:val="en-US" w:eastAsia="zh-CN"/>
              </w:rPr>
              <w:t>过程管理方面</w:t>
            </w:r>
            <w:r>
              <w:rPr>
                <w:rFonts w:ascii="仿宋" w:hAnsi="仿宋" w:eastAsia="仿宋" w:cs="仿宋"/>
                <w:spacing w:val="3"/>
                <w:sz w:val="24"/>
                <w:szCs w:val="24"/>
              </w:rPr>
              <w:t>公司具备相应的服务管理能力</w:t>
            </w: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并发挥其效能，建立相适应的服务管理过程，保证了运维服务部门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的规范性。</w:t>
            </w:r>
          </w:p>
          <w:p w14:paraId="269510FA">
            <w:pPr>
              <w:spacing w:before="42" w:line="359" w:lineRule="auto"/>
              <w:ind w:left="124" w:right="112" w:hanging="1"/>
              <w:jc w:val="both"/>
              <w:rPr>
                <w:rFonts w:hint="eastAsia" w:ascii="仿宋" w:hAnsi="仿宋" w:eastAsia="仿宋" w:cs="仿宋"/>
                <w:spacing w:val="3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pacing w:val="3"/>
                <w:sz w:val="24"/>
                <w:szCs w:val="24"/>
                <w:lang w:val="en-US" w:eastAsia="zh-CN"/>
              </w:rPr>
              <w:t>交付方面，依据交付规定按时完成相关报告的交付</w:t>
            </w:r>
          </w:p>
          <w:p w14:paraId="31DBC273">
            <w:pPr>
              <w:spacing w:before="42" w:line="359" w:lineRule="auto"/>
              <w:ind w:left="124" w:right="112" w:hanging="1"/>
              <w:jc w:val="both"/>
              <w:rPr>
                <w:rFonts w:hint="default" w:ascii="仿宋" w:hAnsi="仿宋" w:eastAsia="仿宋" w:cs="仿宋"/>
                <w:spacing w:val="3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pacing w:val="3"/>
                <w:sz w:val="24"/>
                <w:szCs w:val="24"/>
                <w:lang w:val="en-US" w:eastAsia="zh-CN"/>
              </w:rPr>
              <w:t>应急方面，针对项目进行不的性能和功能要求制定不同的应急预案、计划、方案等。保证各项目平稳运行。</w:t>
            </w:r>
          </w:p>
          <w:p w14:paraId="25B6AF2C">
            <w:pPr>
              <w:spacing w:before="77" w:line="218" w:lineRule="auto"/>
              <w:ind w:left="54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3.</w:t>
            </w:r>
            <w:r>
              <w:rPr>
                <w:rFonts w:ascii="仿宋" w:hAnsi="仿宋" w:eastAsia="仿宋" w:cs="仿宋"/>
                <w:spacing w:val="105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内部管理体系的审核</w:t>
            </w:r>
          </w:p>
          <w:p w14:paraId="5559952D">
            <w:pPr>
              <w:spacing w:before="105" w:line="360" w:lineRule="auto"/>
              <w:ind w:left="125" w:right="105" w:firstLine="4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202</w:t>
            </w:r>
            <w:r>
              <w:rPr>
                <w:rFonts w:hint="eastAsia" w:ascii="仿宋" w:hAnsi="仿宋" w:eastAsia="仿宋" w:cs="仿宋"/>
                <w:spacing w:val="-6"/>
                <w:sz w:val="24"/>
                <w:szCs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年</w:t>
            </w:r>
            <w:r>
              <w:rPr>
                <w:rFonts w:hint="eastAsia" w:ascii="仿宋" w:hAnsi="仿宋" w:eastAsia="仿宋" w:cs="仿宋"/>
                <w:spacing w:val="-6"/>
                <w:sz w:val="24"/>
                <w:szCs w:val="24"/>
                <w:lang w:val="en-US" w:eastAsia="zh-CN"/>
              </w:rPr>
              <w:t>1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月</w:t>
            </w:r>
            <w:r>
              <w:rPr>
                <w:rFonts w:hint="eastAsia" w:ascii="仿宋" w:hAnsi="仿宋" w:eastAsia="仿宋" w:cs="仿宋"/>
                <w:spacing w:val="-6"/>
                <w:sz w:val="24"/>
                <w:szCs w:val="24"/>
                <w:lang w:val="en-US" w:eastAsia="zh-CN"/>
              </w:rPr>
              <w:t>15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日-1</w:t>
            </w:r>
            <w:r>
              <w:rPr>
                <w:rFonts w:hint="eastAsia" w:ascii="仿宋" w:hAnsi="仿宋" w:eastAsia="仿宋" w:cs="仿宋"/>
                <w:spacing w:val="-6"/>
                <w:sz w:val="24"/>
                <w:szCs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日，公司对运维服务体系进行了内审。在审核的过程中,</w:t>
            </w:r>
            <w:r>
              <w:rPr>
                <w:rFonts w:ascii="仿宋" w:hAnsi="仿宋" w:eastAsia="仿宋" w:cs="仿宋"/>
                <w:sz w:val="24"/>
                <w:szCs w:val="24"/>
              </w:rPr>
              <w:t>审核是按照客观公正、独立与被审核区域的方式进行，审核结果共有 1 项不合格项，属一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般不合格，有0项严重不合格。</w:t>
            </w:r>
          </w:p>
          <w:p w14:paraId="46C47881">
            <w:pPr>
              <w:spacing w:before="185" w:line="289" w:lineRule="auto"/>
              <w:ind w:left="123" w:right="126" w:hanging="2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针对此次内审不合格项，要求在五个工作日内整改完成</w:t>
            </w: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  <w:lang w:eastAsia="zh-CN"/>
              </w:rPr>
              <w:t>。</w:t>
            </w: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  <w:lang w:val="en-US" w:eastAsia="zh-CN"/>
              </w:rPr>
              <w:t>经跟踪已经整改完毕。</w:t>
            </w:r>
          </w:p>
          <w:p w14:paraId="403858BE">
            <w:pPr>
              <w:spacing w:before="186" w:line="217" w:lineRule="auto"/>
              <w:ind w:left="53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4.</w:t>
            </w:r>
            <w:r>
              <w:rPr>
                <w:rFonts w:ascii="仿宋" w:hAnsi="仿宋" w:eastAsia="仿宋" w:cs="仿宋"/>
                <w:spacing w:val="86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纠正和预防措施情况</w:t>
            </w:r>
          </w:p>
          <w:p w14:paraId="1C2C6A32">
            <w:pPr>
              <w:spacing w:before="109" w:line="359" w:lineRule="auto"/>
              <w:ind w:left="125" w:right="108" w:firstLine="431"/>
              <w:jc w:val="both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建立ITSS管理体系以来，主要针对过程和服务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的实现程度、内部审核结果由</w:t>
            </w:r>
            <w:r>
              <w:rPr>
                <w:rFonts w:hint="eastAsia" w:ascii="仿宋" w:hAnsi="仿宋" w:eastAsia="仿宋" w:cs="仿宋"/>
                <w:spacing w:val="-2"/>
                <w:sz w:val="24"/>
                <w:szCs w:val="24"/>
                <w:lang w:val="en-US" w:eastAsia="zh-CN"/>
              </w:rPr>
              <w:t>质量部</w:t>
            </w:r>
            <w:r>
              <w:rPr>
                <w:rFonts w:ascii="仿宋" w:hAnsi="仿宋" w:eastAsia="仿宋" w:cs="仿宋"/>
                <w:spacing w:val="3"/>
                <w:sz w:val="24"/>
                <w:szCs w:val="24"/>
              </w:rPr>
              <w:t>进行纠正和预防措施的实施和监督。及时改进运行维护服务能力管理过程中的不足，持续提升运行维护服务能力。从目前的实施情况看，通过对不符合项的行为进行总结分析，对未达成的指标进行调查分析，根据分析结果确定改进措施，制定服务能力改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进计划从而达到提升运行维护服务能力的目的。</w:t>
            </w:r>
          </w:p>
          <w:p w14:paraId="3F816BA2">
            <w:pPr>
              <w:spacing w:before="78" w:line="218" w:lineRule="auto"/>
              <w:ind w:left="54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5.</w:t>
            </w:r>
            <w:r>
              <w:rPr>
                <w:rFonts w:ascii="仿宋" w:hAnsi="仿宋" w:eastAsia="仿宋" w:cs="仿宋"/>
                <w:spacing w:val="89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客户满意度和顾客投诉情况</w:t>
            </w:r>
          </w:p>
          <w:p w14:paraId="457BBFE1">
            <w:pPr>
              <w:spacing w:before="185" w:line="360" w:lineRule="auto"/>
              <w:ind w:left="117" w:right="106" w:firstLine="49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客户满意度调查于202</w:t>
            </w: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年1月</w:t>
            </w: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  <w:lang w:val="en-US" w:eastAsia="zh-CN"/>
              </w:rPr>
              <w:t>10日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进行</w:t>
            </w: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spacing w:val="-5"/>
                <w:sz w:val="24"/>
                <w:szCs w:val="24"/>
                <w:lang w:val="en-US" w:eastAsia="zh-CN"/>
              </w:rPr>
              <w:t>于2026年1月14日完成满意度汇总分析</w:t>
            </w: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，对公司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运维服务</w:t>
            </w:r>
            <w:r>
              <w:rPr>
                <w:rFonts w:hint="eastAsia" w:ascii="仿宋" w:hAnsi="仿宋" w:eastAsia="仿宋" w:cs="仿宋"/>
                <w:spacing w:val="-6"/>
                <w:sz w:val="24"/>
                <w:szCs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家客户进行</w:t>
            </w: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客户满意度调查。共发放问卷调查8份，收回8份,回收率100%。经综合评估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客户满意率</w:t>
            </w:r>
            <w:r>
              <w:rPr>
                <w:rFonts w:hint="eastAsia" w:ascii="仿宋" w:hAnsi="仿宋" w:eastAsia="仿宋" w:cs="仿宋"/>
                <w:spacing w:val="-1"/>
                <w:sz w:val="24"/>
                <w:szCs w:val="24"/>
                <w:lang w:val="en-US" w:eastAsia="zh-CN"/>
              </w:rPr>
              <w:t>95分</w:t>
            </w:r>
            <w:r>
              <w:rPr>
                <w:rFonts w:ascii="仿宋" w:hAnsi="仿宋" w:eastAsia="仿宋" w:cs="仿宋"/>
                <w:spacing w:val="-1"/>
                <w:sz w:val="24"/>
                <w:szCs w:val="24"/>
              </w:rPr>
              <w:t>，达成公司质量指标。详见《满意度调查报告》</w:t>
            </w:r>
          </w:p>
          <w:p w14:paraId="02E85979">
            <w:pPr>
              <w:spacing w:line="218" w:lineRule="auto"/>
              <w:ind w:left="53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6.</w:t>
            </w:r>
            <w:r>
              <w:rPr>
                <w:rFonts w:ascii="仿宋" w:hAnsi="仿宋" w:eastAsia="仿宋" w:cs="仿宋"/>
                <w:spacing w:val="75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服务质量状况</w:t>
            </w:r>
          </w:p>
          <w:p w14:paraId="0690F94A">
            <w:pPr>
              <w:spacing w:before="105" w:line="343" w:lineRule="auto"/>
              <w:ind w:left="126" w:right="106" w:firstLine="548"/>
              <w:rPr>
                <w:rFonts w:ascii="仿宋" w:hAnsi="仿宋" w:eastAsia="仿宋" w:cs="仿宋"/>
                <w:spacing w:val="1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2"/>
                <w:sz w:val="24"/>
                <w:szCs w:val="24"/>
              </w:rPr>
              <w:t>本年运维服务部门能按时完成服务交付内容，没有出现重大事故与</w:t>
            </w:r>
            <w:r>
              <w:rPr>
                <w:rFonts w:ascii="仿宋" w:hAnsi="仿宋" w:eastAsia="仿宋" w:cs="仿宋"/>
                <w:spacing w:val="1"/>
                <w:sz w:val="24"/>
                <w:szCs w:val="24"/>
              </w:rPr>
              <w:t>安全事故。</w:t>
            </w:r>
          </w:p>
          <w:p w14:paraId="6E3FFB0C">
            <w:pPr>
              <w:spacing w:before="74" w:line="217" w:lineRule="auto"/>
              <w:ind w:left="54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7.</w:t>
            </w:r>
            <w:r>
              <w:rPr>
                <w:rFonts w:ascii="仿宋" w:hAnsi="仿宋" w:eastAsia="仿宋" w:cs="仿宋"/>
                <w:spacing w:val="85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可能影响管理体系的变化</w:t>
            </w:r>
          </w:p>
          <w:p w14:paraId="1D5C0032">
            <w:pPr>
              <w:spacing w:before="105" w:line="343" w:lineRule="auto"/>
              <w:ind w:left="126" w:right="106" w:firstLine="548"/>
              <w:rPr>
                <w:rFonts w:ascii="仿宋" w:hAnsi="仿宋" w:eastAsia="仿宋" w:cs="仿宋"/>
                <w:spacing w:val="-2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各部门，特别是运维服务部门密切关注运维行业动态和政府政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策、</w:t>
            </w:r>
            <w:r>
              <w:rPr>
                <w:rFonts w:ascii="仿宋" w:hAnsi="仿宋" w:eastAsia="仿宋" w:cs="仿宋"/>
                <w:spacing w:val="1"/>
                <w:sz w:val="24"/>
                <w:szCs w:val="24"/>
              </w:rPr>
              <w:t>客户对服务要求等方面的综合信息，</w:t>
            </w:r>
            <w:r>
              <w:rPr>
                <w:rFonts w:ascii="仿宋" w:hAnsi="仿宋" w:eastAsia="仿宋" w:cs="仿宋"/>
                <w:spacing w:val="-71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1"/>
                <w:sz w:val="24"/>
                <w:szCs w:val="24"/>
              </w:rPr>
              <w:t>以适应不断扩张的运维市场，</w:t>
            </w:r>
            <w:r>
              <w:rPr>
                <w:rFonts w:ascii="仿宋" w:hAnsi="仿宋" w:eastAsia="仿宋" w:cs="仿宋"/>
                <w:spacing w:val="-70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1"/>
                <w:sz w:val="24"/>
                <w:szCs w:val="24"/>
              </w:rPr>
              <w:t>以高</w:t>
            </w:r>
            <w:r>
              <w:rPr>
                <w:rFonts w:ascii="仿宋" w:hAnsi="仿宋" w:eastAsia="仿宋" w:cs="仿宋"/>
                <w:sz w:val="24"/>
                <w:szCs w:val="24"/>
              </w:rPr>
              <w:t>质量的服务赢得行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业客户的认可，从而提升公司在运维市场的影响力。</w:t>
            </w:r>
          </w:p>
          <w:p w14:paraId="41D6BFD0">
            <w:pPr>
              <w:spacing w:before="154" w:line="224" w:lineRule="auto"/>
              <w:ind w:left="167"/>
              <w:rPr>
                <w:rFonts w:hint="default" w:ascii="仿宋" w:hAnsi="仿宋" w:eastAsia="仿宋" w:cs="仿宋"/>
                <w:sz w:val="31"/>
                <w:szCs w:val="3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1"/>
                <w:sz w:val="31"/>
                <w:szCs w:val="31"/>
                <w:lang w:val="en-US" w:eastAsia="zh-CN"/>
              </w:rPr>
              <w:t>五</w:t>
            </w:r>
            <w:r>
              <w:rPr>
                <w:rFonts w:ascii="仿宋" w:hAnsi="仿宋" w:eastAsia="仿宋" w:cs="仿宋"/>
                <w:b/>
                <w:bCs/>
                <w:spacing w:val="1"/>
                <w:sz w:val="31"/>
                <w:szCs w:val="31"/>
              </w:rPr>
              <w:t>、</w:t>
            </w:r>
            <w:r>
              <w:rPr>
                <w:rFonts w:hint="eastAsia" w:ascii="仿宋" w:hAnsi="仿宋" w:eastAsia="仿宋" w:cs="仿宋"/>
                <w:b/>
                <w:bCs/>
                <w:spacing w:val="1"/>
                <w:sz w:val="31"/>
                <w:szCs w:val="31"/>
                <w:lang w:val="en-US" w:eastAsia="zh-CN"/>
              </w:rPr>
              <w:t>管理评审结论</w:t>
            </w:r>
          </w:p>
          <w:p w14:paraId="020FE0C3">
            <w:pPr>
              <w:spacing w:before="120" w:line="218" w:lineRule="auto"/>
              <w:ind w:left="128"/>
              <w:rPr>
                <w:rFonts w:ascii="仿宋" w:hAnsi="仿宋" w:eastAsia="仿宋" w:cs="仿宋"/>
                <w:sz w:val="24"/>
                <w:szCs w:val="24"/>
              </w:rPr>
            </w:pPr>
          </w:p>
          <w:p w14:paraId="49D7A6DB">
            <w:pPr>
              <w:spacing w:before="105" w:line="217" w:lineRule="auto"/>
              <w:ind w:left="68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1、ITSS</w:t>
            </w:r>
            <w:r>
              <w:rPr>
                <w:rFonts w:ascii="仿宋" w:hAnsi="仿宋" w:eastAsia="仿宋" w:cs="仿宋"/>
                <w:spacing w:val="-43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体系规范了公司的运维服务部门管理</w:t>
            </w:r>
            <w:r>
              <w:rPr>
                <w:rFonts w:ascii="仿宋" w:hAnsi="仿宋" w:eastAsia="仿宋" w:cs="仿宋"/>
                <w:spacing w:val="-3"/>
                <w:sz w:val="24"/>
                <w:szCs w:val="24"/>
              </w:rPr>
              <w:t>，提高了公司的运维服务部门的能力；</w:t>
            </w:r>
          </w:p>
          <w:p w14:paraId="402CD91E">
            <w:pPr>
              <w:spacing w:before="185" w:line="217" w:lineRule="auto"/>
              <w:ind w:left="66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2、公司运维服务部门能力指标基本达到；</w:t>
            </w:r>
          </w:p>
          <w:p w14:paraId="3E8EDE75">
            <w:pPr>
              <w:spacing w:before="183" w:line="218" w:lineRule="auto"/>
              <w:ind w:left="67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3、上次内审的问题均得到了有效的改善；</w:t>
            </w:r>
          </w:p>
          <w:p w14:paraId="606B7309">
            <w:pPr>
              <w:spacing w:before="105" w:line="343" w:lineRule="auto"/>
              <w:ind w:left="126" w:right="106" w:firstLine="548"/>
              <w:rPr>
                <w:rFonts w:ascii="仿宋" w:hAnsi="仿宋" w:eastAsia="仿宋" w:cs="仿宋"/>
                <w:spacing w:val="-2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4、现行的运维管理体系是适宜的、充分的、有效的。</w:t>
            </w:r>
          </w:p>
        </w:tc>
      </w:tr>
    </w:tbl>
    <w:p w14:paraId="0E7F7D22">
      <w:pPr>
        <w:pStyle w:val="29"/>
        <w:bidi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5F1786F"/>
    <w:rsid w:val="487117AF"/>
    <w:rsid w:val="60575AEE"/>
    <w:rsid w:val="63CA3E15"/>
    <w:rsid w:val="7E140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table" w:customStyle="1" w:styleId="28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1"/>
    <w:basedOn w:val="2"/>
    <w:next w:val="29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1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30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1775</Words>
  <Characters>1897</Characters>
  <Lines>0</Lines>
  <Paragraphs>0</Paragraphs>
  <TotalTime>3</TotalTime>
  <ScaleCrop>false</ScaleCrop>
  <LinksUpToDate>false</LinksUpToDate>
  <CharactersWithSpaces>1912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2025-12-13T03:17:00Z</dcterms:created>
  <dc:creator>郝宇</dc:creator>
  <cp:lastModifiedBy>郝宇</cp:lastModifiedBy>
  <dcterms:modified xsi:type="dcterms:W3CDTF">2026-03-04T22:17:40Z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341D1C7ED3A1444E8EA73691394D44B6_11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