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89FAF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770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2E0F97C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31139"/>
      <w:r>
        <w:rPr>
          <w:rFonts w:hint="eastAsia"/>
          <w:lang w:val="en-US" w:eastAsia="zh-CN"/>
        </w:rPr>
        <w:t>绩效考核管理制度</w:t>
      </w:r>
      <w:bookmarkEnd w:id="1"/>
    </w:p>
    <w:p w14:paraId="2092930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15345"/>
      <w:r>
        <w:rPr>
          <w:rFonts w:hint="eastAsia"/>
          <w:lang w:val="en-US" w:eastAsia="zh-CN"/>
        </w:rPr>
        <w:t>（HXDL-ITSS-0504）</w:t>
      </w:r>
      <w:bookmarkEnd w:id="2"/>
    </w:p>
    <w:p w14:paraId="48E21A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5E5C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16E60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4261" w:type="dxa"/>
          </w:tcPr>
          <w:p w14:paraId="3D7099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D0748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26DD0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2B43FF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6F1F9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155DC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2B166B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7AC866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B0BD9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3221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43725D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4EF67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68DCB8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17829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65DE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7791E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794DB5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51D4D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BDE6B5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0A2982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6A3B2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3EC0D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518D3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40F010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62F00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38C49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6CDC59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BCD55A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96504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0E8DFB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李欣雨</w:t>
            </w:r>
          </w:p>
        </w:tc>
        <w:tc>
          <w:tcPr>
            <w:tcW w:w="1274" w:type="dxa"/>
          </w:tcPr>
          <w:p w14:paraId="39A6BBE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773FB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B415F1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573847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3190A4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502E1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6C4F76C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115986E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708925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0A5D8B3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00F912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739593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41B6771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55EA5FC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55DA98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4B4EBD8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67F4A6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4A1BE98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BB1B30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E8F3D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D68BB4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88174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7B1054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725CF8B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0DBDA6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36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1FFD358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0C7F6E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_Toc27705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_Toc27705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5379BA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_Toc31139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绩效考核管理制度</w:t>
          </w:r>
          <w:r>
            <w:tab/>
          </w:r>
          <w:r>
            <w:fldChar w:fldCharType="begin"/>
          </w:r>
          <w:r>
            <w:instrText xml:space="preserve"> PAGEREF _Toc31139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CD54EA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_Toc15345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（HXDL-ITSS-0504）</w:t>
          </w:r>
          <w:r>
            <w:tab/>
          </w:r>
          <w:r>
            <w:fldChar w:fldCharType="begin"/>
          </w:r>
          <w:r>
            <w:instrText xml:space="preserve"> PAGEREF _Toc15345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50074C1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_Toc3221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_Toc3221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AE299A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_Toc3702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考核目的</w:t>
          </w:r>
          <w:r>
            <w:tab/>
          </w:r>
          <w:r>
            <w:fldChar w:fldCharType="begin"/>
          </w:r>
          <w:r>
            <w:instrText xml:space="preserve"> PAGEREF _Toc3702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262825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_Toc15901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_Toc15901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0467F8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_Toc7478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考核原则</w:t>
          </w:r>
          <w:r>
            <w:tab/>
          </w:r>
          <w:r>
            <w:fldChar w:fldCharType="begin"/>
          </w:r>
          <w:r>
            <w:instrText xml:space="preserve"> PAGEREF _Toc7478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638C44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_Toc19437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考核周期</w:t>
          </w:r>
          <w:r>
            <w:tab/>
          </w:r>
          <w:r>
            <w:fldChar w:fldCharType="begin"/>
          </w:r>
          <w:r>
            <w:instrText xml:space="preserve"> PAGEREF _Toc19437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88613BE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_Toc22837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考核职责</w:t>
          </w:r>
          <w:r>
            <w:tab/>
          </w:r>
          <w:r>
            <w:fldChar w:fldCharType="begin"/>
          </w:r>
          <w:r>
            <w:instrText xml:space="preserve"> PAGEREF _Toc22837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2E4D6D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_Toc11458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_Toc11458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F545C7D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_Toc10459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各</w:t>
          </w:r>
          <w:r>
            <w:rPr>
              <w:rFonts w:hint="eastAsia"/>
              <w:lang w:val="en-US" w:eastAsia="zh-CN"/>
            </w:rPr>
            <w:t>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_Toc10459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D8FD40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_Toc21888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公司领导</w:t>
          </w:r>
          <w:r>
            <w:tab/>
          </w:r>
          <w:r>
            <w:fldChar w:fldCharType="begin"/>
          </w:r>
          <w:r>
            <w:instrText xml:space="preserve"> PAGEREF _Toc21888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1ABC54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_Toc7469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考核内容</w:t>
          </w:r>
          <w:r>
            <w:tab/>
          </w:r>
          <w:r>
            <w:fldChar w:fldCharType="begin"/>
          </w:r>
          <w:r>
            <w:instrText xml:space="preserve"> PAGEREF _Toc7469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B29785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_Toc3075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运维部、质量部</w:t>
          </w:r>
          <w:r>
            <w:tab/>
          </w:r>
          <w:r>
            <w:fldChar w:fldCharType="begin"/>
          </w:r>
          <w:r>
            <w:instrText xml:space="preserve"> PAGEREF _Toc3075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71C355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_Toc8670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_Toc8670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8BD69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_Toc23915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人力资源部</w:t>
          </w:r>
          <w:r>
            <w:tab/>
          </w:r>
          <w:r>
            <w:fldChar w:fldCharType="begin"/>
          </w:r>
          <w:r>
            <w:instrText xml:space="preserve"> PAGEREF _Toc23915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6DB069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_Toc1754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6.4. 各部门</w:t>
          </w:r>
          <w:r>
            <w:rPr>
              <w:rFonts w:hint="eastAsia"/>
              <w:lang w:val="en-US" w:eastAsia="zh-CN"/>
            </w:rPr>
            <w:t>经理</w:t>
          </w:r>
          <w:r>
            <w:tab/>
          </w:r>
          <w:r>
            <w:fldChar w:fldCharType="begin"/>
          </w:r>
          <w:r>
            <w:instrText xml:space="preserve"> PAGEREF _Toc1754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5D0DD93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_Toc15355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考核结果</w:t>
          </w:r>
          <w:r>
            <w:tab/>
          </w:r>
          <w:r>
            <w:fldChar w:fldCharType="begin"/>
          </w:r>
          <w:r>
            <w:instrText xml:space="preserve"> PAGEREF _Toc15355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FCB68F2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_Toc30522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 考评结果的运用</w:t>
          </w:r>
          <w:r>
            <w:tab/>
          </w:r>
          <w:r>
            <w:fldChar w:fldCharType="begin"/>
          </w:r>
          <w:r>
            <w:instrText xml:space="preserve"> PAGEREF _Toc30522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ED4F89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_Toc10436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8.1. 年度评优</w:t>
          </w:r>
          <w:r>
            <w:tab/>
          </w:r>
          <w:r>
            <w:fldChar w:fldCharType="begin"/>
          </w:r>
          <w:r>
            <w:instrText xml:space="preserve"> PAGEREF _Toc10436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261078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_Toc20674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8.2. 员工定级</w:t>
          </w:r>
          <w:r>
            <w:tab/>
          </w:r>
          <w:r>
            <w:fldChar w:fldCharType="begin"/>
          </w:r>
          <w:r>
            <w:instrText xml:space="preserve"> PAGEREF _Toc20674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0064A1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_Toc12197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8.3. 年度调薪</w:t>
          </w:r>
          <w:r>
            <w:tab/>
          </w:r>
          <w:r>
            <w:fldChar w:fldCharType="begin"/>
          </w:r>
          <w:r>
            <w:instrText xml:space="preserve"> PAGEREF _Toc12197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857D18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_Toc10323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9. 考核流程</w:t>
          </w:r>
          <w:r>
            <w:tab/>
          </w:r>
          <w:r>
            <w:fldChar w:fldCharType="begin"/>
          </w:r>
          <w:r>
            <w:instrText xml:space="preserve"> PAGEREF _Toc10323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4C83063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_Toc28789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10. 申诉的受理</w:t>
          </w:r>
          <w:r>
            <w:tab/>
          </w:r>
          <w:r>
            <w:fldChar w:fldCharType="begin"/>
          </w:r>
          <w:r>
            <w:instrText xml:space="preserve"> PAGEREF _Toc28789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3C4636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_Toc27389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11. 绩效问题改进</w:t>
          </w:r>
          <w:r>
            <w:tab/>
          </w:r>
          <w:r>
            <w:fldChar w:fldCharType="begin"/>
          </w:r>
          <w:r>
            <w:instrText xml:space="preserve"> PAGEREF _Toc27389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4CA6C3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_Toc1613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12. KPI指标</w:t>
          </w:r>
          <w:r>
            <w:tab/>
          </w:r>
          <w:r>
            <w:fldChar w:fldCharType="begin"/>
          </w:r>
          <w:r>
            <w:instrText xml:space="preserve"> PAGEREF _Toc1613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309B6B1">
          <w:r>
            <w:rPr>
              <w:rFonts w:hint="default"/>
              <w:lang w:val="en-US" w:eastAsia="zh-CN"/>
            </w:rPr>
            <w:fldChar w:fldCharType="end"/>
          </w:r>
        </w:p>
      </w:sdtContent>
    </w:sdt>
    <w:p w14:paraId="452E2C0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702"/>
      <w:r>
        <w:rPr>
          <w:rFonts w:hint="default"/>
          <w:lang w:val="en-US" w:eastAsia="zh-CN"/>
        </w:rPr>
        <w:t>考核目的</w:t>
      </w:r>
      <w:bookmarkEnd w:id="4"/>
    </w:p>
    <w:p w14:paraId="2C2998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为更好地激励与挖掘员工潜能，强化员工的责任和竞争意识，提高组织整体效能，同时为员工奖金评定、薪资调整及年度评优等提供科学有效的依据，从而推动企业与员工共同发展。</w:t>
      </w:r>
    </w:p>
    <w:p w14:paraId="1C732D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5901"/>
      <w:r>
        <w:rPr>
          <w:rFonts w:hint="default"/>
          <w:lang w:val="en-US" w:eastAsia="zh-CN"/>
        </w:rPr>
        <w:t>适用范围</w:t>
      </w:r>
      <w:bookmarkEnd w:id="5"/>
    </w:p>
    <w:p w14:paraId="721D4F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本制度适用于公司所有员工。</w:t>
      </w:r>
    </w:p>
    <w:p w14:paraId="23BE43C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7478"/>
      <w:r>
        <w:rPr>
          <w:rFonts w:hint="default"/>
          <w:lang w:val="en-US" w:eastAsia="zh-CN"/>
        </w:rPr>
        <w:t>考核原则</w:t>
      </w:r>
      <w:bookmarkEnd w:id="6"/>
    </w:p>
    <w:p w14:paraId="6698CFD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客观原则：对被考核者的任何评价都应明确的评价标准，以事实为依据，客观地反映员工的实际情况，避免因个人和其他主观因素影响绩效考核的结果。</w:t>
      </w:r>
    </w:p>
    <w:p w14:paraId="11A761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自主原则：各</w:t>
      </w:r>
      <w:r>
        <w:rPr>
          <w:rFonts w:hint="eastAsia"/>
          <w:lang w:val="en-US" w:eastAsia="zh-CN"/>
        </w:rPr>
        <w:t>部门</w:t>
      </w:r>
      <w:r>
        <w:rPr>
          <w:rFonts w:hint="default"/>
          <w:lang w:val="en-US" w:eastAsia="zh-CN"/>
        </w:rPr>
        <w:t>可根据自身工作特点在一定范围内制定相应的考核规程和评价标准，形成部门的考核实施细则，部门内所有岗位均有对应的考核指标。</w:t>
      </w:r>
    </w:p>
    <w:p w14:paraId="16D057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公开原则：各级考核指标（含项目、达到状态、权重和评价标准）的制定与过程调整，对员工公开。</w:t>
      </w:r>
    </w:p>
    <w:p w14:paraId="08D232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反馈原则：过程监控结果和考核结果要及时反馈给被考核者本人，肯定成绩，指出不足，并提出今后努力改进的方向。</w:t>
      </w:r>
    </w:p>
    <w:p w14:paraId="511D4E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改进原则：考核目的在于监督责任者的职能履行与实施，促进责任者对公司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部门经营目标的有效贯彻与实现，因此在考核中要注重对责任者的自我纠正和改进情况的评价。</w:t>
      </w:r>
    </w:p>
    <w:p w14:paraId="1920C95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9437"/>
      <w:r>
        <w:rPr>
          <w:rFonts w:hint="default"/>
          <w:lang w:val="en-US" w:eastAsia="zh-CN"/>
        </w:rPr>
        <w:t>考核周期</w:t>
      </w:r>
      <w:bookmarkEnd w:id="7"/>
    </w:p>
    <w:p w14:paraId="7134EA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季度考核：对员工当季度的工作绩效进行考核，考核时间为下季度第一个月份的1日～25日，遇节假日顺延。</w:t>
      </w:r>
    </w:p>
    <w:p w14:paraId="7BC9ED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</w:t>
      </w:r>
      <w:r>
        <w:rPr>
          <w:rFonts w:hint="eastAsia"/>
          <w:lang w:val="en-US" w:eastAsia="zh-CN"/>
        </w:rPr>
        <w:t>每年6月度上一周期的</w:t>
      </w:r>
      <w:r>
        <w:rPr>
          <w:rFonts w:hint="default"/>
          <w:lang w:val="en-US" w:eastAsia="zh-CN"/>
        </w:rPr>
        <w:t>的工作绩效进行考核，考核时间为</w:t>
      </w:r>
      <w:r>
        <w:rPr>
          <w:rFonts w:hint="eastAsia"/>
          <w:lang w:val="en-US" w:eastAsia="zh-CN"/>
        </w:rPr>
        <w:t>6</w:t>
      </w:r>
      <w:r>
        <w:rPr>
          <w:rFonts w:hint="default"/>
          <w:lang w:val="en-US" w:eastAsia="zh-CN"/>
        </w:rPr>
        <w:t>月份的1日～25日，遇节假日顺延。</w:t>
      </w:r>
    </w:p>
    <w:p w14:paraId="5F92952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2837"/>
      <w:r>
        <w:rPr>
          <w:rFonts w:hint="default"/>
          <w:lang w:val="en-US" w:eastAsia="zh-CN"/>
        </w:rPr>
        <w:t>考核职责</w:t>
      </w:r>
      <w:bookmarkEnd w:id="8"/>
    </w:p>
    <w:p w14:paraId="2EBB77F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1458"/>
      <w:r>
        <w:rPr>
          <w:rFonts w:hint="eastAsia"/>
          <w:lang w:val="en-US" w:eastAsia="zh-CN"/>
        </w:rPr>
        <w:t>人力资源部</w:t>
      </w:r>
      <w:bookmarkEnd w:id="9"/>
    </w:p>
    <w:p w14:paraId="201430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作为年终考核的主要牵头部门，负责制定绩效考核方案、组织绩效考核实施、员工级考核得分的汇总、考核结果的汇总与运用。</w:t>
      </w:r>
    </w:p>
    <w:p w14:paraId="005BA9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0459"/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运维相关</w:t>
      </w:r>
      <w:r>
        <w:rPr>
          <w:rFonts w:hint="default"/>
          <w:lang w:val="en-US" w:eastAsia="zh-CN"/>
        </w:rPr>
        <w:t>部门</w:t>
      </w:r>
      <w:bookmarkEnd w:id="10"/>
    </w:p>
    <w:p w14:paraId="2C7BFE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作为年终考核的重要参与部门，负责所辖员工的考核评价。</w:t>
      </w:r>
    </w:p>
    <w:p w14:paraId="72BEA58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1888"/>
      <w:r>
        <w:rPr>
          <w:rFonts w:hint="default"/>
          <w:lang w:val="en-US" w:eastAsia="zh-CN"/>
        </w:rPr>
        <w:t>公司领导</w:t>
      </w:r>
      <w:bookmarkEnd w:id="11"/>
    </w:p>
    <w:p w14:paraId="62AC1D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对绩效考核实行监督及拥有最终考核结果决定权。</w:t>
      </w:r>
    </w:p>
    <w:p w14:paraId="18CC1FF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7469"/>
      <w:r>
        <w:rPr>
          <w:rFonts w:hint="default"/>
          <w:lang w:val="en-US" w:eastAsia="zh-CN"/>
        </w:rPr>
        <w:t>考核内容</w:t>
      </w:r>
      <w:bookmarkEnd w:id="12"/>
    </w:p>
    <w:p w14:paraId="0C92C9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依据考核周期内员工个体的具体工作表现由直接上级进行考核评分。</w:t>
      </w:r>
    </w:p>
    <w:p w14:paraId="005C489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3075"/>
      <w:r>
        <w:rPr>
          <w:rFonts w:hint="eastAsia"/>
          <w:lang w:val="en-US" w:eastAsia="zh-CN"/>
        </w:rPr>
        <w:t>运维部、质量部</w:t>
      </w:r>
      <w:bookmarkEnd w:id="13"/>
    </w:p>
    <w:p w14:paraId="7AFFDA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考核方式：业主单位考评权重 40%、班组考评权重 30%、部门考评权重 30%。</w:t>
      </w:r>
    </w:p>
    <w:p w14:paraId="74ED00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考核内容：从“专业能力”“沟通能力”“文档能力”“基础评价”“行为意识”和“特殊贡献”六个绩效指标进行评价。</w:t>
      </w:r>
    </w:p>
    <w:p w14:paraId="3E34DFC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8670"/>
      <w:r>
        <w:rPr>
          <w:rFonts w:hint="eastAsia"/>
          <w:lang w:val="en-US" w:eastAsia="zh-CN"/>
        </w:rPr>
        <w:t>研发部</w:t>
      </w:r>
      <w:bookmarkEnd w:id="14"/>
    </w:p>
    <w:p w14:paraId="2886A2A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考核方式：班组评价为主，部门评价为辅，由研发部门自行组织。</w:t>
      </w:r>
    </w:p>
    <w:p w14:paraId="0E5E93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考核内容：从“个人素质”“专业能力”“业务能力”“工作业绩”及“管理能力”五个方面进行考核，具体指标细则和权重由部门根据实际情况确定。</w:t>
      </w:r>
    </w:p>
    <w:p w14:paraId="0DB9B9C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3915"/>
      <w:r>
        <w:rPr>
          <w:rFonts w:hint="eastAsia"/>
          <w:lang w:val="en-US" w:eastAsia="zh-CN"/>
        </w:rPr>
        <w:t>人力资源部</w:t>
      </w:r>
      <w:bookmarkEnd w:id="15"/>
    </w:p>
    <w:p w14:paraId="3ED530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考核方式：部门评价权重60%，公司领导评价权重40%。</w:t>
      </w:r>
    </w:p>
    <w:p w14:paraId="29C873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考核内容：从“工作绩效”“工作能力”“工作态度”和“学习成长力”四个方面进行考核。</w:t>
      </w:r>
    </w:p>
    <w:p w14:paraId="6B1A22D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754"/>
      <w:r>
        <w:rPr>
          <w:rFonts w:hint="default"/>
          <w:lang w:val="en-US" w:eastAsia="zh-CN"/>
        </w:rPr>
        <w:t>各部门</w:t>
      </w:r>
      <w:r>
        <w:rPr>
          <w:rFonts w:hint="eastAsia"/>
          <w:lang w:val="en-US" w:eastAsia="zh-CN"/>
        </w:rPr>
        <w:t>经理</w:t>
      </w:r>
      <w:bookmarkEnd w:id="16"/>
    </w:p>
    <w:p w14:paraId="6EDA2A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考核方式：部门负责人互评权重40%，公司领导评价权重60%。</w:t>
      </w:r>
    </w:p>
    <w:p w14:paraId="7937AD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考核内容：从“工作绩效”“工作能力”“知识与专业技能”和“个人品质”四个方面进行考核。</w:t>
      </w:r>
    </w:p>
    <w:p w14:paraId="61D82C5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5355"/>
      <w:r>
        <w:rPr>
          <w:rFonts w:hint="eastAsia"/>
          <w:lang w:val="en-US" w:eastAsia="zh-CN"/>
        </w:rPr>
        <w:t>考核结果</w:t>
      </w:r>
      <w:bookmarkEnd w:id="17"/>
    </w:p>
    <w:p w14:paraId="736923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根据汇总考核最终得分，具体考核评级及奖金系数如下所示：</w:t>
      </w:r>
    </w:p>
    <w:tbl>
      <w:tblPr>
        <w:tblStyle w:val="26"/>
        <w:tblW w:w="887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7"/>
        <w:gridCol w:w="3136"/>
        <w:gridCol w:w="2113"/>
        <w:gridCol w:w="1955"/>
      </w:tblGrid>
      <w:tr w14:paraId="49DAF1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667" w:type="dxa"/>
          </w:tcPr>
          <w:p w14:paraId="74ED81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52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序</w:t>
            </w:r>
            <w:r>
              <w:rPr>
                <w:rFonts w:ascii="仿宋" w:hAnsi="仿宋" w:eastAsia="仿宋" w:cs="仿宋"/>
                <w:spacing w:val="37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号</w:t>
            </w:r>
          </w:p>
        </w:tc>
        <w:tc>
          <w:tcPr>
            <w:tcW w:w="3136" w:type="dxa"/>
          </w:tcPr>
          <w:p w14:paraId="066D4F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945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2"/>
                <w:sz w:val="31"/>
                <w:szCs w:val="31"/>
              </w:rPr>
              <w:t>考核得分</w:t>
            </w:r>
          </w:p>
        </w:tc>
        <w:tc>
          <w:tcPr>
            <w:tcW w:w="2113" w:type="dxa"/>
          </w:tcPr>
          <w:p w14:paraId="1E6EAA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40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z w:val="31"/>
                <w:szCs w:val="31"/>
              </w:rPr>
              <w:t>奖金系数</w:t>
            </w:r>
          </w:p>
        </w:tc>
        <w:tc>
          <w:tcPr>
            <w:tcW w:w="1955" w:type="dxa"/>
          </w:tcPr>
          <w:p w14:paraId="41984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6" w:lineRule="auto"/>
              <w:ind w:left="596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备</w:t>
            </w:r>
            <w:r>
              <w:rPr>
                <w:rFonts w:ascii="仿宋" w:hAnsi="仿宋" w:eastAsia="仿宋" w:cs="仿宋"/>
                <w:spacing w:val="38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注</w:t>
            </w:r>
          </w:p>
        </w:tc>
      </w:tr>
      <w:tr w14:paraId="122AD6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7A2287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24" w:lineRule="auto"/>
              <w:ind w:left="534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1"/>
                <w:sz w:val="31"/>
                <w:szCs w:val="31"/>
              </w:rPr>
              <w:t>优秀</w:t>
            </w:r>
          </w:p>
        </w:tc>
        <w:tc>
          <w:tcPr>
            <w:tcW w:w="3136" w:type="dxa"/>
          </w:tcPr>
          <w:p w14:paraId="1D07C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5" w:lineRule="auto"/>
              <w:ind w:left="781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&gt;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19E134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42" w:lineRule="auto"/>
              <w:ind w:left="848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5"/>
                <w:sz w:val="31"/>
                <w:szCs w:val="31"/>
              </w:rPr>
              <w:t>1.2</w:t>
            </w:r>
          </w:p>
        </w:tc>
        <w:tc>
          <w:tcPr>
            <w:tcW w:w="1955" w:type="dxa"/>
          </w:tcPr>
          <w:p w14:paraId="535EBD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3" w:lineRule="auto"/>
              <w:ind w:left="805" w:right="135" w:hanging="655"/>
              <w:textAlignment w:val="baseline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部门内占比不超20%</w:t>
            </w:r>
          </w:p>
        </w:tc>
      </w:tr>
      <w:tr w14:paraId="1F113C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7D6EBE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24" w:lineRule="auto"/>
              <w:ind w:left="543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3"/>
                <w:sz w:val="31"/>
                <w:szCs w:val="31"/>
              </w:rPr>
              <w:t>合格</w:t>
            </w:r>
          </w:p>
        </w:tc>
        <w:tc>
          <w:tcPr>
            <w:tcW w:w="3136" w:type="dxa"/>
          </w:tcPr>
          <w:p w14:paraId="2BA99B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27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80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7CB43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409" w:lineRule="exact"/>
              <w:ind w:left="1009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position w:val="2"/>
                <w:sz w:val="31"/>
                <w:szCs w:val="31"/>
              </w:rPr>
              <w:t>1</w:t>
            </w:r>
          </w:p>
        </w:tc>
        <w:tc>
          <w:tcPr>
            <w:tcW w:w="1955" w:type="dxa"/>
          </w:tcPr>
          <w:p w14:paraId="785ECD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A80E1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</w:tcPr>
          <w:p w14:paraId="63A8D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24" w:lineRule="auto"/>
              <w:ind w:left="386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31"/>
                <w:szCs w:val="31"/>
              </w:rPr>
              <w:t>需改进</w:t>
            </w:r>
          </w:p>
        </w:tc>
        <w:tc>
          <w:tcPr>
            <w:tcW w:w="3136" w:type="dxa"/>
            <w:shd w:val="clear" w:color="auto" w:fill="auto"/>
          </w:tcPr>
          <w:p w14:paraId="4313A7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0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70≤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80</w:t>
            </w:r>
          </w:p>
        </w:tc>
        <w:tc>
          <w:tcPr>
            <w:tcW w:w="2113" w:type="dxa"/>
            <w:shd w:val="clear" w:color="auto" w:fill="auto"/>
          </w:tcPr>
          <w:p w14:paraId="1566F2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0.8</w:t>
            </w:r>
          </w:p>
        </w:tc>
        <w:tc>
          <w:tcPr>
            <w:tcW w:w="1955" w:type="dxa"/>
          </w:tcPr>
          <w:p w14:paraId="62566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63F6B6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</w:tcPr>
          <w:p w14:paraId="2B388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3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不合格</w:t>
            </w:r>
          </w:p>
        </w:tc>
        <w:tc>
          <w:tcPr>
            <w:tcW w:w="3136" w:type="dxa"/>
            <w:shd w:val="clear" w:color="auto" w:fill="auto"/>
          </w:tcPr>
          <w:p w14:paraId="33862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05" w:lineRule="auto"/>
              <w:ind w:left="7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&lt;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70</w:t>
            </w:r>
          </w:p>
        </w:tc>
        <w:tc>
          <w:tcPr>
            <w:tcW w:w="2113" w:type="dxa"/>
            <w:shd w:val="clear" w:color="auto" w:fill="auto"/>
          </w:tcPr>
          <w:p w14:paraId="2BAD1B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0.5</w:t>
            </w:r>
          </w:p>
        </w:tc>
        <w:tc>
          <w:tcPr>
            <w:tcW w:w="1955" w:type="dxa"/>
          </w:tcPr>
          <w:p w14:paraId="6F659B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4858D8E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30522"/>
      <w:r>
        <w:rPr>
          <w:rFonts w:hint="default"/>
          <w:lang w:val="en-US" w:eastAsia="zh-CN"/>
        </w:rPr>
        <w:t>考评结果的运用</w:t>
      </w:r>
      <w:bookmarkEnd w:id="18"/>
    </w:p>
    <w:p w14:paraId="393DB29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0436"/>
      <w:r>
        <w:rPr>
          <w:rFonts w:hint="default"/>
          <w:lang w:val="en-US" w:eastAsia="zh-CN"/>
        </w:rPr>
        <w:t>年度评优</w:t>
      </w:r>
      <w:bookmarkEnd w:id="19"/>
    </w:p>
    <w:p w14:paraId="2978826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年终考评结果作为年度评优的直接依据，考核结果为“需改进”“不合格”的员工不参与年度优秀员工评选。</w:t>
      </w:r>
    </w:p>
    <w:p w14:paraId="240C40C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20674"/>
      <w:r>
        <w:rPr>
          <w:rFonts w:hint="default"/>
          <w:lang w:val="en-US" w:eastAsia="zh-CN"/>
        </w:rPr>
        <w:t>员工定级</w:t>
      </w:r>
      <w:bookmarkEnd w:id="20"/>
    </w:p>
    <w:p w14:paraId="24BCB2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年度考评结果可作为员工薪酬定级的依据，为调薪提供参考标准。</w:t>
      </w:r>
    </w:p>
    <w:p w14:paraId="7B015F2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12197"/>
      <w:r>
        <w:rPr>
          <w:rFonts w:hint="default"/>
          <w:lang w:val="en-US" w:eastAsia="zh-CN"/>
        </w:rPr>
        <w:t>年度调薪</w:t>
      </w:r>
      <w:bookmarkEnd w:id="21"/>
    </w:p>
    <w:p w14:paraId="4EAAA9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根据年终考评结果及员工定级情况，对薪酬不合理的员工进行调薪，以保持公司薪酬的外部公平性与吸引力。</w:t>
      </w:r>
    </w:p>
    <w:p w14:paraId="771A9A9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0323"/>
      <w:r>
        <w:rPr>
          <w:rFonts w:hint="default"/>
          <w:lang w:val="en-US" w:eastAsia="zh-CN"/>
        </w:rPr>
        <w:t>考核流程</w:t>
      </w:r>
      <w:bookmarkEnd w:id="22"/>
    </w:p>
    <w:p w14:paraId="48F8A3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个人申报：每季度第一个月5日前，员工填写《绩效评价表》并报送部门负责人。</w:t>
      </w:r>
    </w:p>
    <w:p w14:paraId="758435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部门审核：每季度第一个月10日前，部门负责人审核评价本部员工绩效，外派员工绩效由业主单位相关部门负责人审核签字。</w:t>
      </w:r>
    </w:p>
    <w:p w14:paraId="3755A8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公司审定：每季度第一个月15日前，公司执行董事主持绩效考核会议审定员工绩效等级。</w:t>
      </w:r>
    </w:p>
    <w:p w14:paraId="37563D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考核公示：每季度第一个月20日前，总经部公示绩效考核等级。</w:t>
      </w:r>
    </w:p>
    <w:p w14:paraId="53AE86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薪酬发放：每月30日前，总经部根据绩效考核等级发放绩效奖金。</w:t>
      </w:r>
    </w:p>
    <w:p w14:paraId="0A2796B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8789"/>
      <w:r>
        <w:rPr>
          <w:rFonts w:hint="default"/>
          <w:lang w:val="en-US" w:eastAsia="zh-CN"/>
        </w:rPr>
        <w:t>申诉的受理</w:t>
      </w:r>
      <w:bookmarkEnd w:id="23"/>
    </w:p>
    <w:p w14:paraId="7AFC8C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被考核者如对考核结果有异议，可在获知结果后3天内向总经部提出申诉。</w:t>
      </w:r>
    </w:p>
    <w:p w14:paraId="72ABC79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总经部在7天内核实情况、听取多方意见，并与当事人沟通后反馈处理结果。</w:t>
      </w:r>
    </w:p>
    <w:p w14:paraId="232E62B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7389"/>
      <w:r>
        <w:rPr>
          <w:rFonts w:hint="default"/>
          <w:lang w:val="en-US" w:eastAsia="zh-CN"/>
        </w:rPr>
        <w:t>绩效问题改进</w:t>
      </w:r>
      <w:bookmarkEnd w:id="24"/>
    </w:p>
    <w:p w14:paraId="662BBE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总经部依据绩效考核分析结果及部门反馈的问题汇总，制定《绩效问题改进计划》，报总经理审批后执行，持续优化绩效考核体系。</w:t>
      </w:r>
    </w:p>
    <w:p w14:paraId="46CDDFF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613"/>
      <w:r>
        <w:rPr>
          <w:rFonts w:hint="default"/>
          <w:lang w:val="en-US" w:eastAsia="zh-CN"/>
        </w:rPr>
        <w:t>KPI指标</w:t>
      </w:r>
      <w:bookmarkEnd w:id="25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4097"/>
        <w:gridCol w:w="1611"/>
        <w:gridCol w:w="1275"/>
      </w:tblGrid>
      <w:tr w14:paraId="72AE0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0C3F1215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指标名称</w:t>
            </w:r>
          </w:p>
        </w:tc>
        <w:tc>
          <w:tcPr>
            <w:tcW w:w="4097" w:type="dxa"/>
          </w:tcPr>
          <w:p w14:paraId="7766FEBA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计算公式</w:t>
            </w:r>
          </w:p>
        </w:tc>
        <w:tc>
          <w:tcPr>
            <w:tcW w:w="1611" w:type="dxa"/>
          </w:tcPr>
          <w:p w14:paraId="1DD27AE9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考核要求</w:t>
            </w:r>
          </w:p>
        </w:tc>
        <w:tc>
          <w:tcPr>
            <w:tcW w:w="1275" w:type="dxa"/>
          </w:tcPr>
          <w:p w14:paraId="1E6FE484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考核周期</w:t>
            </w:r>
          </w:p>
        </w:tc>
      </w:tr>
      <w:tr w14:paraId="6B691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43C2F981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绩效考核覆盖率</w:t>
            </w:r>
          </w:p>
        </w:tc>
        <w:tc>
          <w:tcPr>
            <w:tcW w:w="4097" w:type="dxa"/>
          </w:tcPr>
          <w:p w14:paraId="0454C24F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参与绩效考核运</w:t>
            </w:r>
            <w:bookmarkStart w:id="26" w:name="_GoBack"/>
            <w:bookmarkEnd w:id="26"/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维人员/运维人员总数 × 100%</w:t>
            </w:r>
          </w:p>
        </w:tc>
        <w:tc>
          <w:tcPr>
            <w:tcW w:w="1611" w:type="dxa"/>
          </w:tcPr>
          <w:p w14:paraId="3287B0A6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  <w:t>100%</w:t>
            </w:r>
          </w:p>
        </w:tc>
        <w:tc>
          <w:tcPr>
            <w:tcW w:w="1275" w:type="dxa"/>
          </w:tcPr>
          <w:p w14:paraId="74125031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季度</w:t>
            </w:r>
          </w:p>
        </w:tc>
      </w:tr>
    </w:tbl>
    <w:p w14:paraId="5F702245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3034062C"/>
    <w:rsid w:val="46705394"/>
    <w:rsid w:val="4EFE6B1A"/>
    <w:rsid w:val="73C70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1889</Words>
  <Characters>2072</Characters>
  <Lines>0</Lines>
  <Paragraphs>0</Paragraphs>
  <TotalTime>2</TotalTime>
  <ScaleCrop>false</ScaleCrop>
  <LinksUpToDate>false</LinksUpToDate>
  <CharactersWithSpaces>2183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2026-03-04T15:58:17Z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