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06AA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472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5A64C37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1297"/>
      <w:r>
        <w:rPr>
          <w:rFonts w:hint="eastAsia"/>
          <w:lang w:val="en-US" w:eastAsia="zh-CN"/>
        </w:rPr>
        <w:t>过程框架管理制度</w:t>
      </w:r>
      <w:bookmarkEnd w:id="1"/>
    </w:p>
    <w:p w14:paraId="00F33A3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4306"/>
      <w:r>
        <w:rPr>
          <w:rFonts w:hint="eastAsia"/>
          <w:lang w:val="en-US" w:eastAsia="zh-CN"/>
        </w:rPr>
        <w:t>（HXDL-ITSS-0600）</w:t>
      </w:r>
      <w:bookmarkEnd w:id="2"/>
    </w:p>
    <w:p w14:paraId="02637DA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807B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7A995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505D0D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1DFF2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17FC85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4DDA01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6AF90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62B68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26DB8E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7F2B8EB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59C2A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5778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1B49FF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0DEB61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40068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02508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F2FED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14A82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403677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46662E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420E8C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5C99CD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632DD6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1F938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656F9D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6C201A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6EA75F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72EBE3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32B44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51F4DF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2C762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9D93F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684191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30AFB5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3305C9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5700DE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7B3291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64A51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49B8FD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3BB72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04C27B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295757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5BFA6A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335467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8FC92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366007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557335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38E714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34CA7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1BFA1C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1B93FC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15AF63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2CA228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79E652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042B5F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0BFF23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211C582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576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C4F2BC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heading_1"/>
          <w:r>
            <w:rPr>
              <w:rFonts w:ascii="宋体" w:hAnsi="宋体" w:eastAsia="宋体"/>
              <w:sz w:val="21"/>
            </w:rPr>
            <w:t>目录</w:t>
          </w:r>
        </w:p>
        <w:p w14:paraId="217C993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_Toc4723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_Toc4723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B336B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_Toc21297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_Toc21297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CC00C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（HXDL-ITSS-0600）</w:t>
          </w:r>
          <w:r>
            <w:tab/>
          </w:r>
          <w:r>
            <w:fldChar w:fldCharType="begin"/>
          </w:r>
          <w:r>
            <w:instrText xml:space="preserve"> PAGEREF _Toc4306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62BEAC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_Toc5778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_Toc5778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40CC8B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_Toc20185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_Toc20185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28C0F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_Toc31005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_Toc31005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F9BC6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_Toc12795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8DA82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_Toc3476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过程管理原则</w:t>
          </w:r>
          <w:r>
            <w:tab/>
          </w:r>
          <w:r>
            <w:fldChar w:fldCharType="begin"/>
          </w:r>
          <w:r>
            <w:instrText xml:space="preserve"> PAGEREF _Toc3476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8428A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_Toc8349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组织与职责</w:t>
          </w:r>
          <w:r>
            <w:tab/>
          </w:r>
          <w:r>
            <w:fldChar w:fldCharType="begin"/>
          </w:r>
          <w:r>
            <w:instrText xml:space="preserve"> PAGEREF _Toc8349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758D5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过程管理委员会</w:t>
          </w:r>
          <w:r>
            <w:tab/>
          </w:r>
          <w:r>
            <w:fldChar w:fldCharType="begin"/>
          </w:r>
          <w:r>
            <w:instrText xml:space="preserve"> PAGEREF _Toc3249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F217B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_Toc21722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过程管理办公室（PMO）</w:t>
          </w:r>
          <w:r>
            <w:tab/>
          </w:r>
          <w:r>
            <w:fldChar w:fldCharType="begin"/>
          </w:r>
          <w:r>
            <w:instrText xml:space="preserve"> PAGEREF _Toc21722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B64F4F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_Toc9057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过程执行部门</w:t>
          </w:r>
          <w:r>
            <w:tab/>
          </w:r>
          <w:r>
            <w:fldChar w:fldCharType="begin"/>
          </w:r>
          <w:r>
            <w:instrText xml:space="preserve"> PAGEREF _Toc9057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F0350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_Toc7738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过程管理框架与核心要求</w:t>
          </w:r>
          <w:r>
            <w:tab/>
          </w:r>
          <w:r>
            <w:fldChar w:fldCharType="begin"/>
          </w:r>
          <w:r>
            <w:instrText xml:space="preserve"> PAGEREF _Toc7738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D2246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_Toc10257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过程体系架构</w:t>
          </w:r>
          <w:r>
            <w:tab/>
          </w:r>
          <w:r>
            <w:fldChar w:fldCharType="begin"/>
          </w:r>
          <w:r>
            <w:instrText xml:space="preserve"> PAGEREF _Toc10257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C3641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核心过程管理要求</w:t>
          </w:r>
          <w:r>
            <w:tab/>
          </w:r>
          <w:r>
            <w:fldChar w:fldCharType="begin"/>
          </w:r>
          <w:r>
            <w:instrText xml:space="preserve"> PAGEREF _Toc21082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D03FD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_Toc5959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支撑过程管理要求</w:t>
          </w:r>
          <w:r>
            <w:tab/>
          </w:r>
          <w:r>
            <w:fldChar w:fldCharType="begin"/>
          </w:r>
          <w:r>
            <w:instrText xml:space="preserve"> PAGEREF _Toc5959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3E7A2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_Toc27541 </w:instrText>
          </w:r>
          <w:r>
            <w:fldChar w:fldCharType="separate"/>
          </w:r>
          <w:r>
            <w:rPr>
              <w:rFonts w:hint="default"/>
            </w:rPr>
            <w:t xml:space="preserve">6.4. </w:t>
          </w:r>
          <w:r>
            <w:t>管理过程管理要求</w:t>
          </w:r>
          <w:r>
            <w:tab/>
          </w:r>
          <w:r>
            <w:fldChar w:fldCharType="begin"/>
          </w:r>
          <w:r>
            <w:instrText xml:space="preserve"> PAGEREF _Toc27541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9BCC61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_Toc31258 </w:instrText>
          </w:r>
          <w:r>
            <w:fldChar w:fldCharType="separate"/>
          </w:r>
          <w:r>
            <w:rPr>
              <w:rFonts w:hint="default"/>
            </w:rPr>
            <w:t xml:space="preserve">6.4.1. </w:t>
          </w:r>
          <w:r>
            <w:t>过程规划</w:t>
          </w:r>
          <w:r>
            <w:tab/>
          </w:r>
          <w:r>
            <w:fldChar w:fldCharType="begin"/>
          </w:r>
          <w:r>
            <w:instrText xml:space="preserve"> PAGEREF _Toc31258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F411A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_Toc3628 </w:instrText>
          </w:r>
          <w:r>
            <w:fldChar w:fldCharType="separate"/>
          </w:r>
          <w:r>
            <w:rPr>
              <w:rFonts w:hint="default"/>
            </w:rPr>
            <w:t xml:space="preserve">6.4.2. </w:t>
          </w:r>
          <w:r>
            <w:t>过程监控</w:t>
          </w:r>
          <w:r>
            <w:tab/>
          </w:r>
          <w:r>
            <w:fldChar w:fldCharType="begin"/>
          </w:r>
          <w:r>
            <w:instrText xml:space="preserve"> PAGEREF _Toc3628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8EBACD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_Toc11588 </w:instrText>
          </w:r>
          <w:r>
            <w:fldChar w:fldCharType="separate"/>
          </w:r>
          <w:r>
            <w:rPr>
              <w:rFonts w:hint="default"/>
            </w:rPr>
            <w:t xml:space="preserve">6.4.3. </w:t>
          </w:r>
          <w:r>
            <w:t>过程评审</w:t>
          </w:r>
          <w:r>
            <w:tab/>
          </w:r>
          <w:r>
            <w:fldChar w:fldCharType="begin"/>
          </w:r>
          <w:r>
            <w:instrText xml:space="preserve"> PAGEREF _Toc11588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A1FA6E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_Toc12163 </w:instrText>
          </w:r>
          <w:r>
            <w:fldChar w:fldCharType="separate"/>
          </w:r>
          <w:r>
            <w:rPr>
              <w:rFonts w:hint="default"/>
            </w:rPr>
            <w:t xml:space="preserve">6.4.4. </w:t>
          </w:r>
          <w:r>
            <w:t>过程改进</w:t>
          </w:r>
          <w:r>
            <w:tab/>
          </w:r>
          <w:r>
            <w:fldChar w:fldCharType="begin"/>
          </w:r>
          <w:r>
            <w:instrText xml:space="preserve"> PAGEREF _Toc12163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73054B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_Toc30176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01418C">
          <w:r>
            <w:fldChar w:fldCharType="end"/>
          </w:r>
        </w:p>
      </w:sdtContent>
    </w:sdt>
    <w:p w14:paraId="13EF44F0"/>
    <w:p w14:paraId="26BFA567">
      <w:r>
        <w:br w:type="page"/>
      </w:r>
    </w:p>
    <w:p w14:paraId="69FFD205">
      <w:pPr>
        <w:pStyle w:val="28"/>
        <w:bidi w:val="0"/>
      </w:pPr>
      <w:bookmarkStart w:id="5" w:name="_Toc20185"/>
      <w:r>
        <w:t>目的</w:t>
      </w:r>
      <w:bookmarkEnd w:id="4"/>
      <w:bookmarkEnd w:id="5"/>
    </w:p>
    <w:p w14:paraId="337A3A18">
      <w:pPr>
        <w:pStyle w:val="29"/>
        <w:bidi w:val="0"/>
      </w:pPr>
      <w:r>
        <w:t>本制度依据ITSS《信息技术服务 运行维护 第1部分：通用要求》（GB/T 28827.1）及公司《信息安全管理程序》《服务可用性和连续性管理制度》等文件，建立统一、规范的运维服务过程管理框架，实现以下目标：</w:t>
      </w:r>
    </w:p>
    <w:p w14:paraId="0FA3E136">
      <w:pPr>
        <w:pStyle w:val="29"/>
        <w:bidi w:val="0"/>
      </w:pPr>
      <w:r>
        <w:t>明确运维服务各核心过程的定义、边界及相互关系，形成闭环管理机制，保障服务质量稳定可控；</w:t>
      </w:r>
    </w:p>
    <w:p w14:paraId="04F9451A">
      <w:pPr>
        <w:pStyle w:val="29"/>
        <w:bidi w:val="0"/>
      </w:pPr>
      <w:r>
        <w:t>规范过程管理的目标、流程、职责及考核标准，确保各过程运行符合SLA约定及ITSS认证要求；</w:t>
      </w:r>
    </w:p>
    <w:p w14:paraId="4EE62BB4">
      <w:pPr>
        <w:pStyle w:val="29"/>
        <w:bidi w:val="0"/>
      </w:pPr>
      <w:r>
        <w:t>促进各专项过程（容量管理、可用性管理等）的协同联动，提升运维服务整体效率与客户满意度；</w:t>
      </w:r>
    </w:p>
    <w:p w14:paraId="016CADF4">
      <w:pPr>
        <w:pStyle w:val="29"/>
        <w:bidi w:val="0"/>
      </w:pPr>
      <w:r>
        <w:t>建立过程持续改进机制，推动运维服务管理体系不断优化，支撑公司业务发展战略。</w:t>
      </w:r>
    </w:p>
    <w:p w14:paraId="4CC6D45C">
      <w:pPr>
        <w:pStyle w:val="28"/>
        <w:bidi w:val="0"/>
      </w:pPr>
      <w:bookmarkStart w:id="6" w:name="heading_2"/>
      <w:bookmarkStart w:id="7" w:name="_Toc31005"/>
      <w:r>
        <w:t>范围</w:t>
      </w:r>
      <w:bookmarkEnd w:id="6"/>
      <w:bookmarkEnd w:id="7"/>
    </w:p>
    <w:p w14:paraId="3DF5B4B7">
      <w:pPr>
        <w:pStyle w:val="29"/>
        <w:bidi w:val="0"/>
      </w:pPr>
      <w:r>
        <w:t>本制度适用于公司所有运维服务项目的全生命周期过程管理，涵盖过程规划、设计、执行、监控、评审及改进的全过程，具体包括：</w:t>
      </w:r>
    </w:p>
    <w:p w14:paraId="244ECEBA">
      <w:pPr>
        <w:pStyle w:val="29"/>
        <w:bidi w:val="0"/>
      </w:pPr>
      <w:r>
        <w:t>核心过程：服务级别管理、服务台管理、事件管理、问题管理、配置管理、变更管理、发布管理；</w:t>
      </w:r>
    </w:p>
    <w:p w14:paraId="0362D443">
      <w:pPr>
        <w:pStyle w:val="29"/>
        <w:bidi w:val="0"/>
      </w:pPr>
      <w:r>
        <w:t>支撑过程：容量管理、可用性与连续性管理、信息安全管理、采购管理；</w:t>
      </w:r>
    </w:p>
    <w:p w14:paraId="1FC2F5E3">
      <w:pPr>
        <w:pStyle w:val="29"/>
        <w:bidi w:val="0"/>
      </w:pPr>
      <w:r>
        <w:t>管理过程：过程规划、过程监控、过程评审、过程改进。</w:t>
      </w:r>
    </w:p>
    <w:p w14:paraId="2EA37CAE">
      <w:pPr>
        <w:pStyle w:val="29"/>
        <w:bidi w:val="0"/>
      </w:pPr>
      <w:r>
        <w:t>本制度约束对象包括</w:t>
      </w:r>
      <w:r>
        <w:rPr>
          <w:rFonts w:hint="eastAsia"/>
          <w:lang w:val="en-US" w:eastAsia="zh-CN"/>
        </w:rPr>
        <w:t>运维部、质量部、人力资源部、研发部</w:t>
      </w:r>
      <w:r>
        <w:t>及所有参与运维服务过程的人员。</w:t>
      </w:r>
    </w:p>
    <w:p w14:paraId="3B9C5091">
      <w:pPr>
        <w:pStyle w:val="28"/>
        <w:bidi w:val="0"/>
      </w:pPr>
      <w:bookmarkStart w:id="8" w:name="heading_3"/>
      <w:bookmarkStart w:id="9" w:name="_Toc12795"/>
      <w:r>
        <w:t>术语与定义</w:t>
      </w:r>
      <w:bookmarkEnd w:id="8"/>
      <w:bookmarkEnd w:id="9"/>
    </w:p>
    <w:tbl>
      <w:tblPr>
        <w:tblStyle w:val="20"/>
        <w:tblpPr w:leftFromText="180" w:rightFromText="180" w:vertAnchor="text" w:horzAnchor="page" w:tblpX="1780" w:tblpY="72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2"/>
        <w:gridCol w:w="7236"/>
      </w:tblGrid>
      <w:tr w14:paraId="2268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B8954">
            <w:pPr>
              <w:pStyle w:val="29"/>
              <w:bidi w:val="0"/>
              <w:ind w:left="0" w:leftChars="0" w:firstLine="0" w:firstLineChars="0"/>
            </w:pPr>
            <w:r>
              <w:t>术语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D52FF">
            <w:pPr>
              <w:pStyle w:val="29"/>
              <w:bidi w:val="0"/>
            </w:pPr>
            <w:r>
              <w:t>定义</w:t>
            </w:r>
          </w:p>
        </w:tc>
      </w:tr>
      <w:tr w14:paraId="248A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97FD5">
            <w:pPr>
              <w:pStyle w:val="29"/>
              <w:bidi w:val="0"/>
              <w:ind w:left="0" w:leftChars="0" w:firstLine="0" w:firstLineChars="0"/>
            </w:pPr>
            <w:r>
              <w:t>过程管理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2C6B">
            <w:pPr>
              <w:pStyle w:val="29"/>
              <w:bidi w:val="0"/>
              <w:ind w:left="0" w:leftChars="0" w:firstLine="0" w:firstLineChars="0"/>
            </w:pPr>
            <w:r>
              <w:t>对运维服务各过程进行规划、设计、执行、监控、评审及改进的全流程管理活动，确保过程目标达成</w:t>
            </w:r>
          </w:p>
        </w:tc>
      </w:tr>
      <w:tr w14:paraId="37B7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C4A2A">
            <w:pPr>
              <w:pStyle w:val="29"/>
              <w:bidi w:val="0"/>
              <w:ind w:left="0" w:leftChars="0" w:firstLine="0" w:firstLineChars="0"/>
            </w:pPr>
            <w:r>
              <w:t>核心过程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851CA">
            <w:pPr>
              <w:pStyle w:val="29"/>
              <w:bidi w:val="0"/>
              <w:ind w:left="0" w:leftChars="0" w:firstLine="0" w:firstLineChars="0"/>
            </w:pPr>
            <w:r>
              <w:t>直接支撑运维服务交付，保障服务质量与客户需求满足的关键过程集合</w:t>
            </w:r>
          </w:p>
        </w:tc>
      </w:tr>
      <w:tr w14:paraId="5084A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2D53B">
            <w:pPr>
              <w:pStyle w:val="29"/>
              <w:bidi w:val="0"/>
              <w:ind w:left="0" w:leftChars="0" w:firstLine="0" w:firstLineChars="0"/>
            </w:pPr>
            <w:r>
              <w:t>支撑过程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58E27">
            <w:pPr>
              <w:pStyle w:val="29"/>
              <w:bidi w:val="0"/>
              <w:ind w:left="0" w:leftChars="0" w:firstLine="0" w:firstLineChars="0"/>
            </w:pPr>
            <w:r>
              <w:t>为核心过程提供资源、技术、安全等保障，确保核心过程高效运行的辅助过程</w:t>
            </w:r>
          </w:p>
        </w:tc>
      </w:tr>
      <w:tr w14:paraId="096F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F24B0">
            <w:pPr>
              <w:pStyle w:val="29"/>
              <w:bidi w:val="0"/>
              <w:ind w:left="0" w:leftChars="0" w:firstLine="0" w:firstLineChars="0"/>
            </w:pPr>
            <w:r>
              <w:t>过程资产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C071">
            <w:pPr>
              <w:pStyle w:val="29"/>
              <w:bidi w:val="0"/>
              <w:ind w:left="0" w:leftChars="0" w:firstLine="0" w:firstLineChars="0"/>
            </w:pPr>
            <w:r>
              <w:t>过程运行中形成的各类文档、记录、数据及经验总结，为过程改进提供支撑的无形资产</w:t>
            </w:r>
          </w:p>
        </w:tc>
      </w:tr>
      <w:tr w14:paraId="3EAB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8AA3E">
            <w:pPr>
              <w:pStyle w:val="29"/>
              <w:bidi w:val="0"/>
              <w:ind w:left="0" w:leftChars="0" w:firstLine="0" w:firstLineChars="0"/>
            </w:pPr>
            <w:r>
              <w:t>过程指标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5FD01">
            <w:pPr>
              <w:pStyle w:val="29"/>
              <w:bidi w:val="0"/>
              <w:ind w:left="0" w:leftChars="0" w:firstLine="0" w:firstLineChars="0"/>
            </w:pPr>
            <w:r>
              <w:t>衡量过程运行效果的量化或定性指标，包括效率指标、质量指标、客户满意度指标等</w:t>
            </w:r>
          </w:p>
        </w:tc>
      </w:tr>
    </w:tbl>
    <w:p w14:paraId="23B3A5E2">
      <w:pPr>
        <w:pStyle w:val="28"/>
        <w:bidi w:val="0"/>
      </w:pPr>
      <w:bookmarkStart w:id="10" w:name="heading_4"/>
      <w:bookmarkStart w:id="11" w:name="_Toc3476"/>
      <w:r>
        <w:t>过程管理原则</w:t>
      </w:r>
      <w:bookmarkEnd w:id="10"/>
      <w:bookmarkEnd w:id="11"/>
    </w:p>
    <w:p w14:paraId="7C1B09D1">
      <w:pPr>
        <w:pStyle w:val="29"/>
        <w:bidi w:val="0"/>
      </w:pPr>
      <w:r>
        <w:t>客户导向原则：所有过程设计与运行均以满足客户需求、达成SLA约定为核心目标，定期收集客户反馈优化过程；</w:t>
      </w:r>
    </w:p>
    <w:p w14:paraId="783A7A26">
      <w:pPr>
        <w:pStyle w:val="29"/>
        <w:bidi w:val="0"/>
      </w:pPr>
      <w:r>
        <w:t>闭环管理原则：建立“规划-执行-监控-改进”的闭环机制，确保过程问题及时发现、有效处置并持续优化；</w:t>
      </w:r>
    </w:p>
    <w:p w14:paraId="6FD2D25A">
      <w:pPr>
        <w:pStyle w:val="29"/>
        <w:bidi w:val="0"/>
      </w:pPr>
      <w:r>
        <w:t>协同联动原则：明确各过程接口及协同机制，打破部门壁垒，实现核心过程与支撑过程的高效衔接；</w:t>
      </w:r>
    </w:p>
    <w:p w14:paraId="2642B4F4">
      <w:pPr>
        <w:pStyle w:val="29"/>
        <w:bidi w:val="0"/>
      </w:pPr>
      <w:r>
        <w:t>标准化原则：统一过程术语、流程、记录格式及考核标准，确保过程运行规范、可追溯；</w:t>
      </w:r>
    </w:p>
    <w:p w14:paraId="74D2189A">
      <w:pPr>
        <w:pStyle w:val="29"/>
        <w:bidi w:val="0"/>
      </w:pPr>
      <w:r>
        <w:t>持续改进原则：基于过程监控数据、评审结果及行业最佳实践，定期优化过程设计与运行机制。</w:t>
      </w:r>
    </w:p>
    <w:p w14:paraId="661AD5E8">
      <w:pPr>
        <w:pStyle w:val="28"/>
        <w:bidi w:val="0"/>
      </w:pPr>
      <w:bookmarkStart w:id="12" w:name="heading_5"/>
      <w:bookmarkStart w:id="13" w:name="_Toc8349"/>
      <w:r>
        <w:t>组织与职责</w:t>
      </w:r>
      <w:bookmarkEnd w:id="12"/>
      <w:bookmarkEnd w:id="13"/>
    </w:p>
    <w:p w14:paraId="6CDD41B1">
      <w:pPr>
        <w:pStyle w:val="30"/>
        <w:bidi w:val="0"/>
      </w:pPr>
      <w:bookmarkStart w:id="14" w:name="heading_6"/>
      <w:bookmarkStart w:id="15" w:name="_Toc3249"/>
      <w:r>
        <w:t>过程管理委员会</w:t>
      </w:r>
      <w:bookmarkEnd w:id="14"/>
      <w:bookmarkEnd w:id="15"/>
    </w:p>
    <w:p w14:paraId="11CA8EE8">
      <w:pPr>
        <w:pStyle w:val="29"/>
        <w:bidi w:val="0"/>
      </w:pPr>
      <w:r>
        <w:t>由公司管理层、各部门负责人组成，为过程管理的决策机构，职责包括：</w:t>
      </w:r>
    </w:p>
    <w:p w14:paraId="35EA869C">
      <w:pPr>
        <w:pStyle w:val="29"/>
        <w:bidi w:val="0"/>
      </w:pPr>
      <w:r>
        <w:t>审批过程管理框架制度、年度过程规划及重大过程改进方案；</w:t>
      </w:r>
    </w:p>
    <w:p w14:paraId="4A061BB5">
      <w:pPr>
        <w:pStyle w:val="29"/>
        <w:bidi w:val="0"/>
      </w:pPr>
      <w:r>
        <w:t>保障过程管理所需的资源（人员、资金、技术工具）；</w:t>
      </w:r>
    </w:p>
    <w:p w14:paraId="22D30274">
      <w:pPr>
        <w:pStyle w:val="29"/>
        <w:bidi w:val="0"/>
      </w:pPr>
      <w:r>
        <w:t>评审过程管理整体成效，解决过程运行中的重大问题。</w:t>
      </w:r>
    </w:p>
    <w:p w14:paraId="64632DFB">
      <w:pPr>
        <w:pStyle w:val="30"/>
        <w:bidi w:val="0"/>
      </w:pPr>
      <w:bookmarkStart w:id="16" w:name="heading_7"/>
      <w:bookmarkStart w:id="17" w:name="_Toc21722"/>
      <w:r>
        <w:t>过程管理办公室</w:t>
      </w:r>
      <w:bookmarkEnd w:id="16"/>
      <w:bookmarkEnd w:id="17"/>
    </w:p>
    <w:p w14:paraId="0EBD82DC">
      <w:pPr>
        <w:pStyle w:val="29"/>
        <w:bidi w:val="0"/>
      </w:pPr>
      <w:r>
        <w:t>设在运维部，为过程管理的日常执行机构，由</w:t>
      </w:r>
      <w:r>
        <w:rPr>
          <w:rFonts w:hint="eastAsia"/>
          <w:lang w:val="en-US" w:eastAsia="zh-CN"/>
        </w:rPr>
        <w:t>运维部</w:t>
      </w:r>
      <w:bookmarkStart w:id="39" w:name="_GoBack"/>
      <w:bookmarkEnd w:id="39"/>
      <w:r>
        <w:t>经理牵头，各部门指定过程专员参与，职责包括：</w:t>
      </w:r>
    </w:p>
    <w:p w14:paraId="51D33921">
      <w:pPr>
        <w:pStyle w:val="29"/>
        <w:bidi w:val="0"/>
      </w:pPr>
      <w:r>
        <w:t>制定与更新过程管理框架制度及各专项过程规范；</w:t>
      </w:r>
    </w:p>
    <w:p w14:paraId="7DAF008B">
      <w:pPr>
        <w:pStyle w:val="29"/>
        <w:bidi w:val="0"/>
      </w:pPr>
      <w:r>
        <w:t>组织编制年度过程规划，协调各部门落实过程目标；</w:t>
      </w:r>
    </w:p>
    <w:p w14:paraId="004E811D">
      <w:pPr>
        <w:pStyle w:val="29"/>
        <w:bidi w:val="0"/>
      </w:pPr>
      <w:r>
        <w:t>开展过程日常监控，收集过程数据，形成过程运行报告；</w:t>
      </w:r>
    </w:p>
    <w:p w14:paraId="5B816DD8">
      <w:pPr>
        <w:pStyle w:val="29"/>
        <w:bidi w:val="0"/>
      </w:pPr>
      <w:r>
        <w:t>组织过程评审会议，识别过程改进点，推动改进措施落地；</w:t>
      </w:r>
    </w:p>
    <w:p w14:paraId="514C3ABB">
      <w:pPr>
        <w:pStyle w:val="29"/>
        <w:bidi w:val="0"/>
      </w:pPr>
      <w:r>
        <w:t>管理过程资产，沉淀过程经验，组织过程培训。</w:t>
      </w:r>
    </w:p>
    <w:p w14:paraId="1E8B439D">
      <w:pPr>
        <w:pStyle w:val="30"/>
        <w:bidi w:val="0"/>
      </w:pPr>
      <w:bookmarkStart w:id="18" w:name="heading_8"/>
      <w:bookmarkStart w:id="19" w:name="_Toc9057"/>
      <w:r>
        <w:t>过程执行部门</w:t>
      </w:r>
      <w:bookmarkEnd w:id="18"/>
      <w:bookmarkEnd w:id="19"/>
    </w:p>
    <w:p w14:paraId="51121657">
      <w:pPr>
        <w:pStyle w:val="29"/>
        <w:bidi w:val="0"/>
      </w:pPr>
      <w:r>
        <w:t>运维部：作为核心过程的主要执行部门，负责事件管理、问题管理、配置管理等核心过程的日常运行；</w:t>
      </w:r>
    </w:p>
    <w:p w14:paraId="0B875206">
      <w:pPr>
        <w:pStyle w:val="29"/>
        <w:bidi w:val="0"/>
      </w:pPr>
      <w:r>
        <w:rPr>
          <w:rFonts w:hint="eastAsia"/>
          <w:lang w:val="en-US" w:eastAsia="zh-CN"/>
        </w:rPr>
        <w:t>研发部</w:t>
      </w:r>
      <w:r>
        <w:t>：为过程运行提供技术支撑，参与变更评审、问题排查及过程优化；</w:t>
      </w:r>
    </w:p>
    <w:p w14:paraId="32FD7B30">
      <w:pPr>
        <w:pStyle w:val="29"/>
        <w:bidi w:val="0"/>
      </w:pPr>
      <w:r>
        <w:rPr>
          <w:rFonts w:hint="eastAsia"/>
          <w:lang w:val="en-US" w:eastAsia="zh-CN"/>
        </w:rPr>
        <w:t>服务台</w:t>
      </w:r>
      <w:r>
        <w:t>：负责服务级别管理、服务台管理，对接客户需求及反馈；</w:t>
      </w:r>
    </w:p>
    <w:p w14:paraId="475CB048">
      <w:pPr>
        <w:pStyle w:val="28"/>
        <w:bidi w:val="0"/>
      </w:pPr>
      <w:bookmarkStart w:id="20" w:name="heading_9"/>
      <w:bookmarkStart w:id="21" w:name="_Toc7738"/>
      <w:r>
        <w:t>过程管理框架与核心要求</w:t>
      </w:r>
      <w:bookmarkEnd w:id="20"/>
      <w:bookmarkEnd w:id="21"/>
    </w:p>
    <w:p w14:paraId="488FFF53">
      <w:pPr>
        <w:pStyle w:val="30"/>
        <w:bidi w:val="0"/>
      </w:pPr>
      <w:bookmarkStart w:id="22" w:name="heading_10"/>
      <w:bookmarkStart w:id="23" w:name="_Toc10257"/>
      <w:r>
        <w:t>过程体系架构</w:t>
      </w:r>
      <w:bookmarkEnd w:id="22"/>
      <w:bookmarkEnd w:id="23"/>
    </w:p>
    <w:p w14:paraId="7C8A86E0">
      <w:pPr>
        <w:pStyle w:val="29"/>
        <w:bidi w:val="0"/>
      </w:pPr>
      <w:r>
        <w:t>公司运维服务过程管理体系采用“1+3+N”架构，即“1个核心框架+3类过程集合+N项专项规范”，具体如下：</w:t>
      </w:r>
    </w:p>
    <w:p w14:paraId="720BDC10">
      <w:pPr>
        <w:pStyle w:val="29"/>
        <w:bidi w:val="0"/>
      </w:pPr>
      <w:r>
        <w:t>“1个核心框架”：以本制度为核心，明确过程管理的通用要求、原则及组织保障；</w:t>
      </w:r>
    </w:p>
    <w:p w14:paraId="0CEA6525">
      <w:pPr>
        <w:pStyle w:val="29"/>
        <w:bidi w:val="0"/>
      </w:pPr>
      <w:r>
        <w:t>“3类过程集合”：核心过程、支撑过程、管理过程，形成完整的过程管理链路；</w:t>
      </w:r>
    </w:p>
    <w:p w14:paraId="4134DF0F">
      <w:pPr>
        <w:pStyle w:val="29"/>
        <w:bidi w:val="0"/>
      </w:pPr>
      <w:r>
        <w:t>“N项专项规范”：针对各具体过程（如容量管理、事件管理）制定的专项管理制度，作为本制度的配套文件。</w:t>
      </w:r>
    </w:p>
    <w:p w14:paraId="7D35CF1C">
      <w:pPr>
        <w:pStyle w:val="30"/>
        <w:bidi w:val="0"/>
      </w:pPr>
      <w:bookmarkStart w:id="24" w:name="heading_11"/>
      <w:bookmarkStart w:id="25" w:name="_Toc21082"/>
      <w:r>
        <w:t>核心过程管理要求</w:t>
      </w:r>
      <w:bookmarkEnd w:id="24"/>
      <w:bookmarkEnd w:id="25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890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FD3DE">
            <w:pPr>
              <w:pStyle w:val="29"/>
              <w:bidi w:val="0"/>
            </w:pPr>
            <w:r>
              <w:t>过程名称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22D73">
            <w:pPr>
              <w:pStyle w:val="29"/>
              <w:bidi w:val="0"/>
            </w:pPr>
            <w:r>
              <w:t>核心目标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D6B6F">
            <w:pPr>
              <w:pStyle w:val="29"/>
              <w:bidi w:val="0"/>
            </w:pPr>
            <w:r>
              <w:t>关键活动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0555C">
            <w:pPr>
              <w:pStyle w:val="29"/>
              <w:bidi w:val="0"/>
            </w:pPr>
            <w:r>
              <w:t>输出成果</w:t>
            </w:r>
          </w:p>
        </w:tc>
      </w:tr>
      <w:tr w14:paraId="2BCF5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7C74">
            <w:pPr>
              <w:pStyle w:val="29"/>
              <w:bidi w:val="0"/>
              <w:ind w:left="0" w:leftChars="0" w:firstLine="0" w:firstLineChars="0"/>
            </w:pPr>
            <w:r>
              <w:t>服务级别管理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D07F">
            <w:pPr>
              <w:pStyle w:val="29"/>
              <w:bidi w:val="0"/>
            </w:pPr>
            <w:r>
              <w:t>明确服务需求，达成服务约定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0D1BF">
            <w:pPr>
              <w:pStyle w:val="29"/>
              <w:bidi w:val="0"/>
            </w:pPr>
            <w:r>
              <w:t>需求收集、SLA制定、SLA评审、服务绩效监测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17DD">
            <w:pPr>
              <w:pStyle w:val="29"/>
              <w:bidi w:val="0"/>
            </w:pPr>
            <w:r>
              <w:t>《服务级别协议》《SLA绩效报告》</w:t>
            </w:r>
          </w:p>
        </w:tc>
      </w:tr>
      <w:tr w14:paraId="6E396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9B78">
            <w:pPr>
              <w:pStyle w:val="29"/>
              <w:bidi w:val="0"/>
              <w:ind w:left="0" w:leftChars="0" w:firstLine="0" w:firstLineChars="0"/>
            </w:pPr>
            <w:r>
              <w:t>服务</w:t>
            </w:r>
            <w:r>
              <w:rPr>
                <w:rFonts w:hint="eastAsia"/>
                <w:lang w:val="en-US" w:eastAsia="zh-CN"/>
              </w:rPr>
              <w:t>报告</w:t>
            </w:r>
            <w:r>
              <w:t>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07FD1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明确服务报告内容，保障系统运行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4C79E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提供服务报告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3825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《服务报告》</w:t>
            </w:r>
          </w:p>
        </w:tc>
      </w:tr>
      <w:tr w14:paraId="3F51B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3011F">
            <w:pPr>
              <w:pStyle w:val="29"/>
              <w:bidi w:val="0"/>
            </w:pPr>
            <w:r>
              <w:t>事件管理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ACD72">
            <w:pPr>
              <w:pStyle w:val="29"/>
              <w:bidi w:val="0"/>
            </w:pPr>
            <w:r>
              <w:t>快速恢复服务，减少业务影响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C0EC8">
            <w:pPr>
              <w:pStyle w:val="29"/>
              <w:bidi w:val="0"/>
            </w:pPr>
            <w:r>
              <w:t>事件分级、应急处置、根源排查、关闭归档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926F">
            <w:pPr>
              <w:pStyle w:val="29"/>
              <w:bidi w:val="0"/>
            </w:pPr>
            <w:r>
              <w:t>《事件处理报告》《事件统计分析表》</w:t>
            </w:r>
          </w:p>
        </w:tc>
      </w:tr>
      <w:tr w14:paraId="0095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8330">
            <w:pPr>
              <w:pStyle w:val="29"/>
              <w:bidi w:val="0"/>
            </w:pPr>
            <w:r>
              <w:t>问题管理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EA7F5">
            <w:pPr>
              <w:pStyle w:val="29"/>
              <w:bidi w:val="0"/>
            </w:pPr>
            <w:r>
              <w:t>消除根本原因，预防事件复发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20201">
            <w:pPr>
              <w:pStyle w:val="29"/>
              <w:bidi w:val="0"/>
            </w:pPr>
            <w:r>
              <w:t>问题识别、根本原因分析、解决方案制定、验证关闭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5194">
            <w:pPr>
              <w:pStyle w:val="29"/>
              <w:bidi w:val="0"/>
            </w:pPr>
            <w:r>
              <w:t>《问题分析报告》《解决方案文档》</w:t>
            </w:r>
          </w:p>
        </w:tc>
      </w:tr>
      <w:tr w14:paraId="1435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46E4C">
            <w:pPr>
              <w:pStyle w:val="29"/>
              <w:bidi w:val="0"/>
            </w:pPr>
            <w:r>
              <w:t>配置管理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57302">
            <w:pPr>
              <w:pStyle w:val="29"/>
              <w:bidi w:val="0"/>
            </w:pPr>
            <w:r>
              <w:t>掌控配置信息，支撑过程运行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FE135">
            <w:pPr>
              <w:pStyle w:val="29"/>
              <w:bidi w:val="0"/>
            </w:pPr>
            <w:r>
              <w:t>配置识别、CMDB建立、配置变更控制、配置审计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08E7">
            <w:pPr>
              <w:pStyle w:val="29"/>
              <w:bidi w:val="0"/>
            </w:pPr>
            <w:r>
              <w:t>《配置管理数据库》《配置审计报告》</w:t>
            </w:r>
          </w:p>
        </w:tc>
      </w:tr>
      <w:tr w14:paraId="4CCFC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BA3E">
            <w:pPr>
              <w:pStyle w:val="29"/>
              <w:bidi w:val="0"/>
            </w:pPr>
            <w:r>
              <w:t>变更管理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65A31">
            <w:pPr>
              <w:pStyle w:val="29"/>
              <w:bidi w:val="0"/>
            </w:pPr>
            <w:r>
              <w:t>控制变更风险，保障服务稳定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AD98E">
            <w:pPr>
              <w:pStyle w:val="29"/>
              <w:bidi w:val="0"/>
            </w:pPr>
            <w:r>
              <w:t>变更申请、风险评估、变更评审、实施验证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89530">
            <w:pPr>
              <w:pStyle w:val="29"/>
              <w:bidi w:val="0"/>
            </w:pPr>
            <w:r>
              <w:t>《变更申请表》《变更评审报告》</w:t>
            </w:r>
          </w:p>
        </w:tc>
      </w:tr>
      <w:tr w14:paraId="52ED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5FE0C">
            <w:pPr>
              <w:pStyle w:val="29"/>
              <w:bidi w:val="0"/>
            </w:pPr>
            <w:r>
              <w:t>发布管理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9BF17">
            <w:pPr>
              <w:pStyle w:val="29"/>
              <w:bidi w:val="0"/>
            </w:pPr>
            <w:r>
              <w:t>规范发布流程，确保发布质量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302F8">
            <w:pPr>
              <w:pStyle w:val="29"/>
              <w:bidi w:val="0"/>
            </w:pPr>
            <w:r>
              <w:t>发布计划制定、测试验证、灰度发布、回滚预案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C08FF">
            <w:pPr>
              <w:pStyle w:val="29"/>
              <w:bidi w:val="0"/>
            </w:pPr>
            <w:r>
              <w:t>《发布计划》《发布验证报告》</w:t>
            </w:r>
          </w:p>
        </w:tc>
      </w:tr>
    </w:tbl>
    <w:p w14:paraId="3470AFB3">
      <w:pPr>
        <w:pStyle w:val="30"/>
        <w:bidi w:val="0"/>
      </w:pPr>
      <w:bookmarkStart w:id="26" w:name="heading_12"/>
      <w:bookmarkStart w:id="27" w:name="_Toc5959"/>
      <w:r>
        <w:t>支撑过程管理要求</w:t>
      </w:r>
      <w:bookmarkEnd w:id="26"/>
      <w:bookmarkEnd w:id="27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DF2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DBDEA">
            <w:pPr>
              <w:pStyle w:val="29"/>
              <w:bidi w:val="0"/>
            </w:pPr>
            <w:r>
              <w:t>过程名称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6EB76">
            <w:pPr>
              <w:pStyle w:val="29"/>
              <w:bidi w:val="0"/>
            </w:pPr>
            <w:r>
              <w:t>核心目标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8EB3D">
            <w:pPr>
              <w:pStyle w:val="29"/>
              <w:bidi w:val="0"/>
            </w:pPr>
            <w:r>
              <w:t>关键联动过程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AEA45">
            <w:pPr>
              <w:pStyle w:val="29"/>
              <w:bidi w:val="0"/>
            </w:pPr>
            <w:r>
              <w:t>核心规范依据</w:t>
            </w:r>
          </w:p>
        </w:tc>
      </w:tr>
      <w:tr w14:paraId="2246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A92B6">
            <w:pPr>
              <w:pStyle w:val="29"/>
              <w:bidi w:val="0"/>
              <w:ind w:left="0" w:leftChars="0" w:firstLine="0" w:firstLineChars="0"/>
            </w:pPr>
            <w:r>
              <w:t>容量管理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2AA88">
            <w:pPr>
              <w:pStyle w:val="29"/>
              <w:bidi w:val="0"/>
            </w:pPr>
            <w:r>
              <w:t>优化资源配置，保障容量供给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2A35">
            <w:pPr>
              <w:pStyle w:val="29"/>
              <w:bidi w:val="0"/>
            </w:pPr>
            <w:r>
              <w:t>服务级别管理、变更管理、采购管理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D2C5">
            <w:pPr>
              <w:pStyle w:val="29"/>
              <w:bidi w:val="0"/>
            </w:pPr>
            <w:r>
              <w:t>《容量管理制度》</w:t>
            </w:r>
          </w:p>
        </w:tc>
      </w:tr>
      <w:tr w14:paraId="7375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5DB51">
            <w:pPr>
              <w:pStyle w:val="29"/>
              <w:bidi w:val="0"/>
              <w:ind w:left="0" w:leftChars="0" w:firstLine="0" w:firstLineChars="0"/>
            </w:pPr>
            <w:r>
              <w:t>可用性与连续性管理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1C2BE">
            <w:pPr>
              <w:pStyle w:val="29"/>
              <w:bidi w:val="0"/>
            </w:pPr>
            <w:r>
              <w:t>保障服务可用，降低中断损失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66B16">
            <w:pPr>
              <w:pStyle w:val="29"/>
              <w:bidi w:val="0"/>
            </w:pPr>
            <w:r>
              <w:t>事件管理、问题管理、配置管理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506A">
            <w:pPr>
              <w:pStyle w:val="29"/>
              <w:bidi w:val="0"/>
            </w:pPr>
            <w:r>
              <w:t>《服务可用性和连续性管理制度》</w:t>
            </w:r>
          </w:p>
        </w:tc>
      </w:tr>
      <w:tr w14:paraId="0EFF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F7CC">
            <w:pPr>
              <w:pStyle w:val="29"/>
              <w:bidi w:val="0"/>
              <w:ind w:left="0" w:leftChars="0" w:firstLine="0" w:firstLineChars="0"/>
            </w:pPr>
            <w:r>
              <w:t>信息安全管理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90C29">
            <w:pPr>
              <w:pStyle w:val="29"/>
              <w:bidi w:val="0"/>
            </w:pPr>
            <w:r>
              <w:t>防范安全风险，保护数据资产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365E0">
            <w:pPr>
              <w:pStyle w:val="29"/>
              <w:bidi w:val="0"/>
            </w:pPr>
            <w:r>
              <w:t>所有核心过程及支撑过程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EFE8">
            <w:pPr>
              <w:pStyle w:val="29"/>
              <w:bidi w:val="0"/>
            </w:pPr>
            <w:r>
              <w:t>《信息安全管理程序》</w:t>
            </w:r>
          </w:p>
        </w:tc>
      </w:tr>
    </w:tbl>
    <w:p w14:paraId="47D0F3B0">
      <w:pPr>
        <w:pStyle w:val="30"/>
        <w:bidi w:val="0"/>
      </w:pPr>
      <w:bookmarkStart w:id="28" w:name="heading_13"/>
      <w:bookmarkStart w:id="29" w:name="_Toc27541"/>
      <w:r>
        <w:t>管理过程管理要求</w:t>
      </w:r>
      <w:bookmarkEnd w:id="28"/>
      <w:bookmarkEnd w:id="29"/>
    </w:p>
    <w:p w14:paraId="5C6567F5">
      <w:pPr>
        <w:pStyle w:val="31"/>
        <w:bidi w:val="0"/>
      </w:pPr>
      <w:bookmarkStart w:id="30" w:name="heading_14"/>
      <w:bookmarkStart w:id="31" w:name="_Toc31258"/>
      <w:r>
        <w:t>过程规划</w:t>
      </w:r>
      <w:bookmarkEnd w:id="30"/>
      <w:bookmarkEnd w:id="31"/>
    </w:p>
    <w:p w14:paraId="7144BDB5">
      <w:pPr>
        <w:pStyle w:val="29"/>
        <w:bidi w:val="0"/>
      </w:pPr>
      <w:r>
        <w:t>PMO每年第四季度组织各部门开展下一年度过程规划工作，核心内容包括：</w:t>
      </w:r>
    </w:p>
    <w:p w14:paraId="17C09DF8">
      <w:pPr>
        <w:pStyle w:val="29"/>
        <w:bidi w:val="0"/>
      </w:pPr>
      <w:r>
        <w:t>基于公司战略及客户需求，明确各过程年度目标（如事件平均处置时间缩短10%）；</w:t>
      </w:r>
    </w:p>
    <w:p w14:paraId="4332BB12">
      <w:pPr>
        <w:pStyle w:val="29"/>
        <w:bidi w:val="0"/>
      </w:pPr>
      <w:r>
        <w:t>识别过程资源需求（人员、工具、培训），形成《过程资源需求计划》；</w:t>
      </w:r>
    </w:p>
    <w:p w14:paraId="6C4811BF">
      <w:pPr>
        <w:pStyle w:val="29"/>
        <w:bidi w:val="0"/>
      </w:pPr>
      <w:r>
        <w:t>制定过程推广及培训计划，确保相关人员掌握过程要求。</w:t>
      </w:r>
    </w:p>
    <w:p w14:paraId="27530118">
      <w:pPr>
        <w:pStyle w:val="29"/>
        <w:bidi w:val="0"/>
      </w:pPr>
      <w:r>
        <w:t>年度过程规划需经过程管理委员会审批后发布实施。</w:t>
      </w:r>
    </w:p>
    <w:p w14:paraId="051E42B8">
      <w:pPr>
        <w:pStyle w:val="31"/>
        <w:bidi w:val="0"/>
      </w:pPr>
      <w:bookmarkStart w:id="32" w:name="heading_15"/>
      <w:bookmarkStart w:id="33" w:name="_Toc3628"/>
      <w:r>
        <w:t>过程监控</w:t>
      </w:r>
      <w:bookmarkEnd w:id="32"/>
      <w:bookmarkEnd w:id="33"/>
    </w:p>
    <w:p w14:paraId="52597B3A">
      <w:pPr>
        <w:pStyle w:val="29"/>
        <w:bidi w:val="0"/>
      </w:pPr>
      <w:r>
        <w:t>PMO建立常态化过程监控机制，具体要求如下：</w:t>
      </w:r>
    </w:p>
    <w:p w14:paraId="245C2CD8">
      <w:pPr>
        <w:pStyle w:val="29"/>
        <w:bidi w:val="0"/>
      </w:pPr>
      <w:r>
        <w:t>监控指标：建立过程指标体系，覆盖各过程效率、质量及客户满意度；</w:t>
      </w:r>
    </w:p>
    <w:p w14:paraId="43E6D26F">
      <w:pPr>
        <w:pStyle w:val="29"/>
        <w:bidi w:val="0"/>
      </w:pPr>
      <w:r>
        <w:t>数据收集：各过程专员每周收集过程运行数据，提交PMO汇总；</w:t>
      </w:r>
    </w:p>
    <w:p w14:paraId="4A93C2B6">
      <w:pPr>
        <w:pStyle w:val="29"/>
        <w:bidi w:val="0"/>
      </w:pPr>
      <w:r>
        <w:t>监控报告：PMO每月形成《过程运行监控报告》，分析指标达成情况及过程偏差。</w:t>
      </w:r>
    </w:p>
    <w:p w14:paraId="71CE23B1">
      <w:pPr>
        <w:pStyle w:val="31"/>
        <w:bidi w:val="0"/>
      </w:pPr>
      <w:bookmarkStart w:id="34" w:name="heading_16"/>
      <w:bookmarkStart w:id="35" w:name="_Toc11588"/>
      <w:r>
        <w:t>过程评审</w:t>
      </w:r>
      <w:bookmarkEnd w:id="34"/>
      <w:bookmarkEnd w:id="35"/>
    </w:p>
    <w:p w14:paraId="7297E879">
      <w:pPr>
        <w:pStyle w:val="29"/>
        <w:bidi w:val="0"/>
      </w:pPr>
      <w:r>
        <w:t>过程评审分为定期评审与临时评审，具体要求：</w:t>
      </w:r>
    </w:p>
    <w:p w14:paraId="5926DF1D">
      <w:pPr>
        <w:pStyle w:val="29"/>
        <w:bidi w:val="0"/>
      </w:pPr>
      <w:r>
        <w:t>定期评审：每季度组织一次过程评审会议，由PMO牵头，各部门参与，评审过程目标达成情况、存在问题及改进方向；</w:t>
      </w:r>
    </w:p>
    <w:p w14:paraId="319223FF">
      <w:pPr>
        <w:pStyle w:val="29"/>
        <w:bidi w:val="0"/>
      </w:pPr>
      <w:r>
        <w:t>临时评审：当出现重大过程失效（如SLA严重不达标）、客户重大投诉或ITSS标准更新时，立即组织临时评审。</w:t>
      </w:r>
    </w:p>
    <w:p w14:paraId="6BD1EEAB">
      <w:pPr>
        <w:pStyle w:val="29"/>
        <w:bidi w:val="0"/>
      </w:pPr>
      <w:r>
        <w:t>评审结果需形成《过程评审报告》，明确改进项及责任部门。</w:t>
      </w:r>
    </w:p>
    <w:p w14:paraId="3D445447">
      <w:pPr>
        <w:pStyle w:val="31"/>
        <w:bidi w:val="0"/>
      </w:pPr>
      <w:bookmarkStart w:id="36" w:name="heading_17"/>
      <w:bookmarkStart w:id="37" w:name="_Toc12163"/>
      <w:r>
        <w:t>过程改进</w:t>
      </w:r>
      <w:bookmarkEnd w:id="36"/>
      <w:bookmarkEnd w:id="37"/>
    </w:p>
    <w:p w14:paraId="554EEF94">
      <w:pPr>
        <w:pStyle w:val="29"/>
        <w:bidi w:val="0"/>
      </w:pPr>
      <w:r>
        <w:t>基于过程监控数据及评审结果，PMO组织开展过程改进工作，流程如下：</w:t>
      </w:r>
    </w:p>
    <w:p w14:paraId="737B45DC">
      <w:pPr>
        <w:pStyle w:val="29"/>
        <w:bidi w:val="0"/>
      </w:pPr>
      <w:r>
        <w:t>改进识别：通过鱼骨图、5Why等方法分析过程问题根源，识别改进机会；</w:t>
      </w:r>
    </w:p>
    <w:p w14:paraId="6C5DF462">
      <w:pPr>
        <w:pStyle w:val="29"/>
        <w:bidi w:val="0"/>
      </w:pPr>
      <w:r>
        <w:t>方案制定：针对改进机会，制定具体改进方案，明确目标、措施、责任人及完成时限；</w:t>
      </w:r>
    </w:p>
    <w:p w14:paraId="14BE7565">
      <w:pPr>
        <w:pStyle w:val="29"/>
        <w:bidi w:val="0"/>
      </w:pPr>
      <w:r>
        <w:t>方案实施：责任部门按方案推进改进工作，PMO跟踪实施进度；</w:t>
      </w:r>
    </w:p>
    <w:p w14:paraId="2B8DAD09">
      <w:pPr>
        <w:pStyle w:val="29"/>
        <w:bidi w:val="0"/>
      </w:pPr>
      <w:r>
        <w:t>效果验证：实施完成后，PMO通过数据对比验证改进效果，确保达到预期目标；</w:t>
      </w:r>
    </w:p>
    <w:p w14:paraId="2F007DD2">
      <w:pPr>
        <w:pStyle w:val="29"/>
        <w:bidi w:val="0"/>
      </w:pPr>
      <w:r>
        <w:t>成果固化：将有效的改进措施纳入过程规范，更新相关制度及流程。</w:t>
      </w:r>
    </w:p>
    <w:p w14:paraId="10748C2A">
      <w:pPr>
        <w:pStyle w:val="28"/>
        <w:bidi w:val="0"/>
        <w:rPr>
          <w:rFonts w:hint="default"/>
          <w:lang w:val="en-US" w:eastAsia="zh-CN"/>
        </w:rPr>
      </w:pPr>
      <w:bookmarkStart w:id="38" w:name="_Toc30176"/>
      <w:r>
        <w:rPr>
          <w:rFonts w:hint="eastAsia"/>
          <w:lang w:val="en-US" w:eastAsia="zh-CN"/>
        </w:rPr>
        <w:t>KPI指标</w:t>
      </w:r>
      <w:bookmarkEnd w:id="38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0A0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94397B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130" w:type="dxa"/>
          </w:tcPr>
          <w:p w14:paraId="1BBDB025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2131" w:type="dxa"/>
          </w:tcPr>
          <w:p w14:paraId="11F474E9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 w14:paraId="5A5CBDF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考核周期</w:t>
            </w:r>
          </w:p>
        </w:tc>
      </w:tr>
      <w:tr w14:paraId="26A48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66F9A151">
            <w:pPr>
              <w:pStyle w:val="27"/>
              <w:widowControl w:val="0"/>
              <w:spacing w:before="235" w:line="219" w:lineRule="auto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2130" w:type="dxa"/>
            <w:shd w:val="clear" w:color="auto" w:fill="auto"/>
          </w:tcPr>
          <w:p w14:paraId="1FD74304">
            <w:pPr>
              <w:pStyle w:val="27"/>
              <w:widowControl w:val="0"/>
              <w:spacing w:before="78" w:line="237" w:lineRule="auto"/>
              <w:ind w:left="117" w:leftChars="0" w:right="234" w:rightChars="0" w:firstLine="21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次数，运维项目过程量化指标评估次数</w:t>
            </w:r>
          </w:p>
        </w:tc>
        <w:tc>
          <w:tcPr>
            <w:tcW w:w="2131" w:type="dxa"/>
            <w:shd w:val="clear" w:color="auto" w:fill="auto"/>
          </w:tcPr>
          <w:p w14:paraId="2C484AF1">
            <w:pPr>
              <w:pStyle w:val="27"/>
              <w:widowControl w:val="0"/>
              <w:spacing w:before="235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131" w:type="dxa"/>
            <w:shd w:val="clear" w:color="auto" w:fill="auto"/>
          </w:tcPr>
          <w:p w14:paraId="4F80009D">
            <w:pPr>
              <w:pStyle w:val="27"/>
              <w:widowControl w:val="0"/>
              <w:spacing w:before="235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</w:tr>
    </w:tbl>
    <w:p w14:paraId="204ECBD8">
      <w:pPr>
        <w:pStyle w:val="2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E363A8"/>
    <w:rsid w:val="15C7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2971</Words>
  <Characters>3173</Characters>
  <Lines>0</Lines>
  <Paragraphs>0</Paragraphs>
  <TotalTime>0</TotalTime>
  <ScaleCrop>false</ScaleCrop>
  <LinksUpToDate>false</LinksUpToDate>
  <CharactersWithSpaces>3260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2026-03-04T18:36:39Z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