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9F6F02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11830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  <w:bookmarkEnd w:id="0"/>
    </w:p>
    <w:p w14:paraId="06EE4DAE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19907"/>
      <w:r>
        <w:rPr>
          <w:rFonts w:hint="eastAsia"/>
          <w:lang w:val="en-US" w:eastAsia="zh-CN"/>
        </w:rPr>
        <w:t>服务级别管理过程</w:t>
      </w:r>
      <w:bookmarkEnd w:id="1"/>
    </w:p>
    <w:p w14:paraId="3E4A612F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25470"/>
      <w:r>
        <w:rPr>
          <w:rFonts w:hint="eastAsia"/>
          <w:lang w:val="en-US" w:eastAsia="zh-CN"/>
        </w:rPr>
        <w:t>（HXDL-ITSS-0601）</w:t>
      </w:r>
      <w:bookmarkEnd w:id="2"/>
    </w:p>
    <w:p w14:paraId="6BC8511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2FB929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FBFBDF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赵川华</w:t>
            </w:r>
          </w:p>
        </w:tc>
        <w:tc>
          <w:tcPr>
            <w:tcW w:w="4261" w:type="dxa"/>
          </w:tcPr>
          <w:p w14:paraId="568531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 w14:paraId="7ACA1E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2C6825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7FA20D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 w14:paraId="3D2D90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5DB816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74FDE0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</w:tbl>
    <w:p w14:paraId="2B31CE0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6325A5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5018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C3CBF4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45D634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0AEF8A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66B42C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33A38E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684913C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6BF907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234500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51B1872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36F24F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254CAB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540150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03F7AF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1862BE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21807CC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548369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2DA70E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2EE0FEF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6015C49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6A1D10F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spacing w:val="-4"/>
              </w:rPr>
              <w:t>赵川华</w:t>
            </w:r>
          </w:p>
        </w:tc>
        <w:tc>
          <w:tcPr>
            <w:tcW w:w="1274" w:type="dxa"/>
          </w:tcPr>
          <w:p w14:paraId="1276994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957" w:type="dxa"/>
          </w:tcPr>
          <w:p w14:paraId="62CBCD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6E9ED5B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017" w:type="dxa"/>
          </w:tcPr>
          <w:p w14:paraId="0ED5DF3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271" w:type="dxa"/>
          </w:tcPr>
          <w:p w14:paraId="292290E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59C140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32A791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ADA05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586773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06870DB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3FE7AB1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4CB969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26DB584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 w14:paraId="734A172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47D71B9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6F99DED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79CC50F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0B57E9A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2EC8AF3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7CE74F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506E3F0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64EDF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327F447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253572D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490C3E01"/>
    <w:p w14:paraId="00FB70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82871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047FCD06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2ED4309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_Toc11830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天津市华夏电缆有限公司</w:t>
          </w:r>
          <w:r>
            <w:tab/>
          </w:r>
          <w:r>
            <w:fldChar w:fldCharType="begin"/>
          </w:r>
          <w:r>
            <w:instrText xml:space="preserve"> PAGEREF _Toc11830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53B5A6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_Toc19907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服务级别管理过程</w:t>
          </w:r>
          <w:r>
            <w:tab/>
          </w:r>
          <w:r>
            <w:fldChar w:fldCharType="begin"/>
          </w:r>
          <w:r>
            <w:instrText xml:space="preserve"> PAGEREF _Toc19907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57EEE59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_Toc25470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（HXDL-ITSS-0601）</w:t>
          </w:r>
          <w:r>
            <w:tab/>
          </w:r>
          <w:r>
            <w:fldChar w:fldCharType="begin"/>
          </w:r>
          <w:r>
            <w:instrText xml:space="preserve"> PAGEREF _Toc25470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413AD7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_Toc5018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_Toc5018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4C92E3D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_Toc1038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_Toc1038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AAF4B2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_Toc29257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范围</w:t>
          </w:r>
          <w:r>
            <w:tab/>
          </w:r>
          <w:r>
            <w:fldChar w:fldCharType="begin"/>
          </w:r>
          <w:r>
            <w:instrText xml:space="preserve"> PAGEREF _Toc29257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359C61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_Toc25342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定义和术语</w:t>
          </w:r>
          <w:r>
            <w:tab/>
          </w:r>
          <w:r>
            <w:fldChar w:fldCharType="begin"/>
          </w:r>
          <w:r>
            <w:instrText xml:space="preserve"> PAGEREF _Toc25342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74DEEFA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_Toc12319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服务级别协议</w:t>
          </w:r>
          <w:r>
            <w:tab/>
          </w:r>
          <w:r>
            <w:fldChar w:fldCharType="begin"/>
          </w:r>
          <w:r>
            <w:instrText xml:space="preserve"> PAGEREF _Toc12319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5897911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_Toc13997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服务目录</w:t>
          </w:r>
          <w:r>
            <w:tab/>
          </w:r>
          <w:r>
            <w:fldChar w:fldCharType="begin"/>
          </w:r>
          <w:r>
            <w:instrText xml:space="preserve"> PAGEREF _Toc13997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C19D81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_Toc13852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职责分工</w:t>
          </w:r>
          <w:r>
            <w:tab/>
          </w:r>
          <w:r>
            <w:fldChar w:fldCharType="begin"/>
          </w:r>
          <w:r>
            <w:instrText xml:space="preserve"> PAGEREF _Toc13852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9144BA9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_Toc10166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 项目经理</w:t>
          </w:r>
          <w:r>
            <w:tab/>
          </w:r>
          <w:r>
            <w:fldChar w:fldCharType="begin"/>
          </w:r>
          <w:r>
            <w:instrText xml:space="preserve"> PAGEREF _Toc10166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EDA81E3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_Toc18340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运维部经理</w:t>
          </w:r>
          <w:r>
            <w:tab/>
          </w:r>
          <w:r>
            <w:fldChar w:fldCharType="begin"/>
          </w:r>
          <w:r>
            <w:instrText xml:space="preserve"> PAGEREF _Toc18340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511129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_Toc31828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流程</w:t>
          </w:r>
          <w:r>
            <w:tab/>
          </w:r>
          <w:r>
            <w:fldChar w:fldCharType="begin"/>
          </w:r>
          <w:r>
            <w:instrText xml:space="preserve"> PAGEREF _Toc31828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25E3FBB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_Toc2250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 计划</w:t>
          </w:r>
          <w:r>
            <w:tab/>
          </w:r>
          <w:r>
            <w:fldChar w:fldCharType="begin"/>
          </w:r>
          <w:r>
            <w:instrText xml:space="preserve"> PAGEREF _Toc2250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7C0EADB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_Toc27658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5.1.1. 识别需求</w:t>
          </w:r>
          <w:r>
            <w:tab/>
          </w:r>
          <w:r>
            <w:fldChar w:fldCharType="begin"/>
          </w:r>
          <w:r>
            <w:instrText xml:space="preserve"> PAGEREF _Toc27658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2B6ABF8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_Toc20432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5.1.2. 定义服务</w:t>
          </w:r>
          <w:r>
            <w:tab/>
          </w:r>
          <w:r>
            <w:fldChar w:fldCharType="begin"/>
          </w:r>
          <w:r>
            <w:instrText xml:space="preserve"> PAGEREF _Toc20432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C3C75C0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_Toc17820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实施</w:t>
          </w:r>
          <w:r>
            <w:tab/>
          </w:r>
          <w:r>
            <w:fldChar w:fldCharType="begin"/>
          </w:r>
          <w:r>
            <w:instrText xml:space="preserve"> PAGEREF _Toc17820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3854CEE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_Toc25555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5.2.1. 建立服务目录</w:t>
          </w:r>
          <w:r>
            <w:tab/>
          </w:r>
          <w:r>
            <w:fldChar w:fldCharType="begin"/>
          </w:r>
          <w:r>
            <w:instrText xml:space="preserve"> PAGEREF _Toc25555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EA50378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_Toc8585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5.2.2. 服务级别协议</w:t>
          </w:r>
          <w:r>
            <w:tab/>
          </w:r>
          <w:r>
            <w:fldChar w:fldCharType="begin"/>
          </w:r>
          <w:r>
            <w:instrText xml:space="preserve"> PAGEREF _Toc8585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4B6241F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_Toc6596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5.2.3. 签署或确认服务级别协议</w:t>
          </w:r>
          <w:r>
            <w:tab/>
          </w:r>
          <w:r>
            <w:fldChar w:fldCharType="begin"/>
          </w:r>
          <w:r>
            <w:instrText xml:space="preserve"> PAGEREF _Toc6596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2B4E507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_Toc28079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 检查</w:t>
          </w:r>
          <w:r>
            <w:tab/>
          </w:r>
          <w:r>
            <w:fldChar w:fldCharType="begin"/>
          </w:r>
          <w:r>
            <w:instrText xml:space="preserve"> PAGEREF _Toc28079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6A9124B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_Toc2573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5.3.1. 监控</w:t>
          </w:r>
          <w:r>
            <w:tab/>
          </w:r>
          <w:r>
            <w:fldChar w:fldCharType="begin"/>
          </w:r>
          <w:r>
            <w:instrText xml:space="preserve"> PAGEREF _Toc2573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AE90EBD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_Toc17090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5.3.2. 报告</w:t>
          </w:r>
          <w:r>
            <w:tab/>
          </w:r>
          <w:r>
            <w:fldChar w:fldCharType="begin"/>
          </w:r>
          <w:r>
            <w:instrText xml:space="preserve"> PAGEREF _Toc17090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8F40A52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_Toc11426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5.4. 改进</w:t>
          </w:r>
          <w:r>
            <w:tab/>
          </w:r>
          <w:r>
            <w:fldChar w:fldCharType="begin"/>
          </w:r>
          <w:r>
            <w:instrText xml:space="preserve"> PAGEREF _Toc11426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D378859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_Toc15031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5.4.1. 维护协议及合同</w:t>
          </w:r>
          <w:r>
            <w:tab/>
          </w:r>
          <w:r>
            <w:fldChar w:fldCharType="begin"/>
          </w:r>
          <w:r>
            <w:instrText xml:space="preserve"> PAGEREF _Toc15031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45DBC62F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_Toc22087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5.4.2. 服务改进计划</w:t>
          </w:r>
          <w:r>
            <w:tab/>
          </w:r>
          <w:r>
            <w:fldChar w:fldCharType="begin"/>
          </w:r>
          <w:r>
            <w:instrText xml:space="preserve"> PAGEREF _Toc22087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685C7609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_Toc30553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5.4.3. 变更服务级别协议</w:t>
          </w:r>
          <w:r>
            <w:tab/>
          </w:r>
          <w:r>
            <w:fldChar w:fldCharType="begin"/>
          </w:r>
          <w:r>
            <w:instrText xml:space="preserve"> PAGEREF _Toc30553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218233D0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_Toc10576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服务级别协议与其他流程的关系</w:t>
          </w:r>
          <w:r>
            <w:tab/>
          </w:r>
          <w:r>
            <w:fldChar w:fldCharType="begin"/>
          </w:r>
          <w:r>
            <w:instrText xml:space="preserve"> PAGEREF _Toc10576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2756E11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_Toc17047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KPI指标</w:t>
          </w:r>
          <w:r>
            <w:tab/>
          </w:r>
          <w:r>
            <w:fldChar w:fldCharType="begin"/>
          </w:r>
          <w:r>
            <w:instrText xml:space="preserve"> PAGEREF _Toc17047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0FA245A0">
          <w:r>
            <w:fldChar w:fldCharType="end"/>
          </w:r>
          <w:bookmarkStart w:id="29" w:name="_GoBack"/>
        </w:p>
      </w:sdtContent>
    </w:sdt>
    <w:bookmarkEnd w:id="29"/>
    <w:p w14:paraId="10DE3B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4E1E4DA5">
      <w:pPr>
        <w:pStyle w:val="28"/>
        <w:bidi w:val="0"/>
        <w:rPr>
          <w:rFonts w:hint="default"/>
          <w:lang w:val="en-US" w:eastAsia="zh-CN"/>
        </w:rPr>
      </w:pPr>
      <w:bookmarkStart w:id="4" w:name="_Toc1038"/>
      <w:r>
        <w:rPr>
          <w:rFonts w:hint="default"/>
          <w:lang w:val="en-US" w:eastAsia="zh-CN"/>
        </w:rPr>
        <w:t>目的</w:t>
      </w:r>
      <w:bookmarkEnd w:id="4"/>
    </w:p>
    <w:p w14:paraId="1F2D004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本程序致力于在服务质量的供应与需求、客户关系和IT服务成本之间找到平衡点，确保以最合适的成本提供符合要求的服务，建立并改善客户关系。</w:t>
      </w:r>
    </w:p>
    <w:p w14:paraId="5B515904">
      <w:pPr>
        <w:pStyle w:val="28"/>
        <w:bidi w:val="0"/>
        <w:rPr>
          <w:rFonts w:hint="default"/>
          <w:lang w:val="en-US" w:eastAsia="zh-CN"/>
        </w:rPr>
      </w:pPr>
      <w:bookmarkStart w:id="5" w:name="_Toc29257"/>
      <w:r>
        <w:rPr>
          <w:rFonts w:hint="default"/>
          <w:lang w:val="en-US" w:eastAsia="zh-CN"/>
        </w:rPr>
        <w:t>范围</w:t>
      </w:r>
      <w:bookmarkEnd w:id="5"/>
    </w:p>
    <w:p w14:paraId="2F6D2B4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用于本公司服务类项目的谈判、定义、评价、管理以及以可接受的成本改进IT服务的质量。</w:t>
      </w:r>
    </w:p>
    <w:p w14:paraId="3DED257A">
      <w:pPr>
        <w:pStyle w:val="28"/>
        <w:bidi w:val="0"/>
        <w:rPr>
          <w:rFonts w:hint="default"/>
          <w:lang w:val="en-US" w:eastAsia="zh-CN"/>
        </w:rPr>
      </w:pPr>
      <w:bookmarkStart w:id="6" w:name="_Toc25342"/>
      <w:r>
        <w:rPr>
          <w:rFonts w:hint="default"/>
          <w:lang w:val="en-US" w:eastAsia="zh-CN"/>
        </w:rPr>
        <w:t>定义和术语</w:t>
      </w:r>
      <w:bookmarkEnd w:id="6"/>
    </w:p>
    <w:p w14:paraId="214247B0">
      <w:pPr>
        <w:pStyle w:val="30"/>
        <w:bidi w:val="0"/>
        <w:rPr>
          <w:rFonts w:hint="default"/>
          <w:lang w:val="en-US" w:eastAsia="zh-CN"/>
        </w:rPr>
      </w:pPr>
      <w:bookmarkStart w:id="7" w:name="_Toc12319"/>
      <w:r>
        <w:rPr>
          <w:rFonts w:hint="default"/>
          <w:lang w:val="en-US" w:eastAsia="zh-CN"/>
        </w:rPr>
        <w:t>服务级别协议</w:t>
      </w:r>
      <w:bookmarkEnd w:id="7"/>
    </w:p>
    <w:p w14:paraId="1D2CAD7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服务提供方与顾客之间明确服务和服务目标形成文件的协议。协议主要明确服务将要提供的服务内容、对应服务的关键级别指标及与客户双方间的义务与责任等。</w:t>
      </w:r>
    </w:p>
    <w:p w14:paraId="732E2080">
      <w:pPr>
        <w:pStyle w:val="30"/>
        <w:bidi w:val="0"/>
        <w:rPr>
          <w:rFonts w:hint="default"/>
          <w:lang w:val="en-US" w:eastAsia="zh-CN"/>
        </w:rPr>
      </w:pPr>
      <w:bookmarkStart w:id="8" w:name="_Toc13997"/>
      <w:r>
        <w:rPr>
          <w:rFonts w:hint="default"/>
          <w:lang w:val="en-US" w:eastAsia="zh-CN"/>
        </w:rPr>
        <w:t>服务目录</w:t>
      </w:r>
      <w:bookmarkEnd w:id="8"/>
    </w:p>
    <w:p w14:paraId="3ABC874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根据公司现业务类型，按照客户的语言对服务项目所作的详细约定，包括提供服务的对象和服务内容。</w:t>
      </w:r>
    </w:p>
    <w:p w14:paraId="5655A75C">
      <w:pPr>
        <w:pStyle w:val="28"/>
        <w:bidi w:val="0"/>
        <w:rPr>
          <w:rFonts w:hint="default"/>
          <w:lang w:val="en-US" w:eastAsia="zh-CN"/>
        </w:rPr>
      </w:pPr>
      <w:bookmarkStart w:id="9" w:name="_Toc13852"/>
      <w:r>
        <w:rPr>
          <w:rFonts w:hint="default"/>
          <w:lang w:val="en-US" w:eastAsia="zh-CN"/>
        </w:rPr>
        <w:t>职责分工</w:t>
      </w:r>
      <w:bookmarkEnd w:id="9"/>
    </w:p>
    <w:p w14:paraId="575B1108">
      <w:pPr>
        <w:pStyle w:val="30"/>
        <w:bidi w:val="0"/>
        <w:rPr>
          <w:rFonts w:hint="default"/>
          <w:lang w:val="en-US" w:eastAsia="zh-CN"/>
        </w:rPr>
      </w:pPr>
      <w:bookmarkStart w:id="10" w:name="_Toc10166"/>
      <w:r>
        <w:rPr>
          <w:rFonts w:hint="default"/>
          <w:lang w:val="en-US" w:eastAsia="zh-CN"/>
        </w:rPr>
        <w:t>项目经理</w:t>
      </w:r>
      <w:bookmarkEnd w:id="10"/>
    </w:p>
    <w:p w14:paraId="6CF4D64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负责项目服务期间服务级别的监控、报告分析和持续改进。</w:t>
      </w:r>
    </w:p>
    <w:p w14:paraId="78A08C7B">
      <w:pPr>
        <w:pStyle w:val="30"/>
        <w:bidi w:val="0"/>
        <w:rPr>
          <w:rFonts w:hint="eastAsia"/>
          <w:lang w:val="en-US" w:eastAsia="zh-CN"/>
        </w:rPr>
      </w:pPr>
      <w:bookmarkStart w:id="11" w:name="_Toc18340"/>
      <w:r>
        <w:rPr>
          <w:rFonts w:hint="eastAsia"/>
          <w:lang w:val="en-US" w:eastAsia="zh-CN"/>
        </w:rPr>
        <w:t>运维部经理</w:t>
      </w:r>
      <w:bookmarkEnd w:id="11"/>
    </w:p>
    <w:p w14:paraId="633FB519">
      <w:pPr>
        <w:pStyle w:val="29"/>
        <w:bidi w:val="0"/>
      </w:pPr>
      <w:r>
        <w:t>评审《运维服务目录》，确保服务内容明确、可交付。</w:t>
      </w:r>
    </w:p>
    <w:p w14:paraId="22D2BA54">
      <w:pPr>
        <w:pStyle w:val="29"/>
        <w:bidi w:val="0"/>
        <w:rPr>
          <w:rFonts w:hint="eastAsia"/>
          <w:lang w:val="en-US" w:eastAsia="zh-CN"/>
        </w:rPr>
      </w:pPr>
      <w:r>
        <w:t>确认公司现有运维能力是否支持服务目录中的</w:t>
      </w:r>
      <w:r>
        <w:rPr>
          <w:rFonts w:hint="eastAsia"/>
          <w:lang w:val="en-US" w:eastAsia="zh-CN"/>
        </w:rPr>
        <w:t>内容</w:t>
      </w:r>
    </w:p>
    <w:p w14:paraId="752FD5DB">
      <w:pPr>
        <w:pStyle w:val="28"/>
        <w:bidi w:val="0"/>
        <w:rPr>
          <w:rFonts w:hint="default"/>
          <w:lang w:val="en-US" w:eastAsia="zh-CN"/>
        </w:rPr>
      </w:pPr>
      <w:bookmarkStart w:id="12" w:name="_Toc31828"/>
      <w:r>
        <w:rPr>
          <w:rFonts w:hint="default"/>
          <w:lang w:val="en-US" w:eastAsia="zh-CN"/>
        </w:rPr>
        <w:t>流程</w:t>
      </w:r>
      <w:bookmarkEnd w:id="12"/>
    </w:p>
    <w:p w14:paraId="66B108BF">
      <w:pPr>
        <w:pStyle w:val="30"/>
        <w:bidi w:val="0"/>
        <w:rPr>
          <w:rFonts w:hint="default"/>
          <w:lang w:val="en-US" w:eastAsia="zh-CN"/>
        </w:rPr>
      </w:pPr>
      <w:bookmarkStart w:id="13" w:name="_Toc2250"/>
      <w:r>
        <w:rPr>
          <w:rFonts w:hint="default"/>
          <w:lang w:val="en-US" w:eastAsia="zh-CN"/>
        </w:rPr>
        <w:t>计划</w:t>
      </w:r>
      <w:bookmarkEnd w:id="13"/>
    </w:p>
    <w:p w14:paraId="2A70E630">
      <w:pPr>
        <w:pStyle w:val="31"/>
        <w:bidi w:val="0"/>
        <w:rPr>
          <w:rFonts w:hint="default"/>
          <w:lang w:val="en-US" w:eastAsia="zh-CN"/>
        </w:rPr>
      </w:pPr>
      <w:bookmarkStart w:id="14" w:name="_Toc27658"/>
      <w:r>
        <w:rPr>
          <w:rFonts w:hint="default"/>
          <w:lang w:val="en-US" w:eastAsia="zh-CN"/>
        </w:rPr>
        <w:t>识别需求</w:t>
      </w:r>
      <w:bookmarkEnd w:id="14"/>
    </w:p>
    <w:p w14:paraId="22B2DE4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项目经理对客户签署的服务合同、需求说明书等内容进行分析、设计与监控，确定客户服务的需求。</w:t>
      </w:r>
    </w:p>
    <w:p w14:paraId="089AB90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主要工作包括：</w:t>
      </w:r>
    </w:p>
    <w:p w14:paraId="04B5146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了解用户对服务的期望；</w:t>
      </w:r>
    </w:p>
    <w:p w14:paraId="2C558FE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服务必须处于可用状态的时间和天数；</w:t>
      </w:r>
    </w:p>
    <w:p w14:paraId="13AEBC6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服务持续性需求；</w:t>
      </w:r>
    </w:p>
    <w:p w14:paraId="0AA17A0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提供客户服务所需要的职能部门；</w:t>
      </w:r>
    </w:p>
    <w:p w14:paraId="186417B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在定义服务时需要考虑的当前服务方法或质量标准的参考基准；</w:t>
      </w:r>
    </w:p>
    <w:p w14:paraId="47B2642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内部对服务及其需要的组件的详细描述；</w:t>
      </w:r>
    </w:p>
    <w:p w14:paraId="48E8DB9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关于服务被实施和提供的方式的说明；</w:t>
      </w:r>
    </w:p>
    <w:p w14:paraId="3C0E7E5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关于必要的质量控制程序的说明；</w:t>
      </w:r>
    </w:p>
    <w:p w14:paraId="22FE485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定义服务级别的标准：可用性小时数、故障数量、故障频率、故障持续时间、响应时间、周转时间。</w:t>
      </w:r>
    </w:p>
    <w:p w14:paraId="5B8F660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运维部</w:t>
      </w:r>
      <w:r>
        <w:rPr>
          <w:rFonts w:hint="default"/>
          <w:lang w:val="en-US" w:eastAsia="zh-CN"/>
        </w:rPr>
        <w:t>了解并收集客户的需求和期望，结合历史业务需求情况以及现有业务系统的运维和服务特点，明确最终的客户服务级别需求。</w:t>
      </w:r>
    </w:p>
    <w:p w14:paraId="4F6D8CD8">
      <w:pPr>
        <w:pStyle w:val="31"/>
        <w:bidi w:val="0"/>
        <w:rPr>
          <w:rFonts w:hint="default"/>
          <w:lang w:val="en-US" w:eastAsia="zh-CN"/>
        </w:rPr>
      </w:pPr>
      <w:bookmarkStart w:id="15" w:name="_Toc20432"/>
      <w:r>
        <w:rPr>
          <w:rFonts w:hint="default"/>
          <w:lang w:val="en-US" w:eastAsia="zh-CN"/>
        </w:rPr>
        <w:t>定义服务</w:t>
      </w:r>
      <w:bookmarkEnd w:id="15"/>
    </w:p>
    <w:p w14:paraId="6BAA7AF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项目经理需要针对服务项目，编制服务目录，确认服务目录在组织级服务目录能力范围之内，明确服务的项目以及详细的服务内容。</w:t>
      </w:r>
    </w:p>
    <w:p w14:paraId="2EF61C0B">
      <w:pPr>
        <w:pStyle w:val="30"/>
        <w:bidi w:val="0"/>
        <w:rPr>
          <w:rFonts w:hint="default"/>
          <w:lang w:val="en-US" w:eastAsia="zh-CN"/>
        </w:rPr>
      </w:pPr>
      <w:bookmarkStart w:id="16" w:name="_Toc17820"/>
      <w:r>
        <w:rPr>
          <w:rFonts w:hint="default"/>
          <w:lang w:val="en-US" w:eastAsia="zh-CN"/>
        </w:rPr>
        <w:t>实施</w:t>
      </w:r>
      <w:bookmarkEnd w:id="16"/>
    </w:p>
    <w:p w14:paraId="61780E0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发布服务目录，签署或确认服务级别协议或者服务合同。</w:t>
      </w:r>
    </w:p>
    <w:p w14:paraId="2111E629">
      <w:pPr>
        <w:pStyle w:val="31"/>
        <w:bidi w:val="0"/>
        <w:rPr>
          <w:rFonts w:hint="default"/>
          <w:lang w:val="en-US" w:eastAsia="zh-CN"/>
        </w:rPr>
      </w:pPr>
      <w:bookmarkStart w:id="17" w:name="_Toc25555"/>
      <w:r>
        <w:rPr>
          <w:rFonts w:hint="default"/>
          <w:lang w:val="en-US" w:eastAsia="zh-CN"/>
        </w:rPr>
        <w:t>建立服务目录</w:t>
      </w:r>
      <w:bookmarkEnd w:id="17"/>
    </w:p>
    <w:p w14:paraId="379C459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目录是按照客户的语言习惯对日常服务项目所做的详细介绍，以及有关服务级别的简单概要。服务目录是一种重要的沟通工具，它有助于引导客户的期望，为理解提供给用户的服务内容及其组件、特点等情况提供了一个很好的基础。服务目录面向全员发布，在发布前与业务部门的关键用户进行充分讨论。</w:t>
      </w:r>
    </w:p>
    <w:p w14:paraId="546F5B0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根据公司现有业务需求以及IT运维和服务的状况，多方了解用户的需求，组织各部门经过多次沟通，共同拟制或确定《运维服务目录》，经批准后执行。具体的服务目录管理流程参见《运维服务目录管理制度》。</w:t>
      </w:r>
    </w:p>
    <w:p w14:paraId="5522AC1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服务目录应包含公司现有的、可提供的全部服务内容，并存档。具体参见《运维服务目录》。</w:t>
      </w:r>
    </w:p>
    <w:p w14:paraId="2F2D37BF">
      <w:pPr>
        <w:pStyle w:val="31"/>
        <w:bidi w:val="0"/>
        <w:rPr>
          <w:rFonts w:hint="default"/>
          <w:lang w:val="en-US" w:eastAsia="zh-CN"/>
        </w:rPr>
      </w:pPr>
      <w:bookmarkStart w:id="18" w:name="_Toc8585"/>
      <w:r>
        <w:rPr>
          <w:rFonts w:hint="default"/>
          <w:lang w:val="en-US" w:eastAsia="zh-CN"/>
        </w:rPr>
        <w:t>服务级别协议</w:t>
      </w:r>
      <w:bookmarkEnd w:id="18"/>
    </w:p>
    <w:p w14:paraId="4817B90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在服务目录和服务级别需求的基础上，召开服务级别评审会议，根据当前提供服务的内容，归类、定义或重新定义客户对服务的期望，同时应考虑到如下因素：</w:t>
      </w:r>
    </w:p>
    <w:p w14:paraId="7781845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当前供应商的合作能力、合同实施的状况、潜在的风险或约束等进行分析，提出合理化措施；</w:t>
      </w:r>
    </w:p>
    <w:p w14:paraId="7231300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服务级别协议下，所需要的专业技术、服务人员资质、技能、储备和培训等方面的要求，根据法律法规、标准等的要求，提出关于质量控制和改进方面的要求所涉及到的预算、成本、费用等方面的财务分析，考虑到公司财务管理以及IT服务预算的相关要求；</w:t>
      </w:r>
    </w:p>
    <w:p w14:paraId="54462F6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服务的可用性和持续性需求；</w:t>
      </w:r>
    </w:p>
    <w:p w14:paraId="037D59F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交付服务可能面临的风险（包括财务、政策、专利、质量、风险成本、供应商等方面）。</w:t>
      </w:r>
    </w:p>
    <w:p w14:paraId="185AC91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在协议规定的服务期内，与业务部门共同确认的服务级别协议可以作为评价和调整有关IT服务水平的一个标准。</w:t>
      </w:r>
    </w:p>
    <w:p w14:paraId="4FFA0195">
      <w:pPr>
        <w:pStyle w:val="31"/>
        <w:bidi w:val="0"/>
        <w:rPr>
          <w:rFonts w:hint="default"/>
          <w:lang w:val="en-US" w:eastAsia="zh-CN"/>
        </w:rPr>
      </w:pPr>
      <w:bookmarkStart w:id="19" w:name="_Toc6596"/>
      <w:r>
        <w:rPr>
          <w:rFonts w:hint="default"/>
          <w:lang w:val="en-US" w:eastAsia="zh-CN"/>
        </w:rPr>
        <w:t>签署或确认服务级别协议</w:t>
      </w:r>
      <w:bookmarkEnd w:id="19"/>
    </w:p>
    <w:p w14:paraId="02AD034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作为IT服务提供商，按照与用户达成的服务内容与服务级别，签署或者共同确认服务级别协议。服务级别协议是针对给客户所提供的服务项目所签订的协议。</w:t>
      </w:r>
    </w:p>
    <w:p w14:paraId="5C14E13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提交服务的范围、名称、角色及定义；</w:t>
      </w:r>
    </w:p>
    <w:p w14:paraId="41112D1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服务的可用性指标或质量标准；</w:t>
      </w:r>
    </w:p>
    <w:p w14:paraId="5BFD990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服务中断、恢复及响应的水平；</w:t>
      </w:r>
    </w:p>
    <w:p w14:paraId="6CBE327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服务报告的内容、报告周期；</w:t>
      </w:r>
    </w:p>
    <w:p w14:paraId="708B477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双方的职责与义务；</w:t>
      </w:r>
    </w:p>
    <w:p w14:paraId="42CFCBC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对潜在的风险的定义和应对措施；</w:t>
      </w:r>
    </w:p>
    <w:p w14:paraId="009AB05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指定的服务接口。</w:t>
      </w:r>
    </w:p>
    <w:p w14:paraId="00111364">
      <w:pPr>
        <w:pStyle w:val="30"/>
        <w:bidi w:val="0"/>
        <w:rPr>
          <w:rFonts w:hint="default"/>
          <w:lang w:val="en-US" w:eastAsia="zh-CN"/>
        </w:rPr>
      </w:pPr>
      <w:bookmarkStart w:id="20" w:name="_Toc28079"/>
      <w:r>
        <w:rPr>
          <w:rFonts w:hint="default"/>
          <w:lang w:val="en-US" w:eastAsia="zh-CN"/>
        </w:rPr>
        <w:t>检查</w:t>
      </w:r>
      <w:bookmarkEnd w:id="20"/>
    </w:p>
    <w:p w14:paraId="5E56594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向客户提供的IT服务开始交付运行后，应定期收集所提供的IT服务状态数据，包括业务系统运行状况、问题趋势，变更、发布的绩效等。汇总、分析实现要求的程度、趋势。</w:t>
      </w:r>
    </w:p>
    <w:p w14:paraId="5EC6D13C">
      <w:pPr>
        <w:pStyle w:val="31"/>
        <w:bidi w:val="0"/>
        <w:rPr>
          <w:rFonts w:hint="default"/>
          <w:lang w:val="en-US" w:eastAsia="zh-CN"/>
        </w:rPr>
      </w:pPr>
      <w:bookmarkStart w:id="21" w:name="_Toc2573"/>
      <w:r>
        <w:rPr>
          <w:rFonts w:hint="default"/>
          <w:lang w:val="en-US" w:eastAsia="zh-CN"/>
        </w:rPr>
        <w:t>监控</w:t>
      </w:r>
      <w:bookmarkEnd w:id="21"/>
    </w:p>
    <w:p w14:paraId="100F247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服务台</w:t>
      </w:r>
      <w:r>
        <w:rPr>
          <w:rFonts w:hint="default"/>
          <w:lang w:val="en-US" w:eastAsia="zh-CN"/>
        </w:rPr>
        <w:t>受理用户及工程师上报的突发事件和服务请求，记录到工单系统，并根据情况进行一次性解决或升级处理；</w:t>
      </w:r>
    </w:p>
    <w:p w14:paraId="70E1188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运维工程师通过巡检发现问题，并根据影响概况、影响服务内容详情、影响范围，以及优先级，进行解决或升级处理，防止或减少故障的发生。</w:t>
      </w:r>
    </w:p>
    <w:p w14:paraId="1C07E20D">
      <w:pPr>
        <w:pStyle w:val="31"/>
        <w:bidi w:val="0"/>
        <w:rPr>
          <w:rFonts w:hint="default"/>
          <w:lang w:val="en-US" w:eastAsia="zh-CN"/>
        </w:rPr>
      </w:pPr>
      <w:bookmarkStart w:id="22" w:name="_Toc17090"/>
      <w:r>
        <w:rPr>
          <w:rFonts w:hint="default"/>
          <w:lang w:val="en-US" w:eastAsia="zh-CN"/>
        </w:rPr>
        <w:t>报告</w:t>
      </w:r>
      <w:bookmarkEnd w:id="22"/>
    </w:p>
    <w:p w14:paraId="540D601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运维相关人员</w:t>
      </w:r>
      <w:r>
        <w:rPr>
          <w:rFonts w:hint="default"/>
          <w:lang w:val="en-US" w:eastAsia="zh-CN"/>
        </w:rPr>
        <w:t>应按照服务级别中约定的频率向客户提供服务报告。</w:t>
      </w:r>
    </w:p>
    <w:p w14:paraId="1C04FF71">
      <w:pPr>
        <w:pStyle w:val="30"/>
        <w:bidi w:val="0"/>
        <w:rPr>
          <w:rFonts w:hint="default"/>
          <w:lang w:val="en-US" w:eastAsia="zh-CN"/>
        </w:rPr>
      </w:pPr>
      <w:bookmarkStart w:id="23" w:name="_Toc11426"/>
      <w:r>
        <w:rPr>
          <w:rFonts w:hint="default"/>
          <w:lang w:val="en-US" w:eastAsia="zh-CN"/>
        </w:rPr>
        <w:t>改进</w:t>
      </w:r>
      <w:bookmarkEnd w:id="23"/>
    </w:p>
    <w:p w14:paraId="3BE4D864">
      <w:pPr>
        <w:pStyle w:val="31"/>
        <w:bidi w:val="0"/>
        <w:rPr>
          <w:rFonts w:hint="default"/>
          <w:lang w:val="en-US" w:eastAsia="zh-CN"/>
        </w:rPr>
      </w:pPr>
      <w:bookmarkStart w:id="24" w:name="_Toc15031"/>
      <w:r>
        <w:rPr>
          <w:rFonts w:hint="default"/>
          <w:lang w:val="en-US" w:eastAsia="zh-CN"/>
        </w:rPr>
        <w:t>维护协议及合同</w:t>
      </w:r>
      <w:bookmarkEnd w:id="24"/>
    </w:p>
    <w:p w14:paraId="46E12B1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定期协商，签署或确认服务级别协议，发布服务目录，以满足用户的需求。</w:t>
      </w:r>
    </w:p>
    <w:p w14:paraId="7D45C7A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协议和目录变更通过变更流程来流程控制。</w:t>
      </w:r>
    </w:p>
    <w:p w14:paraId="54B4AD95">
      <w:pPr>
        <w:pStyle w:val="31"/>
        <w:bidi w:val="0"/>
        <w:rPr>
          <w:rFonts w:hint="default"/>
          <w:lang w:val="en-US" w:eastAsia="zh-CN"/>
        </w:rPr>
      </w:pPr>
      <w:bookmarkStart w:id="25" w:name="_Toc22087"/>
      <w:r>
        <w:rPr>
          <w:rFonts w:hint="default"/>
          <w:lang w:val="en-US" w:eastAsia="zh-CN"/>
        </w:rPr>
        <w:t>服务改进计划</w:t>
      </w:r>
      <w:bookmarkEnd w:id="25"/>
    </w:p>
    <w:p w14:paraId="6A57EC7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重视客户调查结果，并用于服务改进计划之中，改进客户关系。</w:t>
      </w:r>
    </w:p>
    <w:p w14:paraId="0F7D00D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定期沟通服务水平，计划和落实服务改进的内容。</w:t>
      </w:r>
    </w:p>
    <w:p w14:paraId="2D97B6EA">
      <w:pPr>
        <w:pStyle w:val="31"/>
        <w:bidi w:val="0"/>
        <w:rPr>
          <w:rFonts w:hint="default"/>
          <w:lang w:val="en-US" w:eastAsia="zh-CN"/>
        </w:rPr>
      </w:pPr>
      <w:bookmarkStart w:id="26" w:name="_Toc30553"/>
      <w:r>
        <w:rPr>
          <w:rFonts w:hint="default"/>
          <w:lang w:val="en-US" w:eastAsia="zh-CN"/>
        </w:rPr>
        <w:t>变更服务级别协议</w:t>
      </w:r>
      <w:bookmarkEnd w:id="26"/>
    </w:p>
    <w:p w14:paraId="77E8AC1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当客户需求出现新增、变更并与已签署的服务级别协议不符时，应及时收集、反馈相关信息；</w:t>
      </w:r>
    </w:p>
    <w:p w14:paraId="024D4C0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根据新增或变更服务的要求，拟制或修订相应的新服务规划方案；</w:t>
      </w:r>
    </w:p>
    <w:p w14:paraId="2339034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对需要修订服务级别协议的客户需求，按变更管理流程的要求处理；</w:t>
      </w:r>
    </w:p>
    <w:p w14:paraId="69752AA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对新增的服务级别需求，按服务级别管理流程的要求处理。</w:t>
      </w:r>
    </w:p>
    <w:p w14:paraId="71D933D5">
      <w:pPr>
        <w:pStyle w:val="28"/>
        <w:bidi w:val="0"/>
        <w:rPr>
          <w:rFonts w:hint="default"/>
          <w:lang w:val="en-US" w:eastAsia="zh-CN"/>
        </w:rPr>
      </w:pPr>
      <w:bookmarkStart w:id="27" w:name="_Toc10576"/>
      <w:r>
        <w:rPr>
          <w:rFonts w:hint="default"/>
          <w:lang w:val="en-US" w:eastAsia="zh-CN"/>
        </w:rPr>
        <w:t>服务级别协议与其他流程的关系</w:t>
      </w:r>
      <w:bookmarkEnd w:id="27"/>
    </w:p>
    <w:p w14:paraId="24BFDE5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IT服务管理的其他流程都是依据服务级别管理的要求来开展的，服务级别管理是IT服务管理的关键所在。</w:t>
      </w:r>
    </w:p>
    <w:p w14:paraId="500668C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66690" cy="2793365"/>
            <wp:effectExtent l="0" t="0" r="6350" b="1079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793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2965B7">
      <w:pPr>
        <w:pStyle w:val="28"/>
        <w:bidi w:val="0"/>
        <w:rPr>
          <w:rFonts w:hint="default"/>
          <w:lang w:val="en-US" w:eastAsia="zh-CN"/>
        </w:rPr>
      </w:pPr>
      <w:bookmarkStart w:id="28" w:name="_Toc17047"/>
      <w:r>
        <w:rPr>
          <w:rFonts w:hint="eastAsia"/>
          <w:lang w:val="en-US" w:eastAsia="zh-CN"/>
        </w:rPr>
        <w:t>KPI指标</w:t>
      </w:r>
      <w:bookmarkEnd w:id="28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9"/>
        <w:gridCol w:w="4277"/>
        <w:gridCol w:w="1234"/>
        <w:gridCol w:w="1592"/>
      </w:tblGrid>
      <w:tr w14:paraId="09AEC2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</w:tcPr>
          <w:p w14:paraId="05A387A6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指标名称</w:t>
            </w:r>
          </w:p>
        </w:tc>
        <w:tc>
          <w:tcPr>
            <w:tcW w:w="4277" w:type="dxa"/>
          </w:tcPr>
          <w:p w14:paraId="7FEFE992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计算方式</w:t>
            </w:r>
          </w:p>
        </w:tc>
        <w:tc>
          <w:tcPr>
            <w:tcW w:w="1234" w:type="dxa"/>
          </w:tcPr>
          <w:p w14:paraId="33439C1E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目标值</w:t>
            </w:r>
          </w:p>
        </w:tc>
        <w:tc>
          <w:tcPr>
            <w:tcW w:w="1592" w:type="dxa"/>
          </w:tcPr>
          <w:p w14:paraId="60FC603B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考核周期</w:t>
            </w:r>
          </w:p>
        </w:tc>
      </w:tr>
      <w:tr w14:paraId="33D7E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19" w:type="dxa"/>
            <w:shd w:val="clear" w:color="auto" w:fill="auto"/>
          </w:tcPr>
          <w:p w14:paraId="074A7087">
            <w:pPr>
              <w:pStyle w:val="27"/>
              <w:widowControl w:val="0"/>
              <w:spacing w:before="235" w:line="219" w:lineRule="auto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spacing w:val="-4"/>
                <w:sz w:val="24"/>
                <w:szCs w:val="24"/>
              </w:rPr>
              <w:t>SLA达成率</w:t>
            </w:r>
          </w:p>
        </w:tc>
        <w:tc>
          <w:tcPr>
            <w:tcW w:w="4277" w:type="dxa"/>
            <w:shd w:val="clear" w:color="auto" w:fill="auto"/>
          </w:tcPr>
          <w:p w14:paraId="4370D303">
            <w:pPr>
              <w:pStyle w:val="27"/>
              <w:widowControl w:val="0"/>
              <w:spacing w:before="78" w:line="237" w:lineRule="auto"/>
              <w:ind w:left="117" w:leftChars="0" w:right="234" w:rightChars="0" w:firstLine="21" w:firstLineChars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spacing w:val="-4"/>
                <w:sz w:val="24"/>
                <w:szCs w:val="24"/>
              </w:rPr>
              <w:t>∑运维服务项目SLA达成率/运维服务项目</w:t>
            </w:r>
            <w:r>
              <w:rPr>
                <w:spacing w:val="-3"/>
                <w:sz w:val="24"/>
                <w:szCs w:val="24"/>
              </w:rPr>
              <w:t>数*100%</w:t>
            </w:r>
          </w:p>
        </w:tc>
        <w:tc>
          <w:tcPr>
            <w:tcW w:w="1234" w:type="dxa"/>
            <w:shd w:val="clear" w:color="auto" w:fill="auto"/>
          </w:tcPr>
          <w:p w14:paraId="424BCF03">
            <w:pPr>
              <w:pStyle w:val="27"/>
              <w:widowControl w:val="0"/>
              <w:spacing w:before="235" w:line="237" w:lineRule="auto"/>
              <w:ind w:left="168" w:leftChars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spacing w:val="-9"/>
                <w:sz w:val="24"/>
                <w:szCs w:val="24"/>
              </w:rPr>
              <w:t>≥95%</w:t>
            </w:r>
          </w:p>
        </w:tc>
        <w:tc>
          <w:tcPr>
            <w:tcW w:w="1592" w:type="dxa"/>
            <w:shd w:val="clear" w:color="auto" w:fill="auto"/>
          </w:tcPr>
          <w:p w14:paraId="4966A8AF">
            <w:pPr>
              <w:pStyle w:val="27"/>
              <w:widowControl w:val="0"/>
              <w:spacing w:before="235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</w:tbl>
    <w:p w14:paraId="02FD6756">
      <w:pPr>
        <w:pStyle w:val="29"/>
        <w:ind w:left="0" w:leftChars="0"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9E67547"/>
    <w:rsid w:val="55164D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2374</Words>
  <Characters>2559</Characters>
  <Lines>0</Lines>
  <Paragraphs>0</Paragraphs>
  <TotalTime>2</TotalTime>
  <ScaleCrop>false</ScaleCrop>
  <LinksUpToDate>false</LinksUpToDate>
  <CharactersWithSpaces>2671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2026-03-04T18:39:38Z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