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1F12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215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3E9397B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16073"/>
      <w:r>
        <w:rPr>
          <w:rFonts w:hint="eastAsia"/>
          <w:lang w:val="en-US" w:eastAsia="zh-CN"/>
        </w:rPr>
        <w:t>事件管理制度</w:t>
      </w:r>
      <w:bookmarkEnd w:id="1"/>
    </w:p>
    <w:p w14:paraId="706F705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2970"/>
      <w:r>
        <w:rPr>
          <w:rFonts w:hint="eastAsia"/>
          <w:lang w:val="en-US" w:eastAsia="zh-CN"/>
        </w:rPr>
        <w:t>（HXDL-ITSS-0603）</w:t>
      </w:r>
      <w:bookmarkEnd w:id="2"/>
    </w:p>
    <w:p w14:paraId="184179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AA66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9FA6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7171AC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7BF75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4203E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318A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2193B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FA195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4E031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75F567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B2A4BA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471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DEDAA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3E5AD5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406CD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B6CBD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879AA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59203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E7AA2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490B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0C9615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12A10F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33EF99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23C52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13D37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3FA6B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7C18A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7ECD9C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923A3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66950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CDE20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40E2F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032D6F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101714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09F38A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4204B0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09B4FE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7E8CB9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4DD97D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0A54E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BF8E5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5C2A08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6EB869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45C551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543872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170602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75551C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27F3F6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96CC2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A09EA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7EF3D9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5A11CD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B8F3B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53423F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3F6C74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52B99E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3D034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600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75A8BB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3B2F5FA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_Toc32152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1BFD7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_Toc16073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_Toc16073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3FA5E16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_Toc22970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（HXDL-ITSS-0603）</w:t>
          </w:r>
          <w:r>
            <w:tab/>
          </w:r>
          <w:r>
            <w:fldChar w:fldCharType="begin"/>
          </w:r>
          <w:r>
            <w:instrText xml:space="preserve"> PAGEREF _Toc22970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4C3218F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_Toc24718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_Toc24718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95F9EC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_Toc11147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_Toc11147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A06AC4C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_Toc14547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适应范围</w:t>
          </w:r>
          <w:r>
            <w:tab/>
          </w:r>
          <w:r>
            <w:fldChar w:fldCharType="begin"/>
          </w:r>
          <w:r>
            <w:instrText xml:space="preserve"> PAGEREF _Toc14547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BEBAFC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_Toc24626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_Toc24626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46830E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_Toc28320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_Toc28320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DB1B9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_Toc7971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3.2. 项目经理</w:t>
          </w:r>
          <w:r>
            <w:tab/>
          </w:r>
          <w:r>
            <w:fldChar w:fldCharType="begin"/>
          </w:r>
          <w:r>
            <w:instrText xml:space="preserve"> PAGEREF _Toc7971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A95EDFE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工程师</w:t>
          </w:r>
          <w:r>
            <w:tab/>
          </w:r>
          <w:r>
            <w:fldChar w:fldCharType="begin"/>
          </w:r>
          <w:r>
            <w:instrText xml:space="preserve"> PAGEREF _Toc32229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C2A42A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_Toc17845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事件管理流程</w:t>
          </w:r>
          <w:r>
            <w:tab/>
          </w:r>
          <w:r>
            <w:fldChar w:fldCharType="begin"/>
          </w:r>
          <w:r>
            <w:instrText xml:space="preserve"> PAGEREF _Toc17845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082E0E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_Toc25393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事件登记</w:t>
          </w:r>
          <w:r>
            <w:tab/>
          </w:r>
          <w:r>
            <w:fldChar w:fldCharType="begin"/>
          </w:r>
          <w:r>
            <w:instrText xml:space="preserve"> PAGEREF _Toc25393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F037FCE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提出服务请求</w:t>
          </w:r>
          <w:r>
            <w:tab/>
          </w:r>
          <w:r>
            <w:fldChar w:fldCharType="begin"/>
          </w:r>
          <w:r>
            <w:instrText xml:space="preserve"> PAGEREF _Toc2152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EAC226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_Toc19056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创建并记录事件基本信息：</w:t>
          </w:r>
          <w:r>
            <w:tab/>
          </w:r>
          <w:r>
            <w:fldChar w:fldCharType="begin"/>
          </w:r>
          <w:r>
            <w:instrText xml:space="preserve"> PAGEREF _Toc19056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A21BFE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_Toc12091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接受和筛选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DF2A9B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事件派单</w:t>
          </w:r>
          <w:r>
            <w:tab/>
          </w:r>
          <w:r>
            <w:fldChar w:fldCharType="begin"/>
          </w:r>
          <w:r>
            <w:instrText xml:space="preserve"> PAGEREF _Toc100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082A9A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_Toc19902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4.2.1. 事件分类</w:t>
          </w:r>
          <w:r>
            <w:tab/>
          </w:r>
          <w:r>
            <w:fldChar w:fldCharType="begin"/>
          </w:r>
          <w:r>
            <w:instrText xml:space="preserve"> PAGEREF _Toc19902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A4D294E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_Toc9442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4.2.2. 事件分级</w:t>
          </w:r>
          <w:r>
            <w:tab/>
          </w:r>
          <w:r>
            <w:fldChar w:fldCharType="begin"/>
          </w:r>
          <w:r>
            <w:instrText xml:space="preserve"> PAGEREF _Toc9442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6EC305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_Toc7375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4.2.3. 初步支持</w:t>
          </w:r>
          <w:r>
            <w:tab/>
          </w:r>
          <w:r>
            <w:fldChar w:fldCharType="begin"/>
          </w:r>
          <w:r>
            <w:instrText xml:space="preserve"> PAGEREF _Toc7375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799F7E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_Toc19500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4.2.4. 管理升级</w:t>
          </w:r>
          <w:r>
            <w:tab/>
          </w:r>
          <w:r>
            <w:fldChar w:fldCharType="begin"/>
          </w:r>
          <w:r>
            <w:instrText xml:space="preserve"> PAGEREF _Toc19500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7DEA49D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_Toc2847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 事件处理</w:t>
          </w:r>
          <w:r>
            <w:tab/>
          </w:r>
          <w:r>
            <w:fldChar w:fldCharType="begin"/>
          </w:r>
          <w:r>
            <w:instrText xml:space="preserve"> PAGEREF _Toc2847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99BA5B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_Toc28630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4.3.1. 解决和恢复</w:t>
          </w:r>
          <w:r>
            <w:tab/>
          </w:r>
          <w:r>
            <w:fldChar w:fldCharType="begin"/>
          </w:r>
          <w:r>
            <w:instrText xml:space="preserve"> PAGEREF _Toc28630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6D59568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_Toc751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4.3.2. 联络厂商</w:t>
          </w:r>
          <w:r>
            <w:tab/>
          </w:r>
          <w:r>
            <w:fldChar w:fldCharType="begin"/>
          </w:r>
          <w:r>
            <w:instrText xml:space="preserve"> PAGEREF _Toc751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9D6AB6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_Toc21529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 事件关闭</w:t>
          </w:r>
          <w:r>
            <w:tab/>
          </w:r>
          <w:r>
            <w:fldChar w:fldCharType="begin"/>
          </w:r>
          <w:r>
            <w:instrText xml:space="preserve"> PAGEREF _Toc21529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08DF2F1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_Toc5800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4.4.1. 与客户确认处理结果</w:t>
          </w:r>
          <w:r>
            <w:tab/>
          </w:r>
          <w:r>
            <w:fldChar w:fldCharType="begin"/>
          </w:r>
          <w:r>
            <w:instrText xml:space="preserve"> PAGEREF _Toc5800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2CC19DD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_Toc27783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4.4.2. 事件关闭</w:t>
          </w:r>
          <w:r>
            <w:tab/>
          </w:r>
          <w:r>
            <w:fldChar w:fldCharType="begin"/>
          </w:r>
          <w:r>
            <w:instrText xml:space="preserve"> PAGEREF _Toc27783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80EDE8C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_Toc4918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用户确认解决后，在系统中关闭服务单。随后判断是否需</w:t>
          </w:r>
          <w:r>
            <w:tab/>
          </w:r>
          <w:r>
            <w:fldChar w:fldCharType="begin"/>
          </w:r>
          <w:r>
            <w:instrText xml:space="preserve"> PAGEREF _Toc4918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F0F3209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_Toc25458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4.4.3. 添加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_Toc25458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499BBE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_Toc11863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重大事件处理</w:t>
          </w:r>
          <w:r>
            <w:tab/>
          </w:r>
          <w:r>
            <w:fldChar w:fldCharType="begin"/>
          </w:r>
          <w:r>
            <w:instrText xml:space="preserve"> PAGEREF _Toc11863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C2F5B2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_Toc16779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5.1. 定义</w:t>
          </w:r>
          <w:r>
            <w:tab/>
          </w:r>
          <w:r>
            <w:fldChar w:fldCharType="begin"/>
          </w:r>
          <w:r>
            <w:instrText xml:space="preserve"> PAGEREF _Toc16779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EC228B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_Toc30776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分级事件</w:t>
          </w:r>
          <w:r>
            <w:tab/>
          </w:r>
          <w:r>
            <w:fldChar w:fldCharType="begin"/>
          </w:r>
          <w:r>
            <w:instrText xml:space="preserve"> PAGEREF _Toc30776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82FF3D8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_Toc24453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处理问题</w:t>
          </w:r>
          <w:r>
            <w:tab/>
          </w:r>
          <w:r>
            <w:fldChar w:fldCharType="begin"/>
          </w:r>
          <w:r>
            <w:instrText xml:space="preserve"> PAGEREF _Toc24453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C86F1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_Toc13075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事件状态</w:t>
          </w:r>
          <w:r>
            <w:tab/>
          </w:r>
          <w:r>
            <w:fldChar w:fldCharType="begin"/>
          </w:r>
          <w:r>
            <w:instrText xml:space="preserve"> PAGEREF _Toc13075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ACEA7E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事件管理与其他流程的关系</w:t>
          </w:r>
          <w:r>
            <w:tab/>
          </w:r>
          <w:r>
            <w:fldChar w:fldCharType="begin"/>
          </w:r>
          <w:r>
            <w:instrText xml:space="preserve"> PAGEREF _Toc22974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F0944C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_Toc2222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FDF850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0965FE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2BC1CF27">
      <w:pPr>
        <w:pStyle w:val="28"/>
        <w:bidi w:val="0"/>
        <w:rPr>
          <w:rFonts w:hint="default"/>
          <w:lang w:val="en-US" w:eastAsia="zh-CN"/>
        </w:rPr>
      </w:pPr>
      <w:bookmarkStart w:id="4" w:name="_Toc11147"/>
      <w:r>
        <w:rPr>
          <w:rFonts w:hint="default"/>
          <w:lang w:val="en-US" w:eastAsia="zh-CN"/>
        </w:rPr>
        <w:t>目的</w:t>
      </w:r>
      <w:bookmarkEnd w:id="4"/>
    </w:p>
    <w:p w14:paraId="3CC997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为了减少或消除系统干扰因素，确保用户尽快恢复至SLA定义的正常服务级别。</w:t>
      </w:r>
    </w:p>
    <w:p w14:paraId="00160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规范公司IT服务事件管理活动，提高事件响应和解决速度，保证IT服务可靠性。</w:t>
      </w:r>
    </w:p>
    <w:p w14:paraId="6F277B09">
      <w:pPr>
        <w:pStyle w:val="28"/>
        <w:bidi w:val="0"/>
        <w:rPr>
          <w:rFonts w:hint="default"/>
          <w:lang w:val="en-US" w:eastAsia="zh-CN"/>
        </w:rPr>
      </w:pPr>
      <w:bookmarkStart w:id="5" w:name="_Toc14547"/>
      <w:r>
        <w:rPr>
          <w:rFonts w:hint="default"/>
          <w:lang w:val="en-US" w:eastAsia="zh-CN"/>
        </w:rPr>
        <w:t>适应范围</w:t>
      </w:r>
      <w:bookmarkEnd w:id="5"/>
    </w:p>
    <w:p w14:paraId="330D34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范围涵盖运维服务中的操作咨询和故障处理。</w:t>
      </w:r>
    </w:p>
    <w:p w14:paraId="7655C8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主要包括：</w:t>
      </w:r>
    </w:p>
    <w:p w14:paraId="02CD5A7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服务请求和技术咨询：信息系统安装、部署、配置、使用等咨询。</w:t>
      </w:r>
    </w:p>
    <w:p w14:paraId="471C4F2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信息系统升级、扩容和改造等技术咨询活动。</w:t>
      </w:r>
    </w:p>
    <w:p w14:paraId="672A160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故障处理：对软件和硬件故障进行处理。</w:t>
      </w:r>
    </w:p>
    <w:p w14:paraId="639FDEC6">
      <w:pPr>
        <w:pStyle w:val="28"/>
        <w:bidi w:val="0"/>
        <w:rPr>
          <w:rFonts w:hint="default"/>
          <w:lang w:val="en-US" w:eastAsia="zh-CN"/>
        </w:rPr>
      </w:pPr>
      <w:bookmarkStart w:id="6" w:name="_Toc24626"/>
      <w:r>
        <w:rPr>
          <w:rFonts w:hint="default"/>
          <w:lang w:val="en-US" w:eastAsia="zh-CN"/>
        </w:rPr>
        <w:t>角色与职责</w:t>
      </w:r>
      <w:bookmarkEnd w:id="6"/>
    </w:p>
    <w:p w14:paraId="64DB2193">
      <w:pPr>
        <w:pStyle w:val="30"/>
        <w:bidi w:val="0"/>
        <w:rPr>
          <w:rFonts w:hint="default"/>
          <w:lang w:val="en-US" w:eastAsia="zh-CN"/>
        </w:rPr>
      </w:pPr>
      <w:bookmarkStart w:id="7" w:name="_Toc28320"/>
      <w:r>
        <w:rPr>
          <w:rFonts w:hint="default"/>
          <w:lang w:val="en-US" w:eastAsia="zh-CN"/>
        </w:rPr>
        <w:t>服务台</w:t>
      </w:r>
      <w:bookmarkEnd w:id="7"/>
    </w:p>
    <w:p w14:paraId="6F31A9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受理故障申报，建立服务单。</w:t>
      </w:r>
    </w:p>
    <w:p w14:paraId="1E72D6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在线处理简单故障。</w:t>
      </w:r>
    </w:p>
    <w:p w14:paraId="43BE09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分派不能在线解决的故障。</w:t>
      </w:r>
    </w:p>
    <w:p w14:paraId="759E14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跟踪服务单处理进展。</w:t>
      </w:r>
    </w:p>
    <w:p w14:paraId="634410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进行用户回访，收集反馈。</w:t>
      </w:r>
    </w:p>
    <w:p w14:paraId="1D0675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汇总监控用户满意度并反馈。</w:t>
      </w:r>
    </w:p>
    <w:p w14:paraId="640AFE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受理用户投诉。</w:t>
      </w:r>
    </w:p>
    <w:p w14:paraId="550A34CB">
      <w:pPr>
        <w:pStyle w:val="30"/>
        <w:bidi w:val="0"/>
        <w:rPr>
          <w:rFonts w:hint="default"/>
          <w:lang w:val="en-US" w:eastAsia="zh-CN"/>
        </w:rPr>
      </w:pPr>
      <w:bookmarkStart w:id="8" w:name="_Toc7971"/>
      <w:r>
        <w:rPr>
          <w:rFonts w:hint="default"/>
          <w:lang w:val="en-US" w:eastAsia="zh-CN"/>
        </w:rPr>
        <w:t>项目经理</w:t>
      </w:r>
      <w:bookmarkEnd w:id="8"/>
    </w:p>
    <w:p w14:paraId="12D269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协调资源调度。</w:t>
      </w:r>
    </w:p>
    <w:p w14:paraId="0EDEED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决定事件转岗派单，跟踪进度。</w:t>
      </w:r>
    </w:p>
    <w:p w14:paraId="7A114F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监控流程效率和效果。</w:t>
      </w:r>
    </w:p>
    <w:p w14:paraId="32DE02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处理本组投诉。</w:t>
      </w:r>
    </w:p>
    <w:p w14:paraId="7D0376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为改进工作提供建议。</w:t>
      </w:r>
    </w:p>
    <w:p w14:paraId="51843309">
      <w:pPr>
        <w:pStyle w:val="30"/>
        <w:bidi w:val="0"/>
        <w:rPr>
          <w:rFonts w:hint="default"/>
          <w:lang w:val="en-US" w:eastAsia="zh-CN"/>
        </w:rPr>
      </w:pPr>
      <w:bookmarkStart w:id="9" w:name="_Toc32229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</w:t>
      </w:r>
      <w:bookmarkEnd w:id="9"/>
    </w:p>
    <w:p w14:paraId="47ADEE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受理事件，初步分类记录，利用现有资源处理；无法处理时升级。</w:t>
      </w:r>
    </w:p>
    <w:p w14:paraId="52E347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与服务台联动，提高响应及时率。</w:t>
      </w:r>
    </w:p>
    <w:p w14:paraId="2270AA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对需技术支持的事件派单并跟踪。</w:t>
      </w:r>
    </w:p>
    <w:p w14:paraId="5246E1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全程与客户沟通，确保客户知悉进度及结果，直至关闭。</w:t>
      </w:r>
    </w:p>
    <w:p w14:paraId="5CC48E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初步解决问题。</w:t>
      </w:r>
    </w:p>
    <w:p w14:paraId="1B86F7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将事件整理更新至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2AC132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定期分析事件及处理，优化系统流程及工具。</w:t>
      </w:r>
    </w:p>
    <w:p w14:paraId="2C6170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将应急事件纳入统一事件管理。</w:t>
      </w:r>
    </w:p>
    <w:p w14:paraId="1F1CB367">
      <w:pPr>
        <w:pStyle w:val="28"/>
        <w:bidi w:val="0"/>
        <w:rPr>
          <w:rFonts w:hint="default"/>
          <w:lang w:val="en-US" w:eastAsia="zh-CN"/>
        </w:rPr>
      </w:pPr>
      <w:bookmarkStart w:id="10" w:name="_Toc17845"/>
      <w:r>
        <w:rPr>
          <w:rFonts w:hint="default"/>
          <w:lang w:val="en-US" w:eastAsia="zh-CN"/>
        </w:rPr>
        <w:t>事件管理流程</w:t>
      </w:r>
      <w:bookmarkEnd w:id="10"/>
    </w:p>
    <w:p w14:paraId="3B5D3F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流程从事件生命周期出发，分解为4个一级过程：事件登记、事件派单、事件处理、事件关闭。</w:t>
      </w:r>
    </w:p>
    <w:p w14:paraId="7E7561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1D105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38750" cy="3048000"/>
            <wp:effectExtent l="0" t="0" r="381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68C0">
      <w:pPr>
        <w:pStyle w:val="30"/>
        <w:bidi w:val="0"/>
        <w:rPr>
          <w:rFonts w:hint="default"/>
          <w:lang w:val="en-US" w:eastAsia="zh-CN"/>
        </w:rPr>
      </w:pPr>
      <w:bookmarkStart w:id="11" w:name="_Toc25393"/>
      <w:r>
        <w:rPr>
          <w:rFonts w:hint="default"/>
          <w:lang w:val="en-US" w:eastAsia="zh-CN"/>
        </w:rPr>
        <w:t>事件登记</w:t>
      </w:r>
      <w:bookmarkEnd w:id="11"/>
    </w:p>
    <w:p w14:paraId="77C2FF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133975" cy="580072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2F4D">
      <w:pPr>
        <w:pStyle w:val="31"/>
        <w:bidi w:val="0"/>
        <w:rPr>
          <w:rFonts w:hint="default"/>
          <w:lang w:val="en-US" w:eastAsia="zh-CN"/>
        </w:rPr>
      </w:pPr>
      <w:bookmarkStart w:id="12" w:name="_Toc2152"/>
      <w:r>
        <w:rPr>
          <w:rFonts w:hint="default"/>
          <w:lang w:val="en-US" w:eastAsia="zh-CN"/>
        </w:rPr>
        <w:t>提出服务请求</w:t>
      </w:r>
      <w:bookmarkEnd w:id="12"/>
    </w:p>
    <w:p w14:paraId="395FAB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用户提出请求，服务台承接记录。</w:t>
      </w:r>
    </w:p>
    <w:p w14:paraId="61E7B0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事件来源：用户通过运维平台管理系统提交服务单；通过服务台电话咨询（处理结果每日汇总）。</w:t>
      </w:r>
    </w:p>
    <w:p w14:paraId="68B3C5A3">
      <w:pPr>
        <w:pStyle w:val="31"/>
        <w:bidi w:val="0"/>
        <w:rPr>
          <w:rFonts w:hint="default"/>
          <w:lang w:val="en-US" w:eastAsia="zh-CN"/>
        </w:rPr>
      </w:pPr>
      <w:bookmarkStart w:id="13" w:name="_Toc19056"/>
      <w:r>
        <w:rPr>
          <w:rFonts w:hint="default"/>
          <w:lang w:val="en-US" w:eastAsia="zh-CN"/>
        </w:rPr>
        <w:t>创建并记录事件基本信息：</w:t>
      </w:r>
      <w:bookmarkEnd w:id="13"/>
    </w:p>
    <w:p w14:paraId="78816E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服务台在事件记录单中记录申告信息。</w:t>
      </w:r>
    </w:p>
    <w:p w14:paraId="3BEB37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基本信息包括：受理人、渠道、时间、编号、申报人及联系方式、故障地点及联系人、涉及系统、事件内容描述（标题、紧急程度、类型）、受理意见、事件状态。</w:t>
      </w:r>
    </w:p>
    <w:p w14:paraId="2C34B1B2">
      <w:pPr>
        <w:pStyle w:val="31"/>
        <w:bidi w:val="0"/>
        <w:rPr>
          <w:rFonts w:hint="default"/>
          <w:lang w:val="en-US" w:eastAsia="zh-CN"/>
        </w:rPr>
      </w:pPr>
      <w:bookmarkStart w:id="14" w:name="_Toc12091"/>
      <w:r>
        <w:rPr>
          <w:rFonts w:hint="default"/>
          <w:lang w:val="en-US" w:eastAsia="zh-CN"/>
        </w:rPr>
        <w:t>接受和筛选</w:t>
      </w:r>
      <w:bookmarkEnd w:id="14"/>
    </w:p>
    <w:p w14:paraId="7020DA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服务台判断事件是否在服务范畴内。</w:t>
      </w:r>
    </w:p>
    <w:p w14:paraId="30A506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不在范围内：告知申报人与项目经理，退回发起人。</w:t>
      </w:r>
    </w:p>
    <w:p w14:paraId="1FC075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客户仍需超范围服务：转至相应模块项目经理协调确认。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720"/>
        <w:gridCol w:w="994"/>
        <w:gridCol w:w="995"/>
        <w:gridCol w:w="3676"/>
        <w:gridCol w:w="1421"/>
      </w:tblGrid>
      <w:tr w14:paraId="2879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7FDB8F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720" w:type="dxa"/>
          </w:tcPr>
          <w:p w14:paraId="23AE23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等级</w:t>
            </w:r>
          </w:p>
        </w:tc>
        <w:tc>
          <w:tcPr>
            <w:tcW w:w="994" w:type="dxa"/>
          </w:tcPr>
          <w:p w14:paraId="5A464B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优先级</w:t>
            </w:r>
          </w:p>
        </w:tc>
        <w:tc>
          <w:tcPr>
            <w:tcW w:w="995" w:type="dxa"/>
          </w:tcPr>
          <w:p w14:paraId="5C5CEA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影响度</w:t>
            </w:r>
          </w:p>
        </w:tc>
        <w:tc>
          <w:tcPr>
            <w:tcW w:w="3676" w:type="dxa"/>
          </w:tcPr>
          <w:p w14:paraId="12FF08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  <w:tc>
          <w:tcPr>
            <w:tcW w:w="1421" w:type="dxa"/>
          </w:tcPr>
          <w:p w14:paraId="5D8318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处理时间</w:t>
            </w:r>
          </w:p>
        </w:tc>
      </w:tr>
      <w:tr w14:paraId="37FC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5A0A15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20" w:type="dxa"/>
          </w:tcPr>
          <w:p w14:paraId="001061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四级</w:t>
            </w:r>
          </w:p>
        </w:tc>
        <w:tc>
          <w:tcPr>
            <w:tcW w:w="994" w:type="dxa"/>
          </w:tcPr>
          <w:p w14:paraId="2B48B6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995" w:type="dxa"/>
          </w:tcPr>
          <w:p w14:paraId="520070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</w:t>
            </w:r>
          </w:p>
        </w:tc>
        <w:tc>
          <w:tcPr>
            <w:tcW w:w="3676" w:type="dxa"/>
          </w:tcPr>
          <w:p w14:paraId="2F5B8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影响度很小的，一般指业务影响度 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很低的服务，有时需要预约时间，与“低”影响度对应。主要涉及咨询类内容。</w:t>
            </w:r>
          </w:p>
        </w:tc>
        <w:tc>
          <w:tcPr>
            <w:tcW w:w="1421" w:type="dxa"/>
          </w:tcPr>
          <w:p w14:paraId="049AB1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2天</w:t>
            </w:r>
          </w:p>
        </w:tc>
      </w:tr>
      <w:tr w14:paraId="4F99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1669CC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20" w:type="dxa"/>
          </w:tcPr>
          <w:p w14:paraId="44B6E1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三级</w:t>
            </w:r>
          </w:p>
        </w:tc>
        <w:tc>
          <w:tcPr>
            <w:tcW w:w="994" w:type="dxa"/>
          </w:tcPr>
          <w:p w14:paraId="0906B8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995" w:type="dxa"/>
          </w:tcPr>
          <w:p w14:paraId="3A06BC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较严重</w:t>
            </w:r>
          </w:p>
        </w:tc>
        <w:tc>
          <w:tcPr>
            <w:tcW w:w="3676" w:type="dxa"/>
          </w:tcPr>
          <w:p w14:paraId="70210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一般故障处理的影响度，用于中等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业务影响度的服务，与“中”影响度对应。</w:t>
            </w:r>
          </w:p>
          <w:p w14:paraId="20B32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如一般性的数据处理、更改配置等</w:t>
            </w:r>
            <w:r>
              <w:rPr>
                <w:rFonts w:hint="eastAsia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工作内容</w:t>
            </w:r>
          </w:p>
        </w:tc>
        <w:tc>
          <w:tcPr>
            <w:tcW w:w="1421" w:type="dxa"/>
          </w:tcPr>
          <w:p w14:paraId="1A3A68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24小时</w:t>
            </w:r>
          </w:p>
        </w:tc>
      </w:tr>
      <w:tr w14:paraId="2D9B3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52D5B3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20" w:type="dxa"/>
          </w:tcPr>
          <w:p w14:paraId="062F73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二级</w:t>
            </w:r>
          </w:p>
        </w:tc>
        <w:tc>
          <w:tcPr>
            <w:tcW w:w="994" w:type="dxa"/>
          </w:tcPr>
          <w:p w14:paraId="45215C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995" w:type="dxa"/>
          </w:tcPr>
          <w:p w14:paraId="186C5C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3676" w:type="dxa"/>
          </w:tcPr>
          <w:p w14:paraId="6C223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严重故障处理的影响度，用于严重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影响业务应用的事故处理，与“高”影响度对应。 </w:t>
            </w:r>
          </w:p>
          <w:p w14:paraId="351437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如各业务组针对用户的月结、年结等工作内容。影响全省的业务处理等。</w:t>
            </w:r>
          </w:p>
        </w:tc>
        <w:tc>
          <w:tcPr>
            <w:tcW w:w="1421" w:type="dxa"/>
          </w:tcPr>
          <w:p w14:paraId="61DAA5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4小时</w:t>
            </w:r>
          </w:p>
        </w:tc>
      </w:tr>
      <w:tr w14:paraId="4443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6" w:type="dxa"/>
          </w:tcPr>
          <w:p w14:paraId="77A36C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20" w:type="dxa"/>
          </w:tcPr>
          <w:p w14:paraId="122D31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一级</w:t>
            </w:r>
          </w:p>
        </w:tc>
        <w:tc>
          <w:tcPr>
            <w:tcW w:w="994" w:type="dxa"/>
          </w:tcPr>
          <w:p w14:paraId="3C1ED7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紧急</w:t>
            </w:r>
          </w:p>
        </w:tc>
        <w:tc>
          <w:tcPr>
            <w:tcW w:w="995" w:type="dxa"/>
          </w:tcPr>
          <w:p w14:paraId="00FD22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重大</w:t>
            </w:r>
          </w:p>
        </w:tc>
        <w:tc>
          <w:tcPr>
            <w:tcW w:w="3676" w:type="dxa"/>
          </w:tcPr>
          <w:p w14:paraId="339A1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特殊事件的处理，用于紧急服</w:t>
            </w:r>
            <w:r>
              <w:rPr>
                <w:rFonts w:hint="default" w:ascii="浠垮畫" w:hAnsi="浠垮畫" w:eastAsia="浠垮畫" w:cs="浠垮畫"/>
                <w:snapToGrid w:val="0"/>
                <w:color w:val="000000"/>
                <w:kern w:val="0"/>
                <w:sz w:val="24"/>
                <w:szCs w:val="24"/>
                <w:lang w:val="en-US" w:eastAsia="zh-CN"/>
              </w:rPr>
              <w:t>务事件的处理，与“重大”影响度对应。如系统系统中断、宕机等。</w:t>
            </w:r>
          </w:p>
        </w:tc>
        <w:tc>
          <w:tcPr>
            <w:tcW w:w="1421" w:type="dxa"/>
          </w:tcPr>
          <w:p w14:paraId="657EA3C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30分钟</w:t>
            </w:r>
          </w:p>
        </w:tc>
      </w:tr>
    </w:tbl>
    <w:p w14:paraId="6EE80D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EE39326">
      <w:pPr>
        <w:pStyle w:val="30"/>
        <w:bidi w:val="0"/>
        <w:rPr>
          <w:rFonts w:hint="default"/>
          <w:lang w:val="en-US" w:eastAsia="zh-CN"/>
        </w:rPr>
      </w:pPr>
      <w:bookmarkStart w:id="15" w:name="_Toc100"/>
      <w:r>
        <w:rPr>
          <w:rFonts w:hint="default"/>
          <w:lang w:val="en-US" w:eastAsia="zh-CN"/>
        </w:rPr>
        <w:t>事件派单</w:t>
      </w:r>
      <w:bookmarkEnd w:id="15"/>
    </w:p>
    <w:p w14:paraId="05E033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143500" cy="622935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7BF5">
      <w:pPr>
        <w:pStyle w:val="31"/>
        <w:bidi w:val="0"/>
        <w:rPr>
          <w:rFonts w:hint="default"/>
          <w:lang w:val="en-US" w:eastAsia="zh-CN"/>
        </w:rPr>
      </w:pPr>
      <w:bookmarkStart w:id="16" w:name="_Toc19902"/>
      <w:r>
        <w:rPr>
          <w:rFonts w:hint="default"/>
          <w:lang w:val="en-US" w:eastAsia="zh-CN"/>
        </w:rPr>
        <w:t>事件分类</w:t>
      </w:r>
      <w:bookmarkEnd w:id="16"/>
    </w:p>
    <w:p w14:paraId="1AD8F2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项目经理对事件分类：</w:t>
      </w:r>
      <w:r>
        <w:rPr>
          <w:rFonts w:hint="eastAsia"/>
          <w:lang w:val="en-US" w:eastAsia="zh-CN"/>
        </w:rPr>
        <w:t>硬件类、软件类、服务类</w:t>
      </w:r>
      <w:r>
        <w:rPr>
          <w:rFonts w:hint="default"/>
          <w:lang w:val="en-US" w:eastAsia="zh-CN"/>
        </w:rPr>
        <w:t>。</w:t>
      </w:r>
    </w:p>
    <w:p w14:paraId="069E6C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说明：最终处理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工程师对事件最终分类准确性负责。</w:t>
      </w:r>
    </w:p>
    <w:p w14:paraId="11C6B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A4A3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tbl>
      <w:tblPr>
        <w:tblStyle w:val="26"/>
        <w:tblW w:w="8432" w:type="dxa"/>
        <w:tblInd w:w="10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9"/>
        <w:gridCol w:w="5503"/>
      </w:tblGrid>
      <w:tr w14:paraId="73E1EA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929" w:type="dxa"/>
          </w:tcPr>
          <w:p w14:paraId="1EF991E7">
            <w:pPr>
              <w:spacing w:before="201" w:line="228" w:lineRule="auto"/>
              <w:ind w:left="12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19"/>
                <w:szCs w:val="19"/>
              </w:rPr>
              <w:t>类别</w:t>
            </w:r>
          </w:p>
        </w:tc>
        <w:tc>
          <w:tcPr>
            <w:tcW w:w="5503" w:type="dxa"/>
          </w:tcPr>
          <w:p w14:paraId="4D9B4DCC">
            <w:pPr>
              <w:spacing w:before="200" w:line="229" w:lineRule="auto"/>
              <w:ind w:left="255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19"/>
                <w:szCs w:val="19"/>
              </w:rPr>
              <w:t>定义</w:t>
            </w:r>
          </w:p>
        </w:tc>
      </w:tr>
      <w:tr w14:paraId="1D9ED1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929" w:type="dxa"/>
          </w:tcPr>
          <w:p w14:paraId="31D8F27B">
            <w:pPr>
              <w:spacing w:before="197" w:line="228" w:lineRule="auto"/>
              <w:ind w:left="9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硬件类事件</w:t>
            </w:r>
          </w:p>
        </w:tc>
        <w:tc>
          <w:tcPr>
            <w:tcW w:w="5503" w:type="dxa"/>
          </w:tcPr>
          <w:p w14:paraId="310980D5">
            <w:pPr>
              <w:spacing w:before="67" w:line="227" w:lineRule="auto"/>
              <w:ind w:left="2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客户申告的涉及硬件的故障。（包括：网络设备、安全设</w:t>
            </w:r>
          </w:p>
          <w:p w14:paraId="23C0DCB2">
            <w:pPr>
              <w:spacing w:before="25" w:line="228" w:lineRule="auto"/>
              <w:ind w:left="10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备、主机设备、存储设备、其他设备）</w:t>
            </w:r>
          </w:p>
        </w:tc>
      </w:tr>
      <w:tr w14:paraId="66F679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929" w:type="dxa"/>
          </w:tcPr>
          <w:p w14:paraId="010E47B5">
            <w:pPr>
              <w:spacing w:before="199" w:line="228" w:lineRule="auto"/>
              <w:ind w:left="9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软件类事件</w:t>
            </w:r>
          </w:p>
        </w:tc>
        <w:tc>
          <w:tcPr>
            <w:tcW w:w="5503" w:type="dxa"/>
          </w:tcPr>
          <w:p w14:paraId="1A3A447D">
            <w:pPr>
              <w:spacing w:before="199" w:line="227" w:lineRule="auto"/>
              <w:ind w:left="145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客户申告的涉及软件的故障。</w:t>
            </w:r>
          </w:p>
        </w:tc>
      </w:tr>
      <w:tr w14:paraId="05A8EC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929" w:type="dxa"/>
          </w:tcPr>
          <w:p w14:paraId="5BF73AF4">
            <w:pPr>
              <w:spacing w:before="203" w:line="228" w:lineRule="auto"/>
              <w:ind w:left="96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服务类事件</w:t>
            </w:r>
          </w:p>
        </w:tc>
        <w:tc>
          <w:tcPr>
            <w:tcW w:w="5503" w:type="dxa"/>
          </w:tcPr>
          <w:p w14:paraId="5D930980">
            <w:pPr>
              <w:spacing w:before="203" w:line="228" w:lineRule="auto"/>
              <w:ind w:left="75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服务咨询、业务咨询、巡检、技术协助、其他</w:t>
            </w:r>
          </w:p>
        </w:tc>
      </w:tr>
    </w:tbl>
    <w:p w14:paraId="04FD9442">
      <w:pPr>
        <w:pStyle w:val="31"/>
        <w:bidi w:val="0"/>
        <w:rPr>
          <w:rFonts w:hint="default"/>
          <w:lang w:val="en-US" w:eastAsia="zh-CN"/>
        </w:rPr>
      </w:pPr>
      <w:bookmarkStart w:id="17" w:name="_Toc9442"/>
      <w:r>
        <w:rPr>
          <w:rFonts w:hint="default"/>
          <w:lang w:val="en-US" w:eastAsia="zh-CN"/>
        </w:rPr>
        <w:t>事件分级</w:t>
      </w:r>
      <w:bookmarkEnd w:id="17"/>
    </w:p>
    <w:p w14:paraId="343725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根据事件紧急程度和影响面分配优先级，需与客户在SLA基础上达成一致。VIP用户事件可提升优先级。</w:t>
      </w:r>
    </w:p>
    <w:tbl>
      <w:tblPr>
        <w:tblStyle w:val="26"/>
        <w:tblW w:w="8605" w:type="dxa"/>
        <w:tblInd w:w="3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6"/>
        <w:gridCol w:w="5009"/>
      </w:tblGrid>
      <w:tr w14:paraId="24765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596" w:type="dxa"/>
          </w:tcPr>
          <w:p w14:paraId="6087AFE4">
            <w:pPr>
              <w:spacing w:before="113" w:line="223" w:lineRule="auto"/>
              <w:ind w:left="15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5009" w:type="dxa"/>
          </w:tcPr>
          <w:p w14:paraId="5BE2DDDD">
            <w:pPr>
              <w:spacing w:before="113" w:line="223" w:lineRule="auto"/>
              <w:ind w:left="25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描述</w:t>
            </w:r>
          </w:p>
        </w:tc>
      </w:tr>
      <w:tr w14:paraId="6871F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3596" w:type="dxa"/>
          </w:tcPr>
          <w:p w14:paraId="214468B8">
            <w:pPr>
              <w:spacing w:before="181" w:line="221" w:lineRule="auto"/>
              <w:ind w:left="15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紧急</w:t>
            </w:r>
          </w:p>
        </w:tc>
        <w:tc>
          <w:tcPr>
            <w:tcW w:w="5009" w:type="dxa"/>
          </w:tcPr>
          <w:p w14:paraId="527891CB">
            <w:pPr>
              <w:spacing w:before="182" w:line="234" w:lineRule="auto"/>
              <w:ind w:left="17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2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小时之内</w:t>
            </w:r>
          </w:p>
        </w:tc>
      </w:tr>
      <w:tr w14:paraId="7F5CF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596" w:type="dxa"/>
          </w:tcPr>
          <w:p w14:paraId="49B6ACB8">
            <w:pPr>
              <w:spacing w:before="113" w:line="221" w:lineRule="auto"/>
              <w:ind w:left="170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高</w:t>
            </w:r>
          </w:p>
        </w:tc>
        <w:tc>
          <w:tcPr>
            <w:tcW w:w="5009" w:type="dxa"/>
          </w:tcPr>
          <w:p w14:paraId="5263DDF5">
            <w:pPr>
              <w:spacing w:before="114" w:line="234" w:lineRule="auto"/>
              <w:ind w:left="17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8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小时之内</w:t>
            </w:r>
          </w:p>
        </w:tc>
      </w:tr>
      <w:tr w14:paraId="1072A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596" w:type="dxa"/>
          </w:tcPr>
          <w:p w14:paraId="7E9A21CD">
            <w:pPr>
              <w:spacing w:before="112" w:line="221" w:lineRule="auto"/>
              <w:ind w:left="17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5009" w:type="dxa"/>
          </w:tcPr>
          <w:p w14:paraId="1C07FB9C">
            <w:pPr>
              <w:spacing w:before="112" w:line="234" w:lineRule="auto"/>
              <w:ind w:left="17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24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小时之内</w:t>
            </w:r>
          </w:p>
        </w:tc>
      </w:tr>
      <w:tr w14:paraId="5FE28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3596" w:type="dxa"/>
          </w:tcPr>
          <w:p w14:paraId="0D917CAF">
            <w:pPr>
              <w:spacing w:before="238" w:line="222" w:lineRule="auto"/>
              <w:ind w:left="16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5009" w:type="dxa"/>
          </w:tcPr>
          <w:p w14:paraId="37C46B46">
            <w:pPr>
              <w:spacing w:before="238" w:line="234" w:lineRule="auto"/>
              <w:ind w:left="17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解决时间</w:t>
            </w:r>
            <w:r>
              <w:rPr>
                <w:rFonts w:ascii="宋体" w:hAnsi="宋体" w:eastAsia="宋体" w:cs="宋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72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小时之内</w:t>
            </w:r>
          </w:p>
        </w:tc>
      </w:tr>
    </w:tbl>
    <w:p w14:paraId="0C6EC040">
      <w:pPr>
        <w:pStyle w:val="31"/>
        <w:bidi w:val="0"/>
        <w:rPr>
          <w:rFonts w:hint="default"/>
          <w:lang w:val="en-US" w:eastAsia="zh-CN"/>
        </w:rPr>
      </w:pPr>
      <w:bookmarkStart w:id="18" w:name="_Toc7375"/>
      <w:r>
        <w:rPr>
          <w:rFonts w:hint="default"/>
          <w:lang w:val="en-US" w:eastAsia="zh-CN"/>
        </w:rPr>
        <w:t>初步支持</w:t>
      </w:r>
      <w:bookmarkEnd w:id="18"/>
    </w:p>
    <w:p w14:paraId="1A8A49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判断能否解决。能解决则自行处理并设状态为“已解决”；不能解决则转单至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06C4FD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需在系统中记录操作内容，并与客户就下一步安排达成一致。</w:t>
      </w:r>
    </w:p>
    <w:p w14:paraId="08BB9F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记录信息包括：受理人、渠道、时间、编号、申报人及联系方式、地点及联系人、涉及系统、事件内容描述、受理意见、是否转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1F236ADF">
      <w:pPr>
        <w:pStyle w:val="31"/>
        <w:bidi w:val="0"/>
        <w:rPr>
          <w:rFonts w:hint="default"/>
          <w:lang w:val="en-US" w:eastAsia="zh-CN"/>
        </w:rPr>
      </w:pPr>
      <w:bookmarkStart w:id="19" w:name="_Toc19500"/>
      <w:r>
        <w:rPr>
          <w:rFonts w:hint="default"/>
          <w:lang w:val="en-US" w:eastAsia="zh-CN"/>
        </w:rPr>
        <w:t>管理升级</w:t>
      </w:r>
      <w:bookmarkEnd w:id="19"/>
    </w:p>
    <w:p w14:paraId="072AD4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无法解决时，升级为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处理，并指定责任人。</w:t>
      </w:r>
    </w:p>
    <w:p w14:paraId="40246D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提供了事件管理升级默认定义表（按事件等级、影响度和时间节点定义升级路径）：</w:t>
      </w:r>
    </w:p>
    <w:p w14:paraId="2ECA03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经理；4小时-&gt;总经理。</w:t>
      </w:r>
    </w:p>
    <w:p w14:paraId="420D66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；2天-&gt;总经理。</w:t>
      </w:r>
    </w:p>
    <w:p w14:paraId="16FEF2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三级（较严重）：0小时-&gt;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；2天-&gt;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经理。</w:t>
      </w:r>
    </w:p>
    <w:p w14:paraId="576283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四级（一般）：0小时-&gt;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；30分钟-&gt;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；4小时-&gt;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；24小时-&gt;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；2天-&gt;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 w14:paraId="71830B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原则：所有事件解决并经发起人确认后才可关闭；事件承接人对整体报告负责。</w:t>
      </w:r>
    </w:p>
    <w:p w14:paraId="1A2CA5C0">
      <w:pPr>
        <w:pStyle w:val="30"/>
        <w:bidi w:val="0"/>
        <w:rPr>
          <w:rFonts w:hint="default"/>
          <w:lang w:val="en-US" w:eastAsia="zh-CN"/>
        </w:rPr>
      </w:pPr>
      <w:bookmarkStart w:id="20" w:name="_Toc2847"/>
      <w:r>
        <w:rPr>
          <w:rFonts w:hint="default"/>
          <w:lang w:val="en-US" w:eastAsia="zh-CN"/>
        </w:rPr>
        <w:t>事件处理</w:t>
      </w:r>
      <w:bookmarkEnd w:id="20"/>
    </w:p>
    <w:p w14:paraId="3A477497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143500" cy="4524375"/>
            <wp:effectExtent l="0" t="0" r="762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DBE0C">
      <w:pPr>
        <w:pStyle w:val="31"/>
        <w:bidi w:val="0"/>
        <w:rPr>
          <w:rFonts w:hint="default"/>
          <w:lang w:val="en-US" w:eastAsia="zh-CN"/>
        </w:rPr>
      </w:pPr>
      <w:bookmarkStart w:id="21" w:name="_Toc28630"/>
      <w:r>
        <w:rPr>
          <w:rFonts w:hint="default"/>
          <w:lang w:val="en-US" w:eastAsia="zh-CN"/>
        </w:rPr>
        <w:t>解决和恢复</w:t>
      </w:r>
      <w:bookmarkEnd w:id="21"/>
    </w:p>
    <w:p w14:paraId="6A320F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受单后联系客户确认。</w:t>
      </w:r>
    </w:p>
    <w:p w14:paraId="75986D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步骤：</w:t>
      </w:r>
    </w:p>
    <w:p w14:paraId="4283C47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；</w:t>
      </w:r>
    </w:p>
    <w:p w14:paraId="052C334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有方案则参照实施，无则尝试解决；</w:t>
      </w:r>
    </w:p>
    <w:p w14:paraId="6088763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远程解决则填单；</w:t>
      </w:r>
    </w:p>
    <w:p w14:paraId="2C53780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未解决则申请调用厂商支持。</w:t>
      </w:r>
    </w:p>
    <w:p w14:paraId="6E68EC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记录信息：受理人、受理时间、涉及系统、受理意见。</w:t>
      </w:r>
    </w:p>
    <w:p w14:paraId="131007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建议：派单后在“待办事项”显示；人员紧张时优先高优先级事件，项目经理协调。</w:t>
      </w:r>
    </w:p>
    <w:p w14:paraId="11E906C0">
      <w:pPr>
        <w:pStyle w:val="31"/>
        <w:bidi w:val="0"/>
        <w:rPr>
          <w:rFonts w:hint="default"/>
          <w:lang w:val="en-US" w:eastAsia="zh-CN"/>
        </w:rPr>
      </w:pPr>
      <w:bookmarkStart w:id="22" w:name="_Toc751"/>
      <w:r>
        <w:rPr>
          <w:rFonts w:hint="default"/>
          <w:lang w:val="en-US" w:eastAsia="zh-CN"/>
        </w:rPr>
        <w:t>联络厂商</w:t>
      </w:r>
      <w:bookmarkEnd w:id="22"/>
    </w:p>
    <w:p w14:paraId="2A9DEC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系统自动流转服务单至厂商节点，并通知责任人。厂商需在规定时间内回复。</w:t>
      </w:r>
    </w:p>
    <w:p w14:paraId="1301ED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记录信息：提交厂商时间、涉及系统、厂商受理人及联系方式、厂商受理意见、厂商受理时间。</w:t>
      </w:r>
    </w:p>
    <w:p w14:paraId="49CF5BE6">
      <w:pPr>
        <w:pStyle w:val="30"/>
        <w:bidi w:val="0"/>
        <w:rPr>
          <w:rFonts w:hint="default"/>
          <w:lang w:val="en-US" w:eastAsia="zh-CN"/>
        </w:rPr>
      </w:pPr>
      <w:bookmarkStart w:id="23" w:name="_Toc21529"/>
      <w:r>
        <w:rPr>
          <w:rFonts w:hint="default"/>
          <w:lang w:val="en-US" w:eastAsia="zh-CN"/>
        </w:rPr>
        <w:t>事件关闭</w:t>
      </w:r>
      <w:bookmarkEnd w:id="23"/>
    </w:p>
    <w:p w14:paraId="63F3B0A6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38750" cy="3143250"/>
            <wp:effectExtent l="0" t="0" r="381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3EB2">
      <w:pPr>
        <w:pStyle w:val="31"/>
        <w:bidi w:val="0"/>
        <w:rPr>
          <w:rFonts w:hint="default"/>
          <w:lang w:val="en-US" w:eastAsia="zh-CN"/>
        </w:rPr>
      </w:pPr>
      <w:bookmarkStart w:id="24" w:name="_Toc5800"/>
      <w:r>
        <w:rPr>
          <w:rFonts w:hint="default"/>
          <w:lang w:val="en-US" w:eastAsia="zh-CN"/>
        </w:rPr>
        <w:t>与客户确认处理结果</w:t>
      </w:r>
      <w:bookmarkEnd w:id="24"/>
    </w:p>
    <w:p w14:paraId="7DCE664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反馈解决方案，待用户确认。</w:t>
      </w:r>
    </w:p>
    <w:p w14:paraId="00ED80B3">
      <w:pPr>
        <w:pStyle w:val="31"/>
        <w:bidi w:val="0"/>
        <w:rPr>
          <w:rFonts w:hint="default"/>
          <w:lang w:val="en-US" w:eastAsia="zh-CN"/>
        </w:rPr>
      </w:pPr>
      <w:bookmarkStart w:id="25" w:name="_Toc27783"/>
      <w:r>
        <w:rPr>
          <w:rFonts w:hint="default"/>
          <w:lang w:val="en-US" w:eastAsia="zh-CN"/>
        </w:rPr>
        <w:t>事件关闭</w:t>
      </w:r>
      <w:bookmarkEnd w:id="25"/>
    </w:p>
    <w:p w14:paraId="5A1B15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4918"/>
      <w:r>
        <w:rPr>
          <w:rStyle w:val="44"/>
          <w:rFonts w:hint="default"/>
          <w:lang w:val="en-US" w:eastAsia="zh-CN"/>
        </w:rPr>
        <w:t>用户确认解决后，在系统中关闭服务单。随后判断是否需</w:t>
      </w:r>
      <w:bookmarkEnd w:id="26"/>
      <w:r>
        <w:rPr>
          <w:rFonts w:hint="default"/>
          <w:lang w:val="en-US" w:eastAsia="zh-CN"/>
        </w:rPr>
        <w:t>添加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519DAE94">
      <w:pPr>
        <w:pStyle w:val="31"/>
        <w:bidi w:val="0"/>
        <w:rPr>
          <w:rFonts w:hint="default"/>
          <w:lang w:val="en-US" w:eastAsia="zh-CN"/>
        </w:rPr>
      </w:pPr>
      <w:bookmarkStart w:id="27" w:name="_Toc25458"/>
      <w:r>
        <w:rPr>
          <w:rFonts w:hint="default"/>
          <w:lang w:val="en-US" w:eastAsia="zh-CN"/>
        </w:rPr>
        <w:t>添加</w:t>
      </w:r>
      <w:r>
        <w:rPr>
          <w:rFonts w:hint="eastAsia"/>
          <w:lang w:val="en-US" w:eastAsia="zh-CN"/>
        </w:rPr>
        <w:t>服务知识</w:t>
      </w:r>
      <w:bookmarkEnd w:id="27"/>
    </w:p>
    <w:p w14:paraId="2E01E57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若认为解决方案有价值，则添加至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2BDD3737">
      <w:pPr>
        <w:pStyle w:val="28"/>
        <w:bidi w:val="0"/>
        <w:rPr>
          <w:rFonts w:hint="default"/>
          <w:lang w:val="en-US" w:eastAsia="zh-CN"/>
        </w:rPr>
      </w:pPr>
      <w:bookmarkStart w:id="28" w:name="_Toc11863"/>
      <w:r>
        <w:rPr>
          <w:rFonts w:hint="default"/>
          <w:lang w:val="en-US" w:eastAsia="zh-CN"/>
        </w:rPr>
        <w:t>重大事件处理</w:t>
      </w:r>
      <w:bookmarkEnd w:id="28"/>
    </w:p>
    <w:p w14:paraId="3AB1BB21">
      <w:pPr>
        <w:pStyle w:val="30"/>
        <w:bidi w:val="0"/>
        <w:rPr>
          <w:rFonts w:hint="default"/>
          <w:lang w:val="en-US" w:eastAsia="zh-CN"/>
        </w:rPr>
      </w:pPr>
      <w:bookmarkStart w:id="29" w:name="_Toc16779"/>
      <w:r>
        <w:rPr>
          <w:rFonts w:hint="default"/>
          <w:lang w:val="en-US" w:eastAsia="zh-CN"/>
        </w:rPr>
        <w:t>定义</w:t>
      </w:r>
      <w:bookmarkEnd w:id="29"/>
    </w:p>
    <w:p w14:paraId="07B46C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指紧急程度较高、影响面较广且影响时间长的事件。</w:t>
      </w:r>
    </w:p>
    <w:p w14:paraId="631C4B4E">
      <w:pPr>
        <w:pStyle w:val="30"/>
        <w:bidi w:val="0"/>
        <w:rPr>
          <w:rFonts w:hint="default"/>
          <w:lang w:val="en-US" w:eastAsia="zh-CN"/>
        </w:rPr>
      </w:pPr>
      <w:bookmarkStart w:id="30" w:name="_Toc30776"/>
      <w:r>
        <w:rPr>
          <w:rFonts w:hint="default"/>
          <w:lang w:val="en-US" w:eastAsia="zh-CN"/>
        </w:rPr>
        <w:t>分级事件</w:t>
      </w:r>
      <w:bookmarkEnd w:id="30"/>
    </w:p>
    <w:p w14:paraId="3190D4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初步分级，判断是否为重大事件类型（如核心网络中断、关键业务中断）。</w:t>
      </w:r>
    </w:p>
    <w:p w14:paraId="251D5612">
      <w:pPr>
        <w:pStyle w:val="30"/>
        <w:bidi w:val="0"/>
        <w:rPr>
          <w:rFonts w:hint="default"/>
          <w:lang w:val="en-US" w:eastAsia="zh-CN"/>
        </w:rPr>
      </w:pPr>
      <w:bookmarkStart w:id="31" w:name="_Toc24453"/>
      <w:r>
        <w:rPr>
          <w:rFonts w:hint="default"/>
          <w:lang w:val="en-US" w:eastAsia="zh-CN"/>
        </w:rPr>
        <w:t>处理问题</w:t>
      </w:r>
      <w:bookmarkEnd w:id="31"/>
    </w:p>
    <w:p w14:paraId="5E778A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项目经理接收事件，做初始判断并提交管理层。</w:t>
      </w:r>
    </w:p>
    <w:p w14:paraId="242624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是否有相似处理方法；若无，联系厂商申请技术支持。</w:t>
      </w:r>
    </w:p>
    <w:p w14:paraId="611DD2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处理完毕后检查是否恢复正常，正常后关闭事件，有价值的加入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 w14:paraId="5C693830">
      <w:pPr>
        <w:pStyle w:val="28"/>
        <w:bidi w:val="0"/>
        <w:rPr>
          <w:rFonts w:hint="default"/>
          <w:lang w:val="en-US" w:eastAsia="zh-CN"/>
        </w:rPr>
      </w:pPr>
      <w:bookmarkStart w:id="32" w:name="_Toc13075"/>
      <w:r>
        <w:rPr>
          <w:rFonts w:hint="eastAsia"/>
          <w:lang w:val="en-US" w:eastAsia="zh-CN"/>
        </w:rPr>
        <w:t>事件状态</w:t>
      </w:r>
      <w:bookmarkEnd w:id="32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00"/>
      </w:tblGrid>
      <w:tr w14:paraId="497D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4A9F2F6E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事件状态</w:t>
            </w:r>
          </w:p>
        </w:tc>
        <w:tc>
          <w:tcPr>
            <w:tcW w:w="6400" w:type="dxa"/>
          </w:tcPr>
          <w:p w14:paraId="1496DF6E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036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5416976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</w:t>
            </w:r>
          </w:p>
        </w:tc>
        <w:tc>
          <w:tcPr>
            <w:tcW w:w="6400" w:type="dxa"/>
          </w:tcPr>
          <w:p w14:paraId="643AB09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新创建的服务单</w:t>
            </w:r>
          </w:p>
        </w:tc>
      </w:tr>
      <w:tr w14:paraId="12BA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BDA8F7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执行中</w:t>
            </w:r>
          </w:p>
        </w:tc>
        <w:tc>
          <w:tcPr>
            <w:tcW w:w="6400" w:type="dxa"/>
          </w:tcPr>
          <w:p w14:paraId="4038D30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运维工程师接受服务单，运维部经理接受转接的服务单</w:t>
            </w:r>
          </w:p>
        </w:tc>
      </w:tr>
      <w:tr w14:paraId="7AEA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1B1B3BC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未解决</w:t>
            </w:r>
          </w:p>
        </w:tc>
        <w:tc>
          <w:tcPr>
            <w:tcW w:w="6400" w:type="dxa"/>
          </w:tcPr>
          <w:p w14:paraId="70264269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事件解决中</w:t>
            </w:r>
          </w:p>
        </w:tc>
      </w:tr>
      <w:tr w14:paraId="32B9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2FDFDABE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已解决</w:t>
            </w:r>
          </w:p>
        </w:tc>
        <w:tc>
          <w:tcPr>
            <w:tcW w:w="6400" w:type="dxa"/>
          </w:tcPr>
          <w:p w14:paraId="7B03344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事件已经解决</w:t>
            </w:r>
          </w:p>
        </w:tc>
      </w:tr>
      <w:tr w14:paraId="1764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B9EC08C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发起人确认</w:t>
            </w:r>
          </w:p>
        </w:tc>
        <w:tc>
          <w:tcPr>
            <w:tcW w:w="6400" w:type="dxa"/>
          </w:tcPr>
          <w:p w14:paraId="22419F4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用户确认事件是否处理完毕</w:t>
            </w:r>
          </w:p>
        </w:tc>
      </w:tr>
      <w:tr w14:paraId="102C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30E6C8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关闭</w:t>
            </w:r>
          </w:p>
        </w:tc>
        <w:tc>
          <w:tcPr>
            <w:tcW w:w="6400" w:type="dxa"/>
          </w:tcPr>
          <w:p w14:paraId="379977AC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对事件进行关闭</w:t>
            </w:r>
          </w:p>
        </w:tc>
      </w:tr>
    </w:tbl>
    <w:p w14:paraId="0657DA4D">
      <w:pPr>
        <w:pStyle w:val="28"/>
        <w:bidi w:val="0"/>
        <w:rPr>
          <w:rFonts w:hint="default"/>
          <w:lang w:val="en-US" w:eastAsia="zh-CN"/>
        </w:rPr>
      </w:pPr>
      <w:bookmarkStart w:id="33" w:name="_Toc22974"/>
      <w:r>
        <w:rPr>
          <w:rFonts w:hint="default"/>
          <w:lang w:val="en-US" w:eastAsia="zh-CN"/>
        </w:rPr>
        <w:t>事件管理与其他流程的关系</w:t>
      </w:r>
      <w:bookmarkEnd w:id="33"/>
    </w:p>
    <w:p w14:paraId="2036635E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57905"/>
            <wp:effectExtent l="0" t="0" r="254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B33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配置管理：从配置管理数据库查询信息以定位和恢复故障。</w:t>
      </w:r>
    </w:p>
    <w:p w14:paraId="7987A0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问题管理：提供事件记录信息用于定位问题、分析趋势，高优先级事件解决后可转为问题进一步分析。</w:t>
      </w:r>
    </w:p>
    <w:p w14:paraId="1E7BFDA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变更管理：服务台监测因变更引发的事件；解决事件过程中必要时需发起变更请求。</w:t>
      </w:r>
    </w:p>
    <w:p w14:paraId="184EDC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服务级别管理：事件流程人员需了解SLA；事件报告用于判断是否提供了规定级别的服务。</w:t>
      </w:r>
    </w:p>
    <w:p w14:paraId="52020AB8">
      <w:pPr>
        <w:pStyle w:val="28"/>
        <w:bidi w:val="0"/>
        <w:rPr>
          <w:rFonts w:hint="default"/>
          <w:lang w:val="en-US" w:eastAsia="zh-CN"/>
        </w:rPr>
      </w:pPr>
      <w:bookmarkStart w:id="34" w:name="_Toc2222"/>
      <w:r>
        <w:rPr>
          <w:rFonts w:hint="eastAsia"/>
          <w:lang w:val="en-US" w:eastAsia="zh-CN"/>
        </w:rPr>
        <w:t>KPI指标</w:t>
      </w:r>
      <w:bookmarkEnd w:id="3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C5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86E85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621A9E2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678FF85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2CE7582A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346A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BDD25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事件及时响应</w:t>
            </w:r>
            <w:bookmarkStart w:id="35" w:name="_GoBack"/>
            <w:bookmarkEnd w:id="35"/>
            <w:r>
              <w:rPr>
                <w:rFonts w:hint="eastAsia"/>
                <w:vertAlign w:val="baseline"/>
                <w:lang w:val="en-US" w:eastAsia="zh-CN"/>
              </w:rPr>
              <w:t>率</w:t>
            </w:r>
          </w:p>
        </w:tc>
        <w:tc>
          <w:tcPr>
            <w:tcW w:w="2130" w:type="dxa"/>
          </w:tcPr>
          <w:p w14:paraId="3B411B2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及时响应的事件数量 / 所有的事件数量 × 100%</w:t>
            </w:r>
          </w:p>
        </w:tc>
        <w:tc>
          <w:tcPr>
            <w:tcW w:w="2131" w:type="dxa"/>
          </w:tcPr>
          <w:p w14:paraId="1AE802C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2131" w:type="dxa"/>
          </w:tcPr>
          <w:p w14:paraId="295976F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 w14:paraId="1F39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6605BA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2130" w:type="dxa"/>
          </w:tcPr>
          <w:p w14:paraId="0231C734">
            <w:pPr>
              <w:pStyle w:val="29"/>
              <w:widowControl w:val="0"/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2131" w:type="dxa"/>
          </w:tcPr>
          <w:p w14:paraId="575FA0B2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2131" w:type="dxa"/>
          </w:tcPr>
          <w:p w14:paraId="68D3563E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</w:tbl>
    <w:p w14:paraId="1882AF8E">
      <w:pPr>
        <w:pStyle w:val="2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浠垮畫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5ED957"/>
    <w:multiLevelType w:val="singleLevel"/>
    <w:tmpl w:val="B25ED9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EB9BB4"/>
    <w:multiLevelType w:val="singleLevel"/>
    <w:tmpl w:val="D3EB9B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67939"/>
    <w:rsid w:val="02EB239A"/>
    <w:rsid w:val="256B0E3D"/>
    <w:rsid w:val="2B476320"/>
    <w:rsid w:val="362D624A"/>
    <w:rsid w:val="396251D2"/>
    <w:rsid w:val="3C9C7C85"/>
    <w:rsid w:val="5546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4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2 Char"/>
    <w:link w:val="30"/>
    <w:qFormat/>
    <w:uiPriority w:val="0"/>
    <w:rPr>
      <w:rFonts w:ascii="Arial" w:hAnsi="Arial" w:eastAsia="宋体"/>
      <w:sz w:val="28"/>
    </w:rPr>
  </w:style>
  <w:style w:type="character" w:customStyle="1" w:styleId="44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2843</Words>
  <Characters>3091</Characters>
  <Lines>0</Lines>
  <Paragraphs>0</Paragraphs>
  <TotalTime>0</TotalTime>
  <ScaleCrop>false</ScaleCrop>
  <LinksUpToDate>false</LinksUpToDate>
  <CharactersWithSpaces>3243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2026-03-04T18:45:09Z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