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152F56">
      <w:pPr>
        <w:pStyle w:val="2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bookmarkStart w:id="0" w:name="_Toc769"/>
      <w:bookmarkStart w:id="1" w:name="heading_2"/>
      <w:r>
        <w:drawing>
          <wp:anchor distT="0" distB="0" distL="114300" distR="114300" simplePos="0" relativeHeight="251659264" behindDoc="1" locked="0" layoutInCell="1" allowOverlap="1">
            <wp:simplePos x="0" y="0"/>
            <wp:positionH relativeFrom="column">
              <wp:posOffset>-1186815</wp:posOffset>
            </wp:positionH>
            <wp:positionV relativeFrom="paragraph">
              <wp:posOffset>15875</wp:posOffset>
            </wp:positionV>
            <wp:extent cx="7609840" cy="9761855"/>
            <wp:effectExtent l="0" t="0" r="10160" b="698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7609840" cy="9761855"/>
                    </a:xfrm>
                    <a:prstGeom prst="rect">
                      <a:avLst/>
                    </a:prstGeom>
                    <a:noFill/>
                    <a:ln>
                      <a:noFill/>
                    </a:ln>
                  </pic:spPr>
                </pic:pic>
              </a:graphicData>
            </a:graphic>
          </wp:anchor>
        </w:drawing>
      </w:r>
      <w:r>
        <w:rPr>
          <w:rFonts w:hint="eastAsia"/>
          <w:lang w:val="en-US" w:eastAsia="zh-CN"/>
        </w:rPr>
        <w:t>天津市华夏电缆有限公司</w:t>
      </w:r>
      <w:bookmarkEnd w:id="0"/>
    </w:p>
    <w:p w14:paraId="5B5F4B38">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default"/>
          <w:lang w:val="en-US" w:eastAsia="zh-CN"/>
        </w:rPr>
      </w:pPr>
      <w:bookmarkStart w:id="2" w:name="_Toc20770"/>
      <w:r>
        <w:rPr>
          <w:rFonts w:hint="eastAsia"/>
          <w:lang w:val="en-US" w:eastAsia="zh-CN"/>
        </w:rPr>
        <w:t>发布管理程序</w:t>
      </w:r>
      <w:bookmarkEnd w:id="2"/>
    </w:p>
    <w:p w14:paraId="3B434E69">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3" w:name="_Toc30898"/>
      <w:r>
        <w:rPr>
          <w:rFonts w:hint="eastAsia"/>
          <w:lang w:val="en-US" w:eastAsia="zh-CN"/>
        </w:rPr>
        <w:t>（HXDL-ITSS-0606）</w:t>
      </w:r>
      <w:bookmarkEnd w:id="3"/>
    </w:p>
    <w:p w14:paraId="346303B5">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45C801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75874D19">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赵川华</w:t>
            </w:r>
          </w:p>
        </w:tc>
        <w:tc>
          <w:tcPr>
            <w:tcW w:w="4261" w:type="dxa"/>
          </w:tcPr>
          <w:p w14:paraId="2B3E6D53">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2025.07.07</w:t>
            </w:r>
          </w:p>
        </w:tc>
      </w:tr>
      <w:tr w14:paraId="089840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tcPr>
          <w:p w14:paraId="17549A44">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张智宏</w:t>
            </w:r>
          </w:p>
        </w:tc>
        <w:tc>
          <w:tcPr>
            <w:tcW w:w="4261" w:type="dxa"/>
            <w:shd w:val="clear" w:color="auto" w:fill="auto"/>
          </w:tcPr>
          <w:p w14:paraId="26274C5A">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2025.07.07</w:t>
            </w:r>
          </w:p>
        </w:tc>
      </w:tr>
      <w:tr w14:paraId="7F116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5179A9A2">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陈垒</w:t>
            </w:r>
          </w:p>
        </w:tc>
        <w:tc>
          <w:tcPr>
            <w:tcW w:w="4261" w:type="dxa"/>
          </w:tcPr>
          <w:p w14:paraId="6A99C4CA">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2025.07.07</w:t>
            </w:r>
          </w:p>
        </w:tc>
      </w:tr>
    </w:tbl>
    <w:p w14:paraId="4F869C86">
      <w:pPr>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lang w:val="en-US" w:eastAsia="zh-CN"/>
        </w:rPr>
      </w:pPr>
    </w:p>
    <w:p w14:paraId="6178E44A">
      <w:pPr>
        <w:keepNext w:val="0"/>
        <w:keepLines w:val="0"/>
        <w:pageBreakBefore w:val="0"/>
        <w:widowControl w:val="0"/>
        <w:kinsoku w:val="0"/>
        <w:wordWrap/>
        <w:overflowPunct/>
        <w:topLinePunct w:val="0"/>
        <w:autoSpaceDE w:val="0"/>
        <w:autoSpaceDN w:val="0"/>
        <w:bidi w:val="0"/>
        <w:adjustRightInd w:val="0"/>
        <w:snapToGrid w:val="0"/>
        <w:spacing w:before="98" w:line="220" w:lineRule="auto"/>
        <w:ind w:left="3195"/>
        <w:textAlignment w:val="baseline"/>
        <w:outlineLvl w:val="0"/>
        <w:rPr>
          <w:rFonts w:ascii="宋体" w:hAnsi="宋体" w:eastAsia="宋体" w:cs="宋体"/>
          <w:sz w:val="30"/>
          <w:szCs w:val="30"/>
        </w:rPr>
      </w:pPr>
      <w:r>
        <w:rPr>
          <w:rFonts w:ascii="Arial" w:hAnsi="Arial" w:eastAsia="等线" w:cs="Arial"/>
          <w:b/>
        </w:rPr>
        <w:br w:type="page"/>
      </w:r>
      <w:bookmarkStart w:id="4" w:name="_Toc15775"/>
      <w:bookmarkStart w:id="5" w:name="_Toc18525"/>
      <w:r>
        <w:rPr>
          <w:rFonts w:ascii="宋体" w:hAnsi="宋体" w:eastAsia="宋体" w:cs="宋体"/>
          <w:b/>
          <w:bCs/>
          <w:spacing w:val="-4"/>
          <w:sz w:val="30"/>
          <w:szCs w:val="30"/>
        </w:rPr>
        <w:t>文件编制和变更履历</w:t>
      </w:r>
      <w:bookmarkEnd w:id="4"/>
      <w:bookmarkEnd w:id="5"/>
    </w:p>
    <w:tbl>
      <w:tblPr>
        <w:tblStyle w:val="42"/>
        <w:tblW w:w="9005" w:type="dxa"/>
        <w:tblInd w:w="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14:paraId="593044B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9" w:hRule="atLeast"/>
        </w:trPr>
        <w:tc>
          <w:tcPr>
            <w:tcW w:w="845" w:type="dxa"/>
            <w:vMerge w:val="restart"/>
            <w:tcBorders>
              <w:top w:val="single" w:color="000000" w:sz="10" w:space="0"/>
              <w:left w:val="single" w:color="000000" w:sz="10" w:space="0"/>
              <w:bottom w:val="nil"/>
            </w:tcBorders>
            <w:shd w:val="clear" w:color="auto" w:fill="D9D9D9"/>
          </w:tcPr>
          <w:p w14:paraId="32140AC0">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1D815A56">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72"/>
              <w:textAlignment w:val="baseline"/>
              <w:rPr>
                <w:rFonts w:ascii="宋体" w:hAnsi="宋体" w:eastAsia="宋体" w:cs="宋体"/>
                <w:sz w:val="24"/>
                <w:szCs w:val="24"/>
              </w:rPr>
            </w:pPr>
            <w:r>
              <w:rPr>
                <w:rFonts w:ascii="宋体" w:hAnsi="宋体" w:eastAsia="宋体" w:cs="宋体"/>
                <w:b/>
                <w:bCs/>
                <w:spacing w:val="-5"/>
                <w:sz w:val="24"/>
                <w:szCs w:val="24"/>
              </w:rPr>
              <w:t>版本</w:t>
            </w:r>
          </w:p>
        </w:tc>
        <w:tc>
          <w:tcPr>
            <w:tcW w:w="2155" w:type="dxa"/>
            <w:gridSpan w:val="2"/>
            <w:tcBorders>
              <w:top w:val="single" w:color="000000" w:sz="10" w:space="0"/>
            </w:tcBorders>
            <w:shd w:val="clear" w:color="auto" w:fill="D9D9D9"/>
          </w:tcPr>
          <w:p w14:paraId="47732231">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528"/>
              <w:textAlignment w:val="baseline"/>
              <w:rPr>
                <w:rFonts w:ascii="宋体" w:hAnsi="宋体" w:eastAsia="宋体" w:cs="宋体"/>
                <w:sz w:val="24"/>
                <w:szCs w:val="24"/>
              </w:rPr>
            </w:pPr>
            <w:r>
              <w:rPr>
                <w:rFonts w:ascii="宋体" w:hAnsi="宋体" w:eastAsia="宋体" w:cs="宋体"/>
                <w:b/>
                <w:bCs/>
                <w:spacing w:val="-4"/>
                <w:sz w:val="24"/>
                <w:szCs w:val="24"/>
              </w:rPr>
              <w:t>编制/更改</w:t>
            </w:r>
          </w:p>
        </w:tc>
        <w:tc>
          <w:tcPr>
            <w:tcW w:w="2334" w:type="dxa"/>
            <w:gridSpan w:val="2"/>
            <w:tcBorders>
              <w:top w:val="single" w:color="000000" w:sz="10" w:space="0"/>
            </w:tcBorders>
            <w:shd w:val="clear" w:color="auto" w:fill="D9D9D9"/>
          </w:tcPr>
          <w:p w14:paraId="593AF0CE">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927"/>
              <w:textAlignment w:val="baseline"/>
              <w:rPr>
                <w:rFonts w:ascii="宋体" w:hAnsi="宋体" w:eastAsia="宋体" w:cs="宋体"/>
                <w:sz w:val="24"/>
                <w:szCs w:val="24"/>
              </w:rPr>
            </w:pPr>
            <w:r>
              <w:rPr>
                <w:rFonts w:ascii="宋体" w:hAnsi="宋体" w:eastAsia="宋体" w:cs="宋体"/>
                <w:b/>
                <w:bCs/>
                <w:spacing w:val="-6"/>
                <w:sz w:val="24"/>
                <w:szCs w:val="24"/>
              </w:rPr>
              <w:t>发布</w:t>
            </w:r>
          </w:p>
        </w:tc>
        <w:tc>
          <w:tcPr>
            <w:tcW w:w="2288" w:type="dxa"/>
            <w:gridSpan w:val="2"/>
            <w:tcBorders>
              <w:top w:val="single" w:color="000000" w:sz="10" w:space="0"/>
            </w:tcBorders>
            <w:shd w:val="clear" w:color="auto" w:fill="D9D9D9"/>
          </w:tcPr>
          <w:p w14:paraId="14B01965">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911"/>
              <w:textAlignment w:val="baseline"/>
              <w:rPr>
                <w:rFonts w:ascii="宋体" w:hAnsi="宋体" w:eastAsia="宋体" w:cs="宋体"/>
                <w:sz w:val="24"/>
                <w:szCs w:val="24"/>
              </w:rPr>
            </w:pPr>
            <w:r>
              <w:rPr>
                <w:rFonts w:ascii="宋体" w:hAnsi="宋体" w:eastAsia="宋体" w:cs="宋体"/>
                <w:b/>
                <w:bCs/>
                <w:spacing w:val="-6"/>
                <w:sz w:val="24"/>
                <w:szCs w:val="24"/>
              </w:rPr>
              <w:t>实施</w:t>
            </w:r>
          </w:p>
        </w:tc>
        <w:tc>
          <w:tcPr>
            <w:tcW w:w="1383" w:type="dxa"/>
            <w:vMerge w:val="restart"/>
            <w:tcBorders>
              <w:top w:val="single" w:color="000000" w:sz="10" w:space="0"/>
              <w:bottom w:val="nil"/>
              <w:right w:val="single" w:color="000000" w:sz="10" w:space="0"/>
            </w:tcBorders>
            <w:shd w:val="clear" w:color="auto" w:fill="D9D9D9"/>
          </w:tcPr>
          <w:p w14:paraId="796E57B8">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50DCD755">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217"/>
              <w:textAlignment w:val="baseline"/>
              <w:rPr>
                <w:rFonts w:ascii="宋体" w:hAnsi="宋体" w:eastAsia="宋体" w:cs="宋体"/>
                <w:sz w:val="24"/>
                <w:szCs w:val="24"/>
              </w:rPr>
            </w:pPr>
            <w:r>
              <w:rPr>
                <w:rFonts w:ascii="宋体" w:hAnsi="宋体" w:eastAsia="宋体" w:cs="宋体"/>
                <w:b/>
                <w:bCs/>
                <w:spacing w:val="-5"/>
                <w:sz w:val="24"/>
                <w:szCs w:val="24"/>
              </w:rPr>
              <w:t>更改记录</w:t>
            </w:r>
          </w:p>
        </w:tc>
      </w:tr>
      <w:tr w14:paraId="21B890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845" w:type="dxa"/>
            <w:vMerge w:val="continue"/>
            <w:tcBorders>
              <w:top w:val="nil"/>
              <w:left w:val="single" w:color="000000" w:sz="10" w:space="0"/>
            </w:tcBorders>
          </w:tcPr>
          <w:p w14:paraId="6C2C8CBC">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881" w:type="dxa"/>
            <w:shd w:val="clear" w:color="auto" w:fill="D9D9D9"/>
          </w:tcPr>
          <w:p w14:paraId="4EFEA997">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191"/>
              <w:textAlignment w:val="baseline"/>
              <w:rPr>
                <w:rFonts w:ascii="宋体" w:hAnsi="宋体" w:eastAsia="宋体" w:cs="宋体"/>
                <w:sz w:val="24"/>
                <w:szCs w:val="24"/>
              </w:rPr>
            </w:pPr>
            <w:r>
              <w:rPr>
                <w:rFonts w:ascii="宋体" w:hAnsi="宋体" w:eastAsia="宋体" w:cs="宋体"/>
                <w:b/>
                <w:bCs/>
                <w:spacing w:val="-5"/>
                <w:sz w:val="24"/>
                <w:szCs w:val="24"/>
              </w:rPr>
              <w:t>作者</w:t>
            </w:r>
          </w:p>
        </w:tc>
        <w:tc>
          <w:tcPr>
            <w:tcW w:w="1274" w:type="dxa"/>
            <w:shd w:val="clear" w:color="auto" w:fill="D9D9D9"/>
          </w:tcPr>
          <w:p w14:paraId="20A55762">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30"/>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957" w:type="dxa"/>
            <w:shd w:val="clear" w:color="auto" w:fill="D9D9D9"/>
          </w:tcPr>
          <w:p w14:paraId="668580DE">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244"/>
              <w:textAlignment w:val="baseline"/>
              <w:rPr>
                <w:rFonts w:ascii="宋体" w:hAnsi="宋体" w:eastAsia="宋体" w:cs="宋体"/>
                <w:sz w:val="24"/>
                <w:szCs w:val="24"/>
              </w:rPr>
            </w:pPr>
            <w:r>
              <w:rPr>
                <w:rFonts w:ascii="宋体" w:hAnsi="宋体" w:eastAsia="宋体" w:cs="宋体"/>
                <w:b/>
                <w:bCs/>
                <w:spacing w:val="-8"/>
                <w:sz w:val="24"/>
                <w:szCs w:val="24"/>
              </w:rPr>
              <w:t>审核</w:t>
            </w:r>
          </w:p>
        </w:tc>
        <w:tc>
          <w:tcPr>
            <w:tcW w:w="1377" w:type="dxa"/>
            <w:shd w:val="clear" w:color="auto" w:fill="D9D9D9"/>
          </w:tcPr>
          <w:p w14:paraId="6E64E097">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87"/>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017" w:type="dxa"/>
            <w:shd w:val="clear" w:color="auto" w:fill="D9D9D9"/>
          </w:tcPr>
          <w:p w14:paraId="723DBD46">
            <w:pPr>
              <w:keepNext w:val="0"/>
              <w:keepLines w:val="0"/>
              <w:pageBreakBefore w:val="0"/>
              <w:widowControl w:val="0"/>
              <w:kinsoku w:val="0"/>
              <w:wordWrap/>
              <w:overflowPunct/>
              <w:topLinePunct w:val="0"/>
              <w:autoSpaceDE w:val="0"/>
              <w:autoSpaceDN w:val="0"/>
              <w:bidi w:val="0"/>
              <w:adjustRightInd w:val="0"/>
              <w:snapToGrid w:val="0"/>
              <w:spacing w:before="176" w:line="221" w:lineRule="auto"/>
              <w:ind w:left="268"/>
              <w:textAlignment w:val="baseline"/>
              <w:rPr>
                <w:rFonts w:ascii="宋体" w:hAnsi="宋体" w:eastAsia="宋体" w:cs="宋体"/>
                <w:sz w:val="24"/>
                <w:szCs w:val="24"/>
              </w:rPr>
            </w:pPr>
            <w:r>
              <w:rPr>
                <w:rFonts w:ascii="宋体" w:hAnsi="宋体" w:eastAsia="宋体" w:cs="宋体"/>
                <w:b/>
                <w:bCs/>
                <w:spacing w:val="-5"/>
                <w:sz w:val="24"/>
                <w:szCs w:val="24"/>
              </w:rPr>
              <w:t>批准</w:t>
            </w:r>
          </w:p>
        </w:tc>
        <w:tc>
          <w:tcPr>
            <w:tcW w:w="1271" w:type="dxa"/>
            <w:shd w:val="clear" w:color="auto" w:fill="D9D9D9"/>
          </w:tcPr>
          <w:p w14:paraId="7DBA96F3">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41"/>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383" w:type="dxa"/>
            <w:vMerge w:val="continue"/>
            <w:tcBorders>
              <w:top w:val="nil"/>
              <w:right w:val="single" w:color="000000" w:sz="10" w:space="0"/>
            </w:tcBorders>
          </w:tcPr>
          <w:p w14:paraId="7522AC08">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14:paraId="156E9F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1" w:hRule="atLeast"/>
        </w:trPr>
        <w:tc>
          <w:tcPr>
            <w:tcW w:w="845" w:type="dxa"/>
            <w:tcBorders>
              <w:left w:val="single" w:color="000000" w:sz="10" w:space="0"/>
            </w:tcBorders>
          </w:tcPr>
          <w:p w14:paraId="4F50E35C">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95"/>
              <w:textAlignment w:val="baseline"/>
            </w:pPr>
            <w:r>
              <w:rPr>
                <w:spacing w:val="-1"/>
              </w:rPr>
              <w:t>V1.0</w:t>
            </w:r>
          </w:p>
        </w:tc>
        <w:tc>
          <w:tcPr>
            <w:tcW w:w="881" w:type="dxa"/>
          </w:tcPr>
          <w:p w14:paraId="51D9376B">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25"/>
              <w:textAlignment w:val="baseline"/>
            </w:pPr>
            <w:r>
              <w:rPr>
                <w:spacing w:val="-4"/>
              </w:rPr>
              <w:t>赵川华</w:t>
            </w:r>
          </w:p>
        </w:tc>
        <w:tc>
          <w:tcPr>
            <w:tcW w:w="1274" w:type="dxa"/>
          </w:tcPr>
          <w:p w14:paraId="0542394E">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04"/>
              <w:textAlignment w:val="baseline"/>
            </w:pPr>
            <w:r>
              <w:rPr>
                <w:spacing w:val="-1"/>
              </w:rPr>
              <w:t>2025.7.7</w:t>
            </w:r>
          </w:p>
        </w:tc>
        <w:tc>
          <w:tcPr>
            <w:tcW w:w="957" w:type="dxa"/>
          </w:tcPr>
          <w:p w14:paraId="77AD592F">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68"/>
              <w:textAlignment w:val="baseline"/>
            </w:pPr>
            <w:r>
              <w:rPr>
                <w:spacing w:val="-4"/>
              </w:rPr>
              <w:t>张智宏</w:t>
            </w:r>
          </w:p>
        </w:tc>
        <w:tc>
          <w:tcPr>
            <w:tcW w:w="1377" w:type="dxa"/>
          </w:tcPr>
          <w:p w14:paraId="1C1373C2">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61"/>
              <w:textAlignment w:val="baseline"/>
            </w:pPr>
            <w:r>
              <w:rPr>
                <w:spacing w:val="-1"/>
              </w:rPr>
              <w:t>2025.7.7</w:t>
            </w:r>
          </w:p>
        </w:tc>
        <w:tc>
          <w:tcPr>
            <w:tcW w:w="1017" w:type="dxa"/>
          </w:tcPr>
          <w:p w14:paraId="5CE69CE7">
            <w:pPr>
              <w:pStyle w:val="27"/>
              <w:keepNext w:val="0"/>
              <w:keepLines w:val="0"/>
              <w:pageBreakBefore w:val="0"/>
              <w:widowControl w:val="0"/>
              <w:kinsoku w:val="0"/>
              <w:wordWrap/>
              <w:overflowPunct/>
              <w:topLinePunct w:val="0"/>
              <w:autoSpaceDE w:val="0"/>
              <w:autoSpaceDN w:val="0"/>
              <w:bidi w:val="0"/>
              <w:adjustRightInd w:val="0"/>
              <w:snapToGrid w:val="0"/>
              <w:spacing w:before="230" w:line="220" w:lineRule="auto"/>
              <w:ind w:left="202"/>
              <w:textAlignment w:val="baseline"/>
            </w:pPr>
            <w:r>
              <w:rPr>
                <w:spacing w:val="-3"/>
              </w:rPr>
              <w:t>陈垒</w:t>
            </w:r>
          </w:p>
        </w:tc>
        <w:tc>
          <w:tcPr>
            <w:tcW w:w="1271" w:type="dxa"/>
          </w:tcPr>
          <w:p w14:paraId="1214DC1B">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220"/>
              <w:textAlignment w:val="baseline"/>
            </w:pPr>
            <w:r>
              <w:rPr>
                <w:spacing w:val="-1"/>
              </w:rPr>
              <w:t>2025.7.7</w:t>
            </w:r>
          </w:p>
        </w:tc>
        <w:tc>
          <w:tcPr>
            <w:tcW w:w="1383" w:type="dxa"/>
            <w:tcBorders>
              <w:right w:val="single" w:color="000000" w:sz="10" w:space="0"/>
            </w:tcBorders>
          </w:tcPr>
          <w:p w14:paraId="2676FCCE">
            <w:pPr>
              <w:pStyle w:val="27"/>
              <w:keepNext w:val="0"/>
              <w:keepLines w:val="0"/>
              <w:pageBreakBefore w:val="0"/>
              <w:widowControl w:val="0"/>
              <w:kinsoku w:val="0"/>
              <w:wordWrap/>
              <w:overflowPunct/>
              <w:topLinePunct w:val="0"/>
              <w:autoSpaceDE w:val="0"/>
              <w:autoSpaceDN w:val="0"/>
              <w:bidi w:val="0"/>
              <w:adjustRightInd w:val="0"/>
              <w:snapToGrid w:val="0"/>
              <w:spacing w:before="230" w:line="217" w:lineRule="auto"/>
              <w:ind w:left="341"/>
              <w:textAlignment w:val="baseline"/>
            </w:pPr>
            <w:r>
              <w:rPr>
                <w:spacing w:val="-5"/>
              </w:rPr>
              <w:t>首次发布</w:t>
            </w:r>
          </w:p>
        </w:tc>
      </w:tr>
      <w:tr w14:paraId="4BCE9A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5" w:hRule="atLeast"/>
        </w:trPr>
        <w:tc>
          <w:tcPr>
            <w:tcW w:w="845" w:type="dxa"/>
            <w:tcBorders>
              <w:left w:val="single" w:color="000000" w:sz="10" w:space="0"/>
            </w:tcBorders>
          </w:tcPr>
          <w:p w14:paraId="6B10E2E7">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195"/>
              <w:textAlignment w:val="baseline"/>
            </w:pPr>
          </w:p>
        </w:tc>
        <w:tc>
          <w:tcPr>
            <w:tcW w:w="881" w:type="dxa"/>
          </w:tcPr>
          <w:p w14:paraId="4F3193C7">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25"/>
              <w:textAlignment w:val="baseline"/>
            </w:pPr>
          </w:p>
        </w:tc>
        <w:tc>
          <w:tcPr>
            <w:tcW w:w="1274" w:type="dxa"/>
          </w:tcPr>
          <w:p w14:paraId="1B430B58">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10"/>
              <w:textAlignment w:val="baseline"/>
            </w:pPr>
          </w:p>
        </w:tc>
        <w:tc>
          <w:tcPr>
            <w:tcW w:w="957" w:type="dxa"/>
          </w:tcPr>
          <w:p w14:paraId="1EED50B7">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68"/>
              <w:textAlignment w:val="baseline"/>
            </w:pPr>
          </w:p>
        </w:tc>
        <w:tc>
          <w:tcPr>
            <w:tcW w:w="1377" w:type="dxa"/>
          </w:tcPr>
          <w:p w14:paraId="43EEB9C1">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67"/>
              <w:textAlignment w:val="baseline"/>
            </w:pPr>
          </w:p>
        </w:tc>
        <w:tc>
          <w:tcPr>
            <w:tcW w:w="1017" w:type="dxa"/>
          </w:tcPr>
          <w:p w14:paraId="2FD80E5E">
            <w:pPr>
              <w:pStyle w:val="27"/>
              <w:keepNext w:val="0"/>
              <w:keepLines w:val="0"/>
              <w:pageBreakBefore w:val="0"/>
              <w:widowControl w:val="0"/>
              <w:kinsoku w:val="0"/>
              <w:wordWrap/>
              <w:overflowPunct/>
              <w:topLinePunct w:val="0"/>
              <w:autoSpaceDE w:val="0"/>
              <w:autoSpaceDN w:val="0"/>
              <w:bidi w:val="0"/>
              <w:adjustRightInd w:val="0"/>
              <w:snapToGrid w:val="0"/>
              <w:spacing w:before="152" w:line="220" w:lineRule="auto"/>
              <w:ind w:left="202"/>
              <w:textAlignment w:val="baseline"/>
            </w:pPr>
          </w:p>
        </w:tc>
        <w:tc>
          <w:tcPr>
            <w:tcW w:w="1271" w:type="dxa"/>
          </w:tcPr>
          <w:p w14:paraId="0AB629E4">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20"/>
              <w:textAlignment w:val="baseline"/>
            </w:pPr>
          </w:p>
        </w:tc>
        <w:tc>
          <w:tcPr>
            <w:tcW w:w="1383" w:type="dxa"/>
            <w:tcBorders>
              <w:right w:val="single" w:color="000000" w:sz="10" w:space="0"/>
            </w:tcBorders>
          </w:tcPr>
          <w:p w14:paraId="217EA1AF">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436"/>
              <w:textAlignment w:val="baseline"/>
            </w:pPr>
          </w:p>
        </w:tc>
      </w:tr>
      <w:tr w14:paraId="4238E0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3" w:hRule="atLeast"/>
        </w:trPr>
        <w:tc>
          <w:tcPr>
            <w:tcW w:w="845" w:type="dxa"/>
            <w:tcBorders>
              <w:left w:val="single" w:color="000000" w:sz="10" w:space="0"/>
              <w:bottom w:val="single" w:color="000000" w:sz="10" w:space="0"/>
            </w:tcBorders>
          </w:tcPr>
          <w:p w14:paraId="4348182F">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195"/>
              <w:textAlignment w:val="baseline"/>
            </w:pPr>
          </w:p>
        </w:tc>
        <w:tc>
          <w:tcPr>
            <w:tcW w:w="881" w:type="dxa"/>
            <w:tcBorders>
              <w:bottom w:val="single" w:color="000000" w:sz="10" w:space="0"/>
            </w:tcBorders>
          </w:tcPr>
          <w:p w14:paraId="2E49D5B0">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125"/>
              <w:textAlignment w:val="baseline"/>
            </w:pPr>
          </w:p>
        </w:tc>
        <w:tc>
          <w:tcPr>
            <w:tcW w:w="1274" w:type="dxa"/>
            <w:tcBorders>
              <w:bottom w:val="single" w:color="000000" w:sz="10" w:space="0"/>
            </w:tcBorders>
          </w:tcPr>
          <w:p w14:paraId="2B3D0FEE">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10"/>
              <w:textAlignment w:val="baseline"/>
            </w:pPr>
          </w:p>
        </w:tc>
        <w:tc>
          <w:tcPr>
            <w:tcW w:w="957" w:type="dxa"/>
            <w:tcBorders>
              <w:bottom w:val="single" w:color="000000" w:sz="10" w:space="0"/>
            </w:tcBorders>
          </w:tcPr>
          <w:p w14:paraId="1D498A80">
            <w:pPr>
              <w:pStyle w:val="27"/>
              <w:keepNext w:val="0"/>
              <w:keepLines w:val="0"/>
              <w:pageBreakBefore w:val="0"/>
              <w:widowControl w:val="0"/>
              <w:kinsoku w:val="0"/>
              <w:wordWrap/>
              <w:overflowPunct/>
              <w:topLinePunct w:val="0"/>
              <w:autoSpaceDE w:val="0"/>
              <w:autoSpaceDN w:val="0"/>
              <w:bidi w:val="0"/>
              <w:adjustRightInd w:val="0"/>
              <w:snapToGrid w:val="0"/>
              <w:spacing w:before="157" w:line="218" w:lineRule="auto"/>
              <w:ind w:left="164"/>
              <w:textAlignment w:val="baseline"/>
            </w:pPr>
          </w:p>
        </w:tc>
        <w:tc>
          <w:tcPr>
            <w:tcW w:w="1377" w:type="dxa"/>
            <w:tcBorders>
              <w:bottom w:val="single" w:color="000000" w:sz="10" w:space="0"/>
            </w:tcBorders>
          </w:tcPr>
          <w:p w14:paraId="0F0EEADB">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67"/>
              <w:textAlignment w:val="baseline"/>
            </w:pPr>
          </w:p>
        </w:tc>
        <w:tc>
          <w:tcPr>
            <w:tcW w:w="1017" w:type="dxa"/>
            <w:tcBorders>
              <w:bottom w:val="single" w:color="000000" w:sz="10" w:space="0"/>
            </w:tcBorders>
          </w:tcPr>
          <w:p w14:paraId="0223AAE1">
            <w:pPr>
              <w:pStyle w:val="27"/>
              <w:keepNext w:val="0"/>
              <w:keepLines w:val="0"/>
              <w:pageBreakBefore w:val="0"/>
              <w:widowControl w:val="0"/>
              <w:kinsoku w:val="0"/>
              <w:wordWrap/>
              <w:overflowPunct/>
              <w:topLinePunct w:val="0"/>
              <w:autoSpaceDE w:val="0"/>
              <w:autoSpaceDN w:val="0"/>
              <w:bidi w:val="0"/>
              <w:adjustRightInd w:val="0"/>
              <w:snapToGrid w:val="0"/>
              <w:spacing w:before="157" w:line="220" w:lineRule="auto"/>
              <w:ind w:left="202"/>
              <w:textAlignment w:val="baseline"/>
            </w:pPr>
          </w:p>
        </w:tc>
        <w:tc>
          <w:tcPr>
            <w:tcW w:w="1271" w:type="dxa"/>
            <w:tcBorders>
              <w:bottom w:val="single" w:color="000000" w:sz="10" w:space="0"/>
            </w:tcBorders>
          </w:tcPr>
          <w:p w14:paraId="48D52236">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20"/>
              <w:textAlignment w:val="baseline"/>
            </w:pPr>
          </w:p>
        </w:tc>
        <w:tc>
          <w:tcPr>
            <w:tcW w:w="1383" w:type="dxa"/>
            <w:tcBorders>
              <w:bottom w:val="single" w:color="000000" w:sz="10" w:space="0"/>
              <w:right w:val="single" w:color="000000" w:sz="10" w:space="0"/>
            </w:tcBorders>
          </w:tcPr>
          <w:p w14:paraId="3B2249CE">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436"/>
              <w:textAlignment w:val="baseline"/>
            </w:pPr>
          </w:p>
        </w:tc>
      </w:tr>
    </w:tbl>
    <w:sdt>
      <w:sdtPr>
        <w:rPr>
          <w:rFonts w:ascii="宋体" w:hAnsi="宋体" w:eastAsia="宋体" w:cs="Arial"/>
          <w:snapToGrid w:val="0"/>
          <w:color w:val="000000"/>
          <w:kern w:val="0"/>
          <w:sz w:val="21"/>
          <w:szCs w:val="21"/>
          <w:lang w:val="en-US" w:eastAsia="en-US" w:bidi="ar-SA"/>
        </w:rPr>
        <w:id w:val="147481457"/>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0DAB792A">
          <w:pPr>
            <w:spacing w:before="0" w:beforeLines="0" w:after="0" w:afterLines="0" w:line="240" w:lineRule="auto"/>
            <w:ind w:left="0" w:leftChars="0" w:right="0" w:rightChars="0" w:firstLine="0" w:firstLineChars="0"/>
            <w:jc w:val="center"/>
            <w:rPr>
              <w:rFonts w:ascii="宋体" w:hAnsi="宋体" w:eastAsia="宋体" w:cs="Arial"/>
              <w:snapToGrid w:val="0"/>
              <w:color w:val="000000"/>
              <w:kern w:val="0"/>
              <w:sz w:val="21"/>
              <w:szCs w:val="21"/>
              <w:lang w:val="en-US" w:eastAsia="en-US" w:bidi="ar-SA"/>
            </w:rPr>
          </w:pPr>
        </w:p>
        <w:p w14:paraId="1A789179">
          <w:pPr>
            <w:spacing w:before="0" w:beforeLines="0" w:after="0" w:afterLines="0" w:line="240" w:lineRule="auto"/>
            <w:ind w:left="0" w:leftChars="0" w:right="0" w:rightChars="0" w:firstLine="0" w:firstLineChars="0"/>
            <w:jc w:val="center"/>
          </w:pPr>
          <w:r>
            <w:rPr>
              <w:rFonts w:ascii="宋体" w:hAnsi="宋体" w:eastAsia="宋体" w:cs="Arial"/>
              <w:snapToGrid w:val="0"/>
              <w:color w:val="000000"/>
              <w:kern w:val="0"/>
              <w:sz w:val="21"/>
              <w:szCs w:val="21"/>
              <w:lang w:val="en-US" w:eastAsia="en-US" w:bidi="ar-SA"/>
            </w:rPr>
            <w:br w:type="page"/>
          </w:r>
          <w:r>
            <w:rPr>
              <w:rFonts w:ascii="宋体" w:hAnsi="宋体" w:eastAsia="宋体"/>
              <w:sz w:val="21"/>
            </w:rPr>
            <w:t>目录</w:t>
          </w:r>
        </w:p>
        <w:p w14:paraId="62B9DA7D">
          <w:pPr>
            <w:pStyle w:val="16"/>
            <w:tabs>
              <w:tab w:val="right" w:leader="dot" w:pos="8305"/>
            </w:tabs>
          </w:pPr>
          <w:bookmarkStart w:id="55" w:name="_GoBack"/>
          <w:bookmarkEnd w:id="55"/>
          <w:r>
            <w:fldChar w:fldCharType="begin"/>
          </w:r>
          <w:r>
            <w:instrText xml:space="preserve">TOC \o "1-3" \h \u </w:instrText>
          </w:r>
          <w:r>
            <w:fldChar w:fldCharType="separate"/>
          </w:r>
          <w:r>
            <w:fldChar w:fldCharType="begin"/>
          </w:r>
          <w:r>
            <w:instrText xml:space="preserve"> HYPERLINK \l _Toc769 </w:instrText>
          </w:r>
          <w:r>
            <w:fldChar w:fldCharType="separate"/>
          </w:r>
          <w:r>
            <w:rPr>
              <w:rFonts w:hint="eastAsia"/>
              <w:lang w:val="en-US" w:eastAsia="zh-CN"/>
            </w:rPr>
            <w:t>天津市华夏电缆有限公司</w:t>
          </w:r>
          <w:r>
            <w:tab/>
          </w:r>
          <w:r>
            <w:fldChar w:fldCharType="begin"/>
          </w:r>
          <w:r>
            <w:instrText xml:space="preserve"> PAGEREF _Toc769 \h </w:instrText>
          </w:r>
          <w:r>
            <w:fldChar w:fldCharType="separate"/>
          </w:r>
          <w:r>
            <w:t>1</w:t>
          </w:r>
          <w:r>
            <w:fldChar w:fldCharType="end"/>
          </w:r>
          <w:r>
            <w:fldChar w:fldCharType="end"/>
          </w:r>
        </w:p>
        <w:p w14:paraId="34BDD0EF">
          <w:pPr>
            <w:pStyle w:val="16"/>
            <w:tabs>
              <w:tab w:val="right" w:leader="dot" w:pos="8305"/>
            </w:tabs>
          </w:pPr>
          <w:r>
            <w:fldChar w:fldCharType="begin"/>
          </w:r>
          <w:r>
            <w:instrText xml:space="preserve"> HYPERLINK \l _Toc20770 </w:instrText>
          </w:r>
          <w:r>
            <w:fldChar w:fldCharType="separate"/>
          </w:r>
          <w:r>
            <w:rPr>
              <w:rFonts w:hint="eastAsia"/>
              <w:lang w:val="en-US" w:eastAsia="zh-CN"/>
            </w:rPr>
            <w:t>发布管理程序</w:t>
          </w:r>
          <w:r>
            <w:tab/>
          </w:r>
          <w:r>
            <w:fldChar w:fldCharType="begin"/>
          </w:r>
          <w:r>
            <w:instrText xml:space="preserve"> PAGEREF _Toc20770 \h </w:instrText>
          </w:r>
          <w:r>
            <w:fldChar w:fldCharType="separate"/>
          </w:r>
          <w:r>
            <w:t>1</w:t>
          </w:r>
          <w:r>
            <w:fldChar w:fldCharType="end"/>
          </w:r>
          <w:r>
            <w:fldChar w:fldCharType="end"/>
          </w:r>
        </w:p>
        <w:p w14:paraId="0AB102D1">
          <w:pPr>
            <w:pStyle w:val="16"/>
            <w:tabs>
              <w:tab w:val="right" w:leader="dot" w:pos="8305"/>
            </w:tabs>
          </w:pPr>
          <w:r>
            <w:fldChar w:fldCharType="begin"/>
          </w:r>
          <w:r>
            <w:instrText xml:space="preserve"> HYPERLINK \l _Toc30898 </w:instrText>
          </w:r>
          <w:r>
            <w:fldChar w:fldCharType="separate"/>
          </w:r>
          <w:r>
            <w:rPr>
              <w:rFonts w:hint="eastAsia"/>
              <w:lang w:val="en-US" w:eastAsia="zh-CN"/>
            </w:rPr>
            <w:t>（HXDL-ITSS-0606）</w:t>
          </w:r>
          <w:r>
            <w:tab/>
          </w:r>
          <w:r>
            <w:fldChar w:fldCharType="begin"/>
          </w:r>
          <w:r>
            <w:instrText xml:space="preserve"> PAGEREF _Toc30898 \h </w:instrText>
          </w:r>
          <w:r>
            <w:fldChar w:fldCharType="separate"/>
          </w:r>
          <w:r>
            <w:t>1</w:t>
          </w:r>
          <w:r>
            <w:fldChar w:fldCharType="end"/>
          </w:r>
          <w:r>
            <w:fldChar w:fldCharType="end"/>
          </w:r>
        </w:p>
        <w:p w14:paraId="7DDA8921">
          <w:pPr>
            <w:pStyle w:val="16"/>
            <w:tabs>
              <w:tab w:val="right" w:leader="dot" w:pos="8305"/>
            </w:tabs>
          </w:pPr>
          <w:r>
            <w:fldChar w:fldCharType="begin"/>
          </w:r>
          <w:r>
            <w:instrText xml:space="preserve"> HYPERLINK \l _Toc18525 </w:instrText>
          </w:r>
          <w:r>
            <w:fldChar w:fldCharType="separate"/>
          </w:r>
          <w:r>
            <w:rPr>
              <w:rFonts w:ascii="宋体" w:hAnsi="宋体" w:eastAsia="宋体" w:cs="宋体"/>
              <w:bCs/>
              <w:spacing w:val="-4"/>
              <w:szCs w:val="30"/>
            </w:rPr>
            <w:t>文件编制和变更履历</w:t>
          </w:r>
          <w:r>
            <w:tab/>
          </w:r>
          <w:r>
            <w:fldChar w:fldCharType="begin"/>
          </w:r>
          <w:r>
            <w:instrText xml:space="preserve"> PAGEREF _Toc18525 \h </w:instrText>
          </w:r>
          <w:r>
            <w:fldChar w:fldCharType="separate"/>
          </w:r>
          <w:r>
            <w:t>2</w:t>
          </w:r>
          <w:r>
            <w:fldChar w:fldCharType="end"/>
          </w:r>
          <w:r>
            <w:fldChar w:fldCharType="end"/>
          </w:r>
        </w:p>
        <w:p w14:paraId="73096148">
          <w:pPr>
            <w:pStyle w:val="16"/>
            <w:tabs>
              <w:tab w:val="right" w:leader="dot" w:pos="8305"/>
            </w:tabs>
          </w:pPr>
          <w:r>
            <w:fldChar w:fldCharType="begin"/>
          </w:r>
          <w:r>
            <w:instrText xml:space="preserve"> HYPERLINK \l _Toc20919 </w:instrText>
          </w:r>
          <w:r>
            <w:fldChar w:fldCharType="separate"/>
          </w:r>
          <w:r>
            <w:rPr>
              <w:rFonts w:hint="default"/>
            </w:rPr>
            <w:t xml:space="preserve">1. </w:t>
          </w:r>
          <w:r>
            <w:t>目的</w:t>
          </w:r>
          <w:r>
            <w:tab/>
          </w:r>
          <w:r>
            <w:fldChar w:fldCharType="begin"/>
          </w:r>
          <w:r>
            <w:instrText xml:space="preserve"> PAGEREF _Toc20919 \h </w:instrText>
          </w:r>
          <w:r>
            <w:fldChar w:fldCharType="separate"/>
          </w:r>
          <w:r>
            <w:t>5</w:t>
          </w:r>
          <w:r>
            <w:fldChar w:fldCharType="end"/>
          </w:r>
          <w:r>
            <w:fldChar w:fldCharType="end"/>
          </w:r>
        </w:p>
        <w:p w14:paraId="614F0875">
          <w:pPr>
            <w:pStyle w:val="16"/>
            <w:tabs>
              <w:tab w:val="right" w:leader="dot" w:pos="8305"/>
            </w:tabs>
          </w:pPr>
          <w:r>
            <w:fldChar w:fldCharType="begin"/>
          </w:r>
          <w:r>
            <w:instrText xml:space="preserve"> HYPERLINK \l _Toc10822 </w:instrText>
          </w:r>
          <w:r>
            <w:fldChar w:fldCharType="separate"/>
          </w:r>
          <w:r>
            <w:rPr>
              <w:rFonts w:hint="default"/>
            </w:rPr>
            <w:t xml:space="preserve">2. </w:t>
          </w:r>
          <w:r>
            <w:t>适用范围</w:t>
          </w:r>
          <w:r>
            <w:tab/>
          </w:r>
          <w:r>
            <w:fldChar w:fldCharType="begin"/>
          </w:r>
          <w:r>
            <w:instrText xml:space="preserve"> PAGEREF _Toc10822 \h </w:instrText>
          </w:r>
          <w:r>
            <w:fldChar w:fldCharType="separate"/>
          </w:r>
          <w:r>
            <w:t>5</w:t>
          </w:r>
          <w:r>
            <w:fldChar w:fldCharType="end"/>
          </w:r>
          <w:r>
            <w:fldChar w:fldCharType="end"/>
          </w:r>
        </w:p>
        <w:p w14:paraId="77773BE6">
          <w:pPr>
            <w:pStyle w:val="16"/>
            <w:tabs>
              <w:tab w:val="right" w:leader="dot" w:pos="8305"/>
            </w:tabs>
          </w:pPr>
          <w:r>
            <w:fldChar w:fldCharType="begin"/>
          </w:r>
          <w:r>
            <w:instrText xml:space="preserve"> HYPERLINK \l _Toc27059 </w:instrText>
          </w:r>
          <w:r>
            <w:fldChar w:fldCharType="separate"/>
          </w:r>
          <w:r>
            <w:rPr>
              <w:rFonts w:hint="default"/>
            </w:rPr>
            <w:t xml:space="preserve">3. </w:t>
          </w:r>
          <w:r>
            <w:t>发布的原则和策略</w:t>
          </w:r>
          <w:r>
            <w:tab/>
          </w:r>
          <w:r>
            <w:fldChar w:fldCharType="begin"/>
          </w:r>
          <w:r>
            <w:instrText xml:space="preserve"> PAGEREF _Toc27059 \h </w:instrText>
          </w:r>
          <w:r>
            <w:fldChar w:fldCharType="separate"/>
          </w:r>
          <w:r>
            <w:t>5</w:t>
          </w:r>
          <w:r>
            <w:fldChar w:fldCharType="end"/>
          </w:r>
          <w:r>
            <w:fldChar w:fldCharType="end"/>
          </w:r>
        </w:p>
        <w:p w14:paraId="49CE7555">
          <w:pPr>
            <w:pStyle w:val="16"/>
            <w:tabs>
              <w:tab w:val="right" w:leader="dot" w:pos="8305"/>
            </w:tabs>
          </w:pPr>
          <w:r>
            <w:fldChar w:fldCharType="begin"/>
          </w:r>
          <w:r>
            <w:instrText xml:space="preserve"> HYPERLINK \l _Toc6991 </w:instrText>
          </w:r>
          <w:r>
            <w:fldChar w:fldCharType="separate"/>
          </w:r>
          <w:r>
            <w:rPr>
              <w:rFonts w:hint="default"/>
            </w:rPr>
            <w:t xml:space="preserve">4. </w:t>
          </w:r>
          <w:r>
            <w:t>角色与职责定义</w:t>
          </w:r>
          <w:r>
            <w:tab/>
          </w:r>
          <w:r>
            <w:fldChar w:fldCharType="begin"/>
          </w:r>
          <w:r>
            <w:instrText xml:space="preserve"> PAGEREF _Toc6991 \h </w:instrText>
          </w:r>
          <w:r>
            <w:fldChar w:fldCharType="separate"/>
          </w:r>
          <w:r>
            <w:t>5</w:t>
          </w:r>
          <w:r>
            <w:fldChar w:fldCharType="end"/>
          </w:r>
          <w:r>
            <w:fldChar w:fldCharType="end"/>
          </w:r>
        </w:p>
        <w:p w14:paraId="6F209895">
          <w:pPr>
            <w:pStyle w:val="16"/>
            <w:tabs>
              <w:tab w:val="right" w:leader="dot" w:pos="8305"/>
            </w:tabs>
          </w:pPr>
          <w:r>
            <w:fldChar w:fldCharType="begin"/>
          </w:r>
          <w:r>
            <w:instrText xml:space="preserve"> HYPERLINK \l _Toc5437 </w:instrText>
          </w:r>
          <w:r>
            <w:fldChar w:fldCharType="separate"/>
          </w:r>
          <w:r>
            <w:rPr>
              <w:rFonts w:hint="default"/>
            </w:rPr>
            <w:t xml:space="preserve">5. </w:t>
          </w:r>
          <w:r>
            <w:t>管理流程说明</w:t>
          </w:r>
          <w:r>
            <w:tab/>
          </w:r>
          <w:r>
            <w:fldChar w:fldCharType="begin"/>
          </w:r>
          <w:r>
            <w:instrText xml:space="preserve"> PAGEREF _Toc5437 \h </w:instrText>
          </w:r>
          <w:r>
            <w:fldChar w:fldCharType="separate"/>
          </w:r>
          <w:r>
            <w:t>6</w:t>
          </w:r>
          <w:r>
            <w:fldChar w:fldCharType="end"/>
          </w:r>
          <w:r>
            <w:fldChar w:fldCharType="end"/>
          </w:r>
        </w:p>
        <w:p w14:paraId="56A7D743">
          <w:pPr>
            <w:pStyle w:val="17"/>
            <w:tabs>
              <w:tab w:val="right" w:leader="dot" w:pos="8305"/>
            </w:tabs>
          </w:pPr>
          <w:r>
            <w:fldChar w:fldCharType="begin"/>
          </w:r>
          <w:r>
            <w:instrText xml:space="preserve"> HYPERLINK \l _Toc8161 </w:instrText>
          </w:r>
          <w:r>
            <w:fldChar w:fldCharType="separate"/>
          </w:r>
          <w:r>
            <w:rPr>
              <w:rFonts w:hint="default"/>
            </w:rPr>
            <w:t xml:space="preserve">5.1. </w:t>
          </w:r>
          <w:r>
            <w:t>制定发布方案</w:t>
          </w:r>
          <w:r>
            <w:tab/>
          </w:r>
          <w:r>
            <w:fldChar w:fldCharType="begin"/>
          </w:r>
          <w:r>
            <w:instrText xml:space="preserve"> PAGEREF _Toc8161 \h </w:instrText>
          </w:r>
          <w:r>
            <w:fldChar w:fldCharType="separate"/>
          </w:r>
          <w:r>
            <w:t>6</w:t>
          </w:r>
          <w:r>
            <w:fldChar w:fldCharType="end"/>
          </w:r>
          <w:r>
            <w:fldChar w:fldCharType="end"/>
          </w:r>
        </w:p>
        <w:p w14:paraId="221D1CCE">
          <w:pPr>
            <w:pStyle w:val="17"/>
            <w:tabs>
              <w:tab w:val="right" w:leader="dot" w:pos="8305"/>
            </w:tabs>
          </w:pPr>
          <w:r>
            <w:fldChar w:fldCharType="begin"/>
          </w:r>
          <w:r>
            <w:instrText xml:space="preserve"> HYPERLINK \l _Toc26786 </w:instrText>
          </w:r>
          <w:r>
            <w:fldChar w:fldCharType="separate"/>
          </w:r>
          <w:r>
            <w:rPr>
              <w:rFonts w:hint="default"/>
            </w:rPr>
            <w:t xml:space="preserve">5.2. </w:t>
          </w:r>
          <w:r>
            <w:t>回退方案</w:t>
          </w:r>
          <w:r>
            <w:tab/>
          </w:r>
          <w:r>
            <w:fldChar w:fldCharType="begin"/>
          </w:r>
          <w:r>
            <w:instrText xml:space="preserve"> PAGEREF _Toc26786 \h </w:instrText>
          </w:r>
          <w:r>
            <w:fldChar w:fldCharType="separate"/>
          </w:r>
          <w:r>
            <w:t>6</w:t>
          </w:r>
          <w:r>
            <w:fldChar w:fldCharType="end"/>
          </w:r>
          <w:r>
            <w:fldChar w:fldCharType="end"/>
          </w:r>
        </w:p>
        <w:p w14:paraId="709AF20A">
          <w:pPr>
            <w:pStyle w:val="17"/>
            <w:tabs>
              <w:tab w:val="right" w:leader="dot" w:pos="8305"/>
            </w:tabs>
          </w:pPr>
          <w:r>
            <w:fldChar w:fldCharType="begin"/>
          </w:r>
          <w:r>
            <w:instrText xml:space="preserve"> HYPERLINK \l _Toc7815 </w:instrText>
          </w:r>
          <w:r>
            <w:fldChar w:fldCharType="separate"/>
          </w:r>
          <w:r>
            <w:rPr>
              <w:rFonts w:hint="default"/>
            </w:rPr>
            <w:t xml:space="preserve">5.3. </w:t>
          </w:r>
          <w:r>
            <w:t>发布方案评审</w:t>
          </w:r>
          <w:r>
            <w:tab/>
          </w:r>
          <w:r>
            <w:fldChar w:fldCharType="begin"/>
          </w:r>
          <w:r>
            <w:instrText xml:space="preserve"> PAGEREF _Toc7815 \h </w:instrText>
          </w:r>
          <w:r>
            <w:fldChar w:fldCharType="separate"/>
          </w:r>
          <w:r>
            <w:t>7</w:t>
          </w:r>
          <w:r>
            <w:fldChar w:fldCharType="end"/>
          </w:r>
          <w:r>
            <w:fldChar w:fldCharType="end"/>
          </w:r>
        </w:p>
        <w:p w14:paraId="0EA1FDBE">
          <w:pPr>
            <w:pStyle w:val="17"/>
            <w:tabs>
              <w:tab w:val="right" w:leader="dot" w:pos="8305"/>
            </w:tabs>
          </w:pPr>
          <w:r>
            <w:fldChar w:fldCharType="begin"/>
          </w:r>
          <w:r>
            <w:instrText xml:space="preserve"> HYPERLINK \l _Toc11722 </w:instrText>
          </w:r>
          <w:r>
            <w:fldChar w:fldCharType="separate"/>
          </w:r>
          <w:r>
            <w:rPr>
              <w:rFonts w:hint="default"/>
            </w:rPr>
            <w:t xml:space="preserve">5.4. </w:t>
          </w:r>
          <w:r>
            <w:t>构建测试环境测试和验收</w:t>
          </w:r>
          <w:r>
            <w:tab/>
          </w:r>
          <w:r>
            <w:fldChar w:fldCharType="begin"/>
          </w:r>
          <w:r>
            <w:instrText xml:space="preserve"> PAGEREF _Toc11722 \h </w:instrText>
          </w:r>
          <w:r>
            <w:fldChar w:fldCharType="separate"/>
          </w:r>
          <w:r>
            <w:t>7</w:t>
          </w:r>
          <w:r>
            <w:fldChar w:fldCharType="end"/>
          </w:r>
          <w:r>
            <w:fldChar w:fldCharType="end"/>
          </w:r>
        </w:p>
        <w:p w14:paraId="0FA6EE09">
          <w:pPr>
            <w:pStyle w:val="17"/>
            <w:tabs>
              <w:tab w:val="right" w:leader="dot" w:pos="8305"/>
            </w:tabs>
          </w:pPr>
          <w:r>
            <w:fldChar w:fldCharType="begin"/>
          </w:r>
          <w:r>
            <w:instrText xml:space="preserve"> HYPERLINK \l _Toc2264 </w:instrText>
          </w:r>
          <w:r>
            <w:fldChar w:fldCharType="separate"/>
          </w:r>
          <w:r>
            <w:rPr>
              <w:rFonts w:hint="default"/>
            </w:rPr>
            <w:t xml:space="preserve">5.5. </w:t>
          </w:r>
          <w:r>
            <w:t>上线规划</w:t>
          </w:r>
          <w:r>
            <w:tab/>
          </w:r>
          <w:r>
            <w:fldChar w:fldCharType="begin"/>
          </w:r>
          <w:r>
            <w:instrText xml:space="preserve"> PAGEREF _Toc2264 \h </w:instrText>
          </w:r>
          <w:r>
            <w:fldChar w:fldCharType="separate"/>
          </w:r>
          <w:r>
            <w:t>7</w:t>
          </w:r>
          <w:r>
            <w:fldChar w:fldCharType="end"/>
          </w:r>
          <w:r>
            <w:fldChar w:fldCharType="end"/>
          </w:r>
        </w:p>
        <w:p w14:paraId="7AA2C159">
          <w:pPr>
            <w:pStyle w:val="17"/>
            <w:tabs>
              <w:tab w:val="right" w:leader="dot" w:pos="8305"/>
            </w:tabs>
          </w:pPr>
          <w:r>
            <w:fldChar w:fldCharType="begin"/>
          </w:r>
          <w:r>
            <w:instrText xml:space="preserve"> HYPERLINK \l _Toc18971 </w:instrText>
          </w:r>
          <w:r>
            <w:fldChar w:fldCharType="separate"/>
          </w:r>
          <w:r>
            <w:rPr>
              <w:rFonts w:hint="default"/>
            </w:rPr>
            <w:t xml:space="preserve">5.6. </w:t>
          </w:r>
          <w:r>
            <w:t>上线审批</w:t>
          </w:r>
          <w:r>
            <w:tab/>
          </w:r>
          <w:r>
            <w:fldChar w:fldCharType="begin"/>
          </w:r>
          <w:r>
            <w:instrText xml:space="preserve"> PAGEREF _Toc18971 \h </w:instrText>
          </w:r>
          <w:r>
            <w:fldChar w:fldCharType="separate"/>
          </w:r>
          <w:r>
            <w:t>8</w:t>
          </w:r>
          <w:r>
            <w:fldChar w:fldCharType="end"/>
          </w:r>
          <w:r>
            <w:fldChar w:fldCharType="end"/>
          </w:r>
        </w:p>
        <w:p w14:paraId="3AD2EB2C">
          <w:pPr>
            <w:pStyle w:val="17"/>
            <w:tabs>
              <w:tab w:val="right" w:leader="dot" w:pos="8305"/>
            </w:tabs>
          </w:pPr>
          <w:r>
            <w:fldChar w:fldCharType="begin"/>
          </w:r>
          <w:r>
            <w:instrText xml:space="preserve"> HYPERLINK \l _Toc2108 </w:instrText>
          </w:r>
          <w:r>
            <w:fldChar w:fldCharType="separate"/>
          </w:r>
          <w:r>
            <w:rPr>
              <w:rFonts w:hint="default"/>
            </w:rPr>
            <w:t xml:space="preserve">5.7. </w:t>
          </w:r>
          <w:r>
            <w:t>沟通和培训</w:t>
          </w:r>
          <w:r>
            <w:tab/>
          </w:r>
          <w:r>
            <w:fldChar w:fldCharType="begin"/>
          </w:r>
          <w:r>
            <w:instrText xml:space="preserve"> PAGEREF _Toc2108 \h </w:instrText>
          </w:r>
          <w:r>
            <w:fldChar w:fldCharType="separate"/>
          </w:r>
          <w:r>
            <w:t>8</w:t>
          </w:r>
          <w:r>
            <w:fldChar w:fldCharType="end"/>
          </w:r>
          <w:r>
            <w:fldChar w:fldCharType="end"/>
          </w:r>
        </w:p>
        <w:p w14:paraId="2758741E">
          <w:pPr>
            <w:pStyle w:val="17"/>
            <w:tabs>
              <w:tab w:val="right" w:leader="dot" w:pos="8305"/>
            </w:tabs>
          </w:pPr>
          <w:r>
            <w:fldChar w:fldCharType="begin"/>
          </w:r>
          <w:r>
            <w:instrText xml:space="preserve"> HYPERLINK \l _Toc7308 </w:instrText>
          </w:r>
          <w:r>
            <w:fldChar w:fldCharType="separate"/>
          </w:r>
          <w:r>
            <w:rPr>
              <w:rFonts w:hint="default"/>
            </w:rPr>
            <w:t xml:space="preserve">5.8. </w:t>
          </w:r>
          <w:r>
            <w:t>分发和部署</w:t>
          </w:r>
          <w:r>
            <w:tab/>
          </w:r>
          <w:r>
            <w:fldChar w:fldCharType="begin"/>
          </w:r>
          <w:r>
            <w:instrText xml:space="preserve"> PAGEREF _Toc7308 \h </w:instrText>
          </w:r>
          <w:r>
            <w:fldChar w:fldCharType="separate"/>
          </w:r>
          <w:r>
            <w:t>8</w:t>
          </w:r>
          <w:r>
            <w:fldChar w:fldCharType="end"/>
          </w:r>
          <w:r>
            <w:fldChar w:fldCharType="end"/>
          </w:r>
        </w:p>
        <w:p w14:paraId="6DC817A6">
          <w:pPr>
            <w:pStyle w:val="17"/>
            <w:tabs>
              <w:tab w:val="right" w:leader="dot" w:pos="8305"/>
            </w:tabs>
          </w:pPr>
          <w:r>
            <w:fldChar w:fldCharType="begin"/>
          </w:r>
          <w:r>
            <w:instrText xml:space="preserve"> HYPERLINK \l _Toc13880 </w:instrText>
          </w:r>
          <w:r>
            <w:fldChar w:fldCharType="separate"/>
          </w:r>
          <w:r>
            <w:rPr>
              <w:rFonts w:hint="default"/>
            </w:rPr>
            <w:t xml:space="preserve">5.9. </w:t>
          </w:r>
          <w:r>
            <w:t>更新配置库</w:t>
          </w:r>
          <w:r>
            <w:tab/>
          </w:r>
          <w:r>
            <w:fldChar w:fldCharType="begin"/>
          </w:r>
          <w:r>
            <w:instrText xml:space="preserve"> PAGEREF _Toc13880 \h </w:instrText>
          </w:r>
          <w:r>
            <w:fldChar w:fldCharType="separate"/>
          </w:r>
          <w:r>
            <w:t>8</w:t>
          </w:r>
          <w:r>
            <w:fldChar w:fldCharType="end"/>
          </w:r>
          <w:r>
            <w:fldChar w:fldCharType="end"/>
          </w:r>
        </w:p>
        <w:p w14:paraId="239179DD">
          <w:pPr>
            <w:pStyle w:val="17"/>
            <w:tabs>
              <w:tab w:val="right" w:leader="dot" w:pos="8305"/>
            </w:tabs>
          </w:pPr>
          <w:r>
            <w:fldChar w:fldCharType="begin"/>
          </w:r>
          <w:r>
            <w:instrText xml:space="preserve"> HYPERLINK \l _Toc23883 </w:instrText>
          </w:r>
          <w:r>
            <w:fldChar w:fldCharType="separate"/>
          </w:r>
          <w:r>
            <w:rPr>
              <w:rFonts w:hint="default"/>
            </w:rPr>
            <w:t xml:space="preserve">5.10. </w:t>
          </w:r>
          <w:r>
            <w:t>发布关闭</w:t>
          </w:r>
          <w:r>
            <w:tab/>
          </w:r>
          <w:r>
            <w:fldChar w:fldCharType="begin"/>
          </w:r>
          <w:r>
            <w:instrText xml:space="preserve"> PAGEREF _Toc23883 \h </w:instrText>
          </w:r>
          <w:r>
            <w:fldChar w:fldCharType="separate"/>
          </w:r>
          <w:r>
            <w:t>8</w:t>
          </w:r>
          <w:r>
            <w:fldChar w:fldCharType="end"/>
          </w:r>
          <w:r>
            <w:fldChar w:fldCharType="end"/>
          </w:r>
        </w:p>
        <w:p w14:paraId="06159B04">
          <w:pPr>
            <w:pStyle w:val="17"/>
            <w:tabs>
              <w:tab w:val="right" w:leader="dot" w:pos="8305"/>
            </w:tabs>
          </w:pPr>
          <w:r>
            <w:fldChar w:fldCharType="begin"/>
          </w:r>
          <w:r>
            <w:instrText xml:space="preserve"> HYPERLINK \l _Toc25595 </w:instrText>
          </w:r>
          <w:r>
            <w:fldChar w:fldCharType="separate"/>
          </w:r>
          <w:r>
            <w:rPr>
              <w:rFonts w:hint="default"/>
            </w:rPr>
            <w:t xml:space="preserve">5.11. </w:t>
          </w:r>
          <w:r>
            <w:t>发布报告</w:t>
          </w:r>
          <w:r>
            <w:tab/>
          </w:r>
          <w:r>
            <w:fldChar w:fldCharType="begin"/>
          </w:r>
          <w:r>
            <w:instrText xml:space="preserve"> PAGEREF _Toc25595 \h </w:instrText>
          </w:r>
          <w:r>
            <w:fldChar w:fldCharType="separate"/>
          </w:r>
          <w:r>
            <w:t>8</w:t>
          </w:r>
          <w:r>
            <w:fldChar w:fldCharType="end"/>
          </w:r>
          <w:r>
            <w:fldChar w:fldCharType="end"/>
          </w:r>
        </w:p>
        <w:p w14:paraId="1806950D">
          <w:pPr>
            <w:pStyle w:val="16"/>
            <w:tabs>
              <w:tab w:val="right" w:leader="dot" w:pos="8305"/>
            </w:tabs>
          </w:pPr>
          <w:r>
            <w:fldChar w:fldCharType="begin"/>
          </w:r>
          <w:r>
            <w:instrText xml:space="preserve"> HYPERLINK \l _Toc5028 </w:instrText>
          </w:r>
          <w:r>
            <w:fldChar w:fldCharType="separate"/>
          </w:r>
          <w:r>
            <w:rPr>
              <w:rFonts w:hint="default"/>
            </w:rPr>
            <w:t xml:space="preserve">6. </w:t>
          </w:r>
          <w:r>
            <w:t>发布评估机制</w:t>
          </w:r>
          <w:r>
            <w:tab/>
          </w:r>
          <w:r>
            <w:fldChar w:fldCharType="begin"/>
          </w:r>
          <w:r>
            <w:instrText xml:space="preserve"> PAGEREF _Toc5028 \h </w:instrText>
          </w:r>
          <w:r>
            <w:fldChar w:fldCharType="separate"/>
          </w:r>
          <w:r>
            <w:t>9</w:t>
          </w:r>
          <w:r>
            <w:fldChar w:fldCharType="end"/>
          </w:r>
          <w:r>
            <w:fldChar w:fldCharType="end"/>
          </w:r>
        </w:p>
        <w:p w14:paraId="2D936E07">
          <w:pPr>
            <w:pStyle w:val="16"/>
            <w:tabs>
              <w:tab w:val="right" w:leader="dot" w:pos="8305"/>
            </w:tabs>
          </w:pPr>
          <w:r>
            <w:fldChar w:fldCharType="begin"/>
          </w:r>
          <w:r>
            <w:instrText xml:space="preserve"> HYPERLINK \l _Toc21289 </w:instrText>
          </w:r>
          <w:r>
            <w:fldChar w:fldCharType="separate"/>
          </w:r>
          <w:r>
            <w:rPr>
              <w:rFonts w:hint="default"/>
            </w:rPr>
            <w:t xml:space="preserve">7. </w:t>
          </w:r>
          <w:r>
            <w:t>流程改进机制</w:t>
          </w:r>
          <w:r>
            <w:tab/>
          </w:r>
          <w:r>
            <w:fldChar w:fldCharType="begin"/>
          </w:r>
          <w:r>
            <w:instrText xml:space="preserve"> PAGEREF _Toc21289 \h </w:instrText>
          </w:r>
          <w:r>
            <w:fldChar w:fldCharType="separate"/>
          </w:r>
          <w:r>
            <w:t>9</w:t>
          </w:r>
          <w:r>
            <w:fldChar w:fldCharType="end"/>
          </w:r>
          <w:r>
            <w:fldChar w:fldCharType="end"/>
          </w:r>
        </w:p>
        <w:p w14:paraId="37B7477D">
          <w:pPr>
            <w:pStyle w:val="16"/>
            <w:tabs>
              <w:tab w:val="right" w:leader="dot" w:pos="8305"/>
            </w:tabs>
          </w:pPr>
          <w:r>
            <w:fldChar w:fldCharType="begin"/>
          </w:r>
          <w:r>
            <w:instrText xml:space="preserve"> HYPERLINK \l _Toc7180 </w:instrText>
          </w:r>
          <w:r>
            <w:fldChar w:fldCharType="separate"/>
          </w:r>
          <w:r>
            <w:rPr>
              <w:rFonts w:hint="default"/>
            </w:rPr>
            <w:t xml:space="preserve">8. </w:t>
          </w:r>
          <w:r>
            <w:t>发布管理回顾与改进</w:t>
          </w:r>
          <w:r>
            <w:tab/>
          </w:r>
          <w:r>
            <w:fldChar w:fldCharType="begin"/>
          </w:r>
          <w:r>
            <w:instrText xml:space="preserve"> PAGEREF _Toc7180 \h </w:instrText>
          </w:r>
          <w:r>
            <w:fldChar w:fldCharType="separate"/>
          </w:r>
          <w:r>
            <w:t>9</w:t>
          </w:r>
          <w:r>
            <w:fldChar w:fldCharType="end"/>
          </w:r>
          <w:r>
            <w:fldChar w:fldCharType="end"/>
          </w:r>
        </w:p>
        <w:p w14:paraId="73DBF1C6">
          <w:pPr>
            <w:pStyle w:val="16"/>
            <w:tabs>
              <w:tab w:val="right" w:leader="dot" w:pos="8305"/>
            </w:tabs>
          </w:pPr>
          <w:r>
            <w:fldChar w:fldCharType="begin"/>
          </w:r>
          <w:r>
            <w:instrText xml:space="preserve"> HYPERLINK \l _Toc4673 </w:instrText>
          </w:r>
          <w:r>
            <w:fldChar w:fldCharType="separate"/>
          </w:r>
          <w:r>
            <w:rPr>
              <w:rFonts w:hint="default"/>
            </w:rPr>
            <w:t xml:space="preserve">9. </w:t>
          </w:r>
          <w:r>
            <w:t>发布管理与其它流程的关系</w:t>
          </w:r>
          <w:r>
            <w:tab/>
          </w:r>
          <w:r>
            <w:fldChar w:fldCharType="begin"/>
          </w:r>
          <w:r>
            <w:instrText xml:space="preserve"> PAGEREF _Toc4673 \h </w:instrText>
          </w:r>
          <w:r>
            <w:fldChar w:fldCharType="separate"/>
          </w:r>
          <w:r>
            <w:t>9</w:t>
          </w:r>
          <w:r>
            <w:fldChar w:fldCharType="end"/>
          </w:r>
          <w:r>
            <w:fldChar w:fldCharType="end"/>
          </w:r>
        </w:p>
        <w:p w14:paraId="1018A3A7">
          <w:pPr>
            <w:pStyle w:val="17"/>
            <w:tabs>
              <w:tab w:val="right" w:leader="dot" w:pos="8305"/>
            </w:tabs>
          </w:pPr>
          <w:r>
            <w:fldChar w:fldCharType="begin"/>
          </w:r>
          <w:r>
            <w:instrText xml:space="preserve"> HYPERLINK \l _Toc18291 </w:instrText>
          </w:r>
          <w:r>
            <w:fldChar w:fldCharType="separate"/>
          </w:r>
          <w:r>
            <w:rPr>
              <w:rFonts w:hint="default"/>
            </w:rPr>
            <w:t xml:space="preserve">9.1. </w:t>
          </w:r>
          <w:r>
            <w:t>变更管理</w:t>
          </w:r>
          <w:r>
            <w:tab/>
          </w:r>
          <w:r>
            <w:fldChar w:fldCharType="begin"/>
          </w:r>
          <w:r>
            <w:instrText xml:space="preserve"> PAGEREF _Toc18291 \h </w:instrText>
          </w:r>
          <w:r>
            <w:fldChar w:fldCharType="separate"/>
          </w:r>
          <w:r>
            <w:t>9</w:t>
          </w:r>
          <w:r>
            <w:fldChar w:fldCharType="end"/>
          </w:r>
          <w:r>
            <w:fldChar w:fldCharType="end"/>
          </w:r>
        </w:p>
        <w:p w14:paraId="162A9DC6">
          <w:pPr>
            <w:pStyle w:val="17"/>
            <w:tabs>
              <w:tab w:val="right" w:leader="dot" w:pos="8305"/>
            </w:tabs>
          </w:pPr>
          <w:r>
            <w:fldChar w:fldCharType="begin"/>
          </w:r>
          <w:r>
            <w:instrText xml:space="preserve"> HYPERLINK \l _Toc285 </w:instrText>
          </w:r>
          <w:r>
            <w:fldChar w:fldCharType="separate"/>
          </w:r>
          <w:r>
            <w:rPr>
              <w:rFonts w:hint="default"/>
            </w:rPr>
            <w:t xml:space="preserve">9.2. </w:t>
          </w:r>
          <w:r>
            <w:t>配置管理</w:t>
          </w:r>
          <w:r>
            <w:tab/>
          </w:r>
          <w:r>
            <w:fldChar w:fldCharType="begin"/>
          </w:r>
          <w:r>
            <w:instrText xml:space="preserve"> PAGEREF _Toc285 \h </w:instrText>
          </w:r>
          <w:r>
            <w:fldChar w:fldCharType="separate"/>
          </w:r>
          <w:r>
            <w:t>10</w:t>
          </w:r>
          <w:r>
            <w:fldChar w:fldCharType="end"/>
          </w:r>
          <w:r>
            <w:fldChar w:fldCharType="end"/>
          </w:r>
        </w:p>
        <w:p w14:paraId="4909C1B4">
          <w:pPr>
            <w:pStyle w:val="16"/>
            <w:tabs>
              <w:tab w:val="right" w:leader="dot" w:pos="8305"/>
            </w:tabs>
          </w:pPr>
          <w:r>
            <w:fldChar w:fldCharType="begin"/>
          </w:r>
          <w:r>
            <w:instrText xml:space="preserve"> HYPERLINK \l _Toc9809 </w:instrText>
          </w:r>
          <w:r>
            <w:fldChar w:fldCharType="separate"/>
          </w:r>
          <w:r>
            <w:rPr>
              <w:rFonts w:hint="default"/>
            </w:rPr>
            <w:t xml:space="preserve">10. </w:t>
          </w:r>
          <w:r>
            <w:t>关键流程衡量指标（KPI）</w:t>
          </w:r>
          <w:r>
            <w:tab/>
          </w:r>
          <w:r>
            <w:fldChar w:fldCharType="begin"/>
          </w:r>
          <w:r>
            <w:instrText xml:space="preserve"> PAGEREF _Toc9809 \h </w:instrText>
          </w:r>
          <w:r>
            <w:fldChar w:fldCharType="separate"/>
          </w:r>
          <w:r>
            <w:t>10</w:t>
          </w:r>
          <w:r>
            <w:fldChar w:fldCharType="end"/>
          </w:r>
          <w:r>
            <w:fldChar w:fldCharType="end"/>
          </w:r>
        </w:p>
        <w:p w14:paraId="44A3256C">
          <w:pPr>
            <w:pStyle w:val="16"/>
            <w:tabs>
              <w:tab w:val="right" w:leader="dot" w:pos="8305"/>
            </w:tabs>
          </w:pPr>
          <w:r>
            <w:fldChar w:fldCharType="begin"/>
          </w:r>
          <w:r>
            <w:instrText xml:space="preserve"> HYPERLINK \l _Toc26185 </w:instrText>
          </w:r>
          <w:r>
            <w:fldChar w:fldCharType="separate"/>
          </w:r>
          <w:r>
            <w:rPr>
              <w:rFonts w:hint="default"/>
            </w:rPr>
            <w:t xml:space="preserve">11. </w:t>
          </w:r>
          <w:r>
            <w:t>相关文件</w:t>
          </w:r>
          <w:r>
            <w:tab/>
          </w:r>
          <w:r>
            <w:fldChar w:fldCharType="begin"/>
          </w:r>
          <w:r>
            <w:instrText xml:space="preserve"> PAGEREF _Toc26185 \h </w:instrText>
          </w:r>
          <w:r>
            <w:fldChar w:fldCharType="separate"/>
          </w:r>
          <w:r>
            <w:t>10</w:t>
          </w:r>
          <w:r>
            <w:fldChar w:fldCharType="end"/>
          </w:r>
          <w:r>
            <w:fldChar w:fldCharType="end"/>
          </w:r>
        </w:p>
        <w:p w14:paraId="7A02994F">
          <w:pPr>
            <w:pStyle w:val="16"/>
            <w:tabs>
              <w:tab w:val="right" w:leader="dot" w:pos="8305"/>
            </w:tabs>
          </w:pPr>
          <w:r>
            <w:fldChar w:fldCharType="begin"/>
          </w:r>
          <w:r>
            <w:instrText xml:space="preserve"> HYPERLINK \l _Toc25876 </w:instrText>
          </w:r>
          <w:r>
            <w:fldChar w:fldCharType="separate"/>
          </w:r>
          <w:r>
            <w:rPr>
              <w:rFonts w:hint="default"/>
            </w:rPr>
            <w:t xml:space="preserve">12. </w:t>
          </w:r>
          <w:r>
            <w:t>相关记录</w:t>
          </w:r>
          <w:r>
            <w:tab/>
          </w:r>
          <w:r>
            <w:fldChar w:fldCharType="begin"/>
          </w:r>
          <w:r>
            <w:instrText xml:space="preserve"> PAGEREF _Toc25876 \h </w:instrText>
          </w:r>
          <w:r>
            <w:fldChar w:fldCharType="separate"/>
          </w:r>
          <w:r>
            <w:t>10</w:t>
          </w:r>
          <w:r>
            <w:fldChar w:fldCharType="end"/>
          </w:r>
          <w:r>
            <w:fldChar w:fldCharType="end"/>
          </w:r>
        </w:p>
        <w:p w14:paraId="76DF9315">
          <w:r>
            <w:fldChar w:fldCharType="end"/>
          </w:r>
        </w:p>
      </w:sdtContent>
    </w:sdt>
    <w:p w14:paraId="60F643DF"/>
    <w:p w14:paraId="135C43AD">
      <w:pPr>
        <w:pStyle w:val="28"/>
        <w:bidi w:val="0"/>
      </w:pPr>
      <w:r>
        <w:rPr>
          <w:rFonts w:ascii="Arial" w:hAnsi="Arial" w:eastAsia="等线" w:cs="Arial"/>
          <w:b/>
        </w:rPr>
        <w:br w:type="page"/>
      </w:r>
      <w:bookmarkStart w:id="6" w:name="_Toc20919"/>
      <w:r>
        <w:t>目的</w:t>
      </w:r>
      <w:bookmarkEnd w:id="1"/>
      <w:bookmarkEnd w:id="6"/>
    </w:p>
    <w:p w14:paraId="3549D4BC">
      <w:pPr>
        <w:pStyle w:val="29"/>
        <w:bidi w:val="0"/>
      </w:pPr>
      <w:r>
        <w:t>通过发布流程的实施，规范公司运维服务发布过程，控制发布中的风险，提高发布成功率。</w:t>
      </w:r>
    </w:p>
    <w:p w14:paraId="4A4B63BD">
      <w:pPr>
        <w:pStyle w:val="28"/>
        <w:bidi w:val="0"/>
      </w:pPr>
      <w:bookmarkStart w:id="7" w:name="heading_3"/>
      <w:bookmarkStart w:id="8" w:name="_Toc10822"/>
      <w:r>
        <w:t>适用范围</w:t>
      </w:r>
      <w:bookmarkEnd w:id="7"/>
      <w:bookmarkEnd w:id="8"/>
    </w:p>
    <w:p w14:paraId="499746C1">
      <w:pPr>
        <w:pStyle w:val="29"/>
        <w:bidi w:val="0"/>
      </w:pPr>
      <w:r>
        <w:t>发布管理流程的管理范围是：运维服务对象环境的变更所发起的发布请求。</w:t>
      </w:r>
    </w:p>
    <w:p w14:paraId="24A00582">
      <w:pPr>
        <w:pStyle w:val="28"/>
        <w:bidi w:val="0"/>
      </w:pPr>
      <w:bookmarkStart w:id="9" w:name="heading_4"/>
      <w:bookmarkStart w:id="10" w:name="_Toc27059"/>
      <w:r>
        <w:t>发布的原则和策略</w:t>
      </w:r>
      <w:bookmarkEnd w:id="9"/>
      <w:bookmarkEnd w:id="10"/>
    </w:p>
    <w:p w14:paraId="73BBBFCF">
      <w:pPr>
        <w:pStyle w:val="29"/>
        <w:numPr>
          <w:ilvl w:val="0"/>
          <w:numId w:val="2"/>
        </w:numPr>
        <w:bidi w:val="0"/>
        <w:ind w:left="425" w:leftChars="0" w:hanging="425" w:firstLineChars="0"/>
      </w:pPr>
      <w:r>
        <w:t>所有涉及运维服务对象环境的软硬件组件变更都必须严格遵循发布管理流程，只有正确的、被授权的和经过测试的软件版本才能导入实际生产环境；</w:t>
      </w:r>
    </w:p>
    <w:p w14:paraId="2AAA8FB1">
      <w:pPr>
        <w:pStyle w:val="29"/>
        <w:numPr>
          <w:ilvl w:val="0"/>
          <w:numId w:val="2"/>
        </w:numPr>
        <w:bidi w:val="0"/>
        <w:ind w:left="425" w:leftChars="0" w:hanging="425" w:firstLineChars="0"/>
      </w:pPr>
      <w:r>
        <w:t>设计和实施有效的程序来分发和管理IT系统的变更，所有发布执行工作都应被记录并可追踪；</w:t>
      </w:r>
    </w:p>
    <w:p w14:paraId="36A8C201">
      <w:pPr>
        <w:pStyle w:val="29"/>
        <w:numPr>
          <w:ilvl w:val="0"/>
          <w:numId w:val="2"/>
        </w:numPr>
        <w:bidi w:val="0"/>
        <w:ind w:left="425" w:leftChars="0" w:hanging="425" w:firstLineChars="0"/>
      </w:pPr>
      <w:r>
        <w:t>结合变更管理，明确发布的确切内容和发布计划；</w:t>
      </w:r>
    </w:p>
    <w:p w14:paraId="5A6A0AE9">
      <w:pPr>
        <w:pStyle w:val="29"/>
        <w:numPr>
          <w:ilvl w:val="0"/>
          <w:numId w:val="2"/>
        </w:numPr>
        <w:bidi w:val="0"/>
        <w:ind w:left="425" w:leftChars="0" w:hanging="425" w:firstLineChars="0"/>
      </w:pPr>
      <w:r>
        <w:t>确认所有软硬件组件的变更，在配置管理数据库中得到了更新；</w:t>
      </w:r>
    </w:p>
    <w:p w14:paraId="37C7D853">
      <w:pPr>
        <w:pStyle w:val="29"/>
        <w:numPr>
          <w:ilvl w:val="0"/>
          <w:numId w:val="2"/>
        </w:numPr>
        <w:bidi w:val="0"/>
        <w:ind w:left="425" w:leftChars="0" w:hanging="425" w:firstLineChars="0"/>
      </w:pPr>
      <w:r>
        <w:t>每季度产生发布流程分析报表，对失败的发布进行回顾和检查，以更好地管理发布流程。</w:t>
      </w:r>
    </w:p>
    <w:p w14:paraId="4314CC55">
      <w:pPr>
        <w:pStyle w:val="28"/>
        <w:bidi w:val="0"/>
      </w:pPr>
      <w:bookmarkStart w:id="11" w:name="heading_5"/>
      <w:bookmarkStart w:id="12" w:name="_Toc6991"/>
      <w:r>
        <w:t>角色与职责定义</w:t>
      </w:r>
      <w:bookmarkEnd w:id="11"/>
      <w:bookmarkEnd w:id="12"/>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18"/>
        <w:gridCol w:w="6730"/>
      </w:tblGrid>
      <w:tr w14:paraId="42D5C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8" w:type="dxa"/>
            <w:tcMar>
              <w:top w:w="60" w:type="dxa"/>
              <w:left w:w="120" w:type="dxa"/>
              <w:bottom w:w="30" w:type="dxa"/>
              <w:right w:w="120" w:type="dxa"/>
            </w:tcMar>
          </w:tcPr>
          <w:p w14:paraId="66F20E01">
            <w:pPr>
              <w:spacing w:before="120" w:after="120" w:line="288" w:lineRule="auto"/>
              <w:ind w:left="0"/>
              <w:jc w:val="left"/>
            </w:pPr>
            <w:r>
              <w:rPr>
                <w:rFonts w:ascii="Arial" w:hAnsi="Arial" w:eastAsia="等线" w:cs="Arial"/>
                <w:sz w:val="22"/>
              </w:rPr>
              <w:t>角色</w:t>
            </w:r>
          </w:p>
        </w:tc>
        <w:tc>
          <w:tcPr>
            <w:tcW w:w="6730" w:type="dxa"/>
            <w:tcMar>
              <w:top w:w="60" w:type="dxa"/>
              <w:left w:w="120" w:type="dxa"/>
              <w:bottom w:w="30" w:type="dxa"/>
              <w:right w:w="120" w:type="dxa"/>
            </w:tcMar>
          </w:tcPr>
          <w:p w14:paraId="390921A8">
            <w:pPr>
              <w:spacing w:before="120" w:after="120" w:line="288" w:lineRule="auto"/>
              <w:ind w:left="0"/>
              <w:jc w:val="left"/>
            </w:pPr>
            <w:r>
              <w:rPr>
                <w:rFonts w:ascii="Arial" w:hAnsi="Arial" w:eastAsia="等线" w:cs="Arial"/>
                <w:sz w:val="22"/>
              </w:rPr>
              <w:t>职责</w:t>
            </w:r>
          </w:p>
        </w:tc>
      </w:tr>
      <w:tr w14:paraId="51FCD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8" w:type="dxa"/>
            <w:tcMar>
              <w:top w:w="60" w:type="dxa"/>
              <w:left w:w="120" w:type="dxa"/>
              <w:bottom w:w="30" w:type="dxa"/>
              <w:right w:w="120" w:type="dxa"/>
            </w:tcMar>
          </w:tcPr>
          <w:p w14:paraId="2E8C30E6">
            <w:pPr>
              <w:spacing w:before="120" w:after="120" w:line="288" w:lineRule="auto"/>
              <w:ind w:left="0"/>
              <w:jc w:val="left"/>
              <w:rPr>
                <w:rFonts w:ascii="Arial" w:hAnsi="Arial" w:eastAsia="等线" w:cs="Arial"/>
                <w:sz w:val="22"/>
              </w:rPr>
            </w:pPr>
            <w:r>
              <w:rPr>
                <w:rFonts w:ascii="Arial" w:hAnsi="Arial" w:eastAsia="等线" w:cs="Arial"/>
                <w:sz w:val="22"/>
              </w:rPr>
              <w:t>发布负责人</w:t>
            </w:r>
          </w:p>
          <w:p w14:paraId="63A15E6C">
            <w:pPr>
              <w:spacing w:before="120" w:after="120" w:line="288" w:lineRule="auto"/>
              <w:ind w:left="0"/>
              <w:jc w:val="left"/>
              <w:rPr>
                <w:rFonts w:hint="default" w:ascii="Arial" w:hAnsi="Arial" w:eastAsia="等线" w:cs="Arial"/>
                <w:sz w:val="22"/>
                <w:lang w:val="en-US" w:eastAsia="zh-CN"/>
              </w:rPr>
            </w:pPr>
            <w:r>
              <w:rPr>
                <w:rFonts w:hint="eastAsia" w:ascii="Arial" w:hAnsi="Arial" w:eastAsia="等线" w:cs="Arial"/>
                <w:sz w:val="22"/>
                <w:lang w:val="en-US" w:eastAsia="zh-CN"/>
              </w:rPr>
              <w:t>一般由运维工程师担任</w:t>
            </w:r>
          </w:p>
        </w:tc>
        <w:tc>
          <w:tcPr>
            <w:tcW w:w="6730" w:type="dxa"/>
            <w:tcMar>
              <w:top w:w="60" w:type="dxa"/>
              <w:left w:w="120" w:type="dxa"/>
              <w:bottom w:w="30" w:type="dxa"/>
              <w:right w:w="120" w:type="dxa"/>
            </w:tcMar>
          </w:tcPr>
          <w:p w14:paraId="699CFF04">
            <w:pPr>
              <w:numPr>
                <w:ilvl w:val="0"/>
                <w:numId w:val="3"/>
              </w:numPr>
              <w:spacing w:before="120" w:after="120" w:line="288" w:lineRule="auto"/>
              <w:ind w:left="425" w:leftChars="0" w:hanging="425" w:firstLineChars="0"/>
              <w:jc w:val="left"/>
              <w:rPr>
                <w:rFonts w:ascii="Arial" w:hAnsi="Arial" w:eastAsia="等线" w:cs="Arial"/>
                <w:sz w:val="22"/>
              </w:rPr>
            </w:pPr>
            <w:r>
              <w:rPr>
                <w:rFonts w:ascii="Arial" w:hAnsi="Arial" w:eastAsia="等线" w:cs="Arial"/>
                <w:sz w:val="22"/>
              </w:rPr>
              <w:t>审批发布计划，进行风险分析和控制，确保发布计划和回退计划有效，并通过测试；</w:t>
            </w:r>
          </w:p>
          <w:p w14:paraId="37EB631F">
            <w:pPr>
              <w:numPr>
                <w:ilvl w:val="0"/>
                <w:numId w:val="3"/>
              </w:numPr>
              <w:spacing w:before="120" w:after="120" w:line="288" w:lineRule="auto"/>
              <w:ind w:left="425" w:leftChars="0" w:hanging="425" w:firstLineChars="0"/>
              <w:jc w:val="left"/>
            </w:pPr>
            <w:r>
              <w:rPr>
                <w:rFonts w:ascii="Arial" w:hAnsi="Arial" w:eastAsia="等线" w:cs="Arial"/>
                <w:sz w:val="22"/>
              </w:rPr>
              <w:t>进行发布工作的总体管理；</w:t>
            </w:r>
          </w:p>
          <w:p w14:paraId="79E7A65F">
            <w:pPr>
              <w:numPr>
                <w:ilvl w:val="0"/>
                <w:numId w:val="3"/>
              </w:numPr>
              <w:spacing w:before="120" w:after="120" w:line="288" w:lineRule="auto"/>
              <w:ind w:left="425" w:leftChars="0" w:hanging="425" w:firstLineChars="0"/>
              <w:jc w:val="left"/>
            </w:pPr>
            <w:r>
              <w:rPr>
                <w:rFonts w:ascii="Arial" w:hAnsi="Arial" w:eastAsia="等线" w:cs="Arial"/>
                <w:sz w:val="22"/>
              </w:rPr>
              <w:t>参与流程评估，对流程改进提出意见和建议，与流程负责人共同制定流程改进方案。</w:t>
            </w:r>
          </w:p>
        </w:tc>
      </w:tr>
      <w:tr w14:paraId="77454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8" w:type="dxa"/>
            <w:tcMar>
              <w:top w:w="60" w:type="dxa"/>
              <w:left w:w="120" w:type="dxa"/>
              <w:bottom w:w="30" w:type="dxa"/>
              <w:right w:w="120" w:type="dxa"/>
            </w:tcMar>
          </w:tcPr>
          <w:p w14:paraId="6E5C665C">
            <w:pPr>
              <w:spacing w:before="120" w:after="120" w:line="288" w:lineRule="auto"/>
              <w:ind w:left="0"/>
              <w:jc w:val="left"/>
              <w:rPr>
                <w:rFonts w:ascii="Arial" w:hAnsi="Arial" w:eastAsia="等线" w:cs="Arial"/>
                <w:sz w:val="22"/>
              </w:rPr>
            </w:pPr>
            <w:r>
              <w:rPr>
                <w:rFonts w:ascii="Arial" w:hAnsi="Arial" w:eastAsia="等线" w:cs="Arial"/>
                <w:sz w:val="22"/>
              </w:rPr>
              <w:t>发布管理员</w:t>
            </w:r>
          </w:p>
          <w:p w14:paraId="7356B5D8">
            <w:pPr>
              <w:spacing w:before="120" w:after="120" w:line="288" w:lineRule="auto"/>
              <w:ind w:left="0"/>
              <w:jc w:val="left"/>
              <w:rPr>
                <w:rFonts w:hint="default" w:ascii="Arial" w:hAnsi="Arial" w:eastAsia="等线" w:cs="Arial"/>
                <w:sz w:val="22"/>
                <w:lang w:val="en-US" w:eastAsia="zh-CN"/>
              </w:rPr>
            </w:pPr>
            <w:r>
              <w:rPr>
                <w:rFonts w:hint="eastAsia" w:ascii="Arial" w:hAnsi="Arial" w:eastAsia="等线" w:cs="Arial"/>
                <w:sz w:val="22"/>
                <w:lang w:val="en-US" w:eastAsia="zh-CN"/>
              </w:rPr>
              <w:t>一般由运维部经理担任</w:t>
            </w:r>
          </w:p>
        </w:tc>
        <w:tc>
          <w:tcPr>
            <w:tcW w:w="6730" w:type="dxa"/>
            <w:tcMar>
              <w:top w:w="60" w:type="dxa"/>
              <w:left w:w="120" w:type="dxa"/>
              <w:bottom w:w="30" w:type="dxa"/>
              <w:right w:w="120" w:type="dxa"/>
            </w:tcMar>
          </w:tcPr>
          <w:p w14:paraId="2683EC9D">
            <w:pPr>
              <w:numPr>
                <w:ilvl w:val="0"/>
                <w:numId w:val="4"/>
              </w:numPr>
              <w:spacing w:before="120" w:after="120" w:line="288" w:lineRule="auto"/>
              <w:ind w:left="425" w:leftChars="0" w:hanging="425" w:firstLineChars="0"/>
              <w:jc w:val="left"/>
              <w:rPr>
                <w:rFonts w:ascii="Arial" w:hAnsi="Arial" w:eastAsia="等线" w:cs="Arial"/>
                <w:sz w:val="22"/>
              </w:rPr>
            </w:pPr>
            <w:r>
              <w:rPr>
                <w:rFonts w:ascii="Arial" w:hAnsi="Arial" w:eastAsia="等线" w:cs="Arial"/>
                <w:sz w:val="22"/>
              </w:rPr>
              <w:t>负责收集与该发布有关的部门或小组的意见，综合发布对于应用的影响；</w:t>
            </w:r>
          </w:p>
          <w:p w14:paraId="59D9BFB9">
            <w:pPr>
              <w:numPr>
                <w:ilvl w:val="0"/>
                <w:numId w:val="4"/>
              </w:numPr>
              <w:spacing w:before="120" w:after="120" w:line="288" w:lineRule="auto"/>
              <w:ind w:left="425" w:leftChars="0" w:hanging="425" w:firstLineChars="0"/>
              <w:jc w:val="left"/>
            </w:pPr>
            <w:r>
              <w:rPr>
                <w:rFonts w:ascii="Arial" w:hAnsi="Arial" w:eastAsia="等线" w:cs="Arial"/>
                <w:sz w:val="22"/>
              </w:rPr>
              <w:t>制定发布计划；</w:t>
            </w:r>
          </w:p>
          <w:p w14:paraId="56F21262">
            <w:pPr>
              <w:numPr>
                <w:ilvl w:val="0"/>
                <w:numId w:val="4"/>
              </w:numPr>
              <w:spacing w:before="120" w:after="120" w:line="288" w:lineRule="auto"/>
              <w:ind w:left="425" w:leftChars="0" w:hanging="425" w:firstLineChars="0"/>
              <w:jc w:val="left"/>
            </w:pPr>
            <w:r>
              <w:rPr>
                <w:rFonts w:ascii="Arial" w:hAnsi="Arial" w:eastAsia="等线" w:cs="Arial"/>
                <w:sz w:val="22"/>
              </w:rPr>
              <w:t>负责与发布相关的软、硬件的准备工作；</w:t>
            </w:r>
          </w:p>
          <w:p w14:paraId="1D6D4BF7">
            <w:pPr>
              <w:numPr>
                <w:ilvl w:val="0"/>
                <w:numId w:val="4"/>
              </w:numPr>
              <w:spacing w:before="120" w:after="120" w:line="288" w:lineRule="auto"/>
              <w:ind w:left="425" w:leftChars="0" w:hanging="425" w:firstLineChars="0"/>
              <w:jc w:val="left"/>
            </w:pPr>
            <w:r>
              <w:rPr>
                <w:rFonts w:ascii="Arial" w:hAnsi="Arial" w:eastAsia="等线" w:cs="Arial"/>
                <w:sz w:val="22"/>
              </w:rPr>
              <w:t>负责组织对发布系统的集成测试工作；</w:t>
            </w:r>
          </w:p>
          <w:p w14:paraId="2CC93C0E">
            <w:pPr>
              <w:numPr>
                <w:ilvl w:val="0"/>
                <w:numId w:val="4"/>
              </w:numPr>
              <w:spacing w:before="120" w:after="120" w:line="288" w:lineRule="auto"/>
              <w:ind w:left="425" w:leftChars="0" w:hanging="425" w:firstLineChars="0"/>
              <w:jc w:val="left"/>
            </w:pPr>
            <w:r>
              <w:rPr>
                <w:rFonts w:ascii="Arial" w:hAnsi="Arial" w:eastAsia="等线" w:cs="Arial"/>
                <w:sz w:val="22"/>
              </w:rPr>
              <w:t>负责配合用户在生产环境中对发布系统进行测试工作；</w:t>
            </w:r>
          </w:p>
          <w:p w14:paraId="64E8CDCD">
            <w:pPr>
              <w:numPr>
                <w:ilvl w:val="0"/>
                <w:numId w:val="4"/>
              </w:numPr>
              <w:spacing w:before="120" w:after="120" w:line="288" w:lineRule="auto"/>
              <w:ind w:left="425" w:leftChars="0" w:hanging="425" w:firstLineChars="0"/>
              <w:jc w:val="left"/>
            </w:pPr>
            <w:r>
              <w:rPr>
                <w:rFonts w:ascii="Arial" w:hAnsi="Arial" w:eastAsia="等线" w:cs="Arial"/>
                <w:sz w:val="22"/>
              </w:rPr>
              <w:t>协调相应资源，确保发布在预定的时间、资源内完成；</w:t>
            </w:r>
          </w:p>
          <w:p w14:paraId="0178B13F">
            <w:pPr>
              <w:numPr>
                <w:ilvl w:val="0"/>
                <w:numId w:val="4"/>
              </w:numPr>
              <w:spacing w:before="120" w:after="120" w:line="288" w:lineRule="auto"/>
              <w:ind w:left="425" w:leftChars="0" w:hanging="425" w:firstLineChars="0"/>
              <w:jc w:val="left"/>
            </w:pPr>
            <w:r>
              <w:rPr>
                <w:rFonts w:ascii="Arial" w:hAnsi="Arial" w:eastAsia="等线" w:cs="Arial"/>
                <w:sz w:val="22"/>
              </w:rPr>
              <w:t>在必要时，确保回退计划得以正确实施；</w:t>
            </w:r>
          </w:p>
          <w:p w14:paraId="2B4FD7BA">
            <w:pPr>
              <w:numPr>
                <w:ilvl w:val="0"/>
                <w:numId w:val="4"/>
              </w:numPr>
              <w:spacing w:before="120" w:after="120" w:line="288" w:lineRule="auto"/>
              <w:ind w:left="425" w:leftChars="0" w:hanging="425" w:firstLineChars="0"/>
              <w:jc w:val="left"/>
            </w:pPr>
            <w:r>
              <w:rPr>
                <w:rFonts w:ascii="Arial" w:hAnsi="Arial" w:eastAsia="等线" w:cs="Arial"/>
                <w:sz w:val="22"/>
              </w:rPr>
              <w:t>保持与发布经理的沟通，通报发布实施的进度和结果；</w:t>
            </w:r>
          </w:p>
          <w:p w14:paraId="1FAA09D7">
            <w:pPr>
              <w:numPr>
                <w:ilvl w:val="0"/>
                <w:numId w:val="4"/>
              </w:numPr>
              <w:spacing w:before="120" w:after="120" w:line="288" w:lineRule="auto"/>
              <w:ind w:left="425" w:leftChars="0" w:hanging="425" w:firstLineChars="0"/>
              <w:jc w:val="left"/>
            </w:pPr>
            <w:r>
              <w:rPr>
                <w:rFonts w:ascii="Arial" w:hAnsi="Arial" w:eastAsia="等线" w:cs="Arial"/>
                <w:sz w:val="22"/>
              </w:rPr>
              <w:t>发布成功后通知配置管理员对配置信息进行及时更新；</w:t>
            </w:r>
          </w:p>
          <w:p w14:paraId="39584133">
            <w:pPr>
              <w:numPr>
                <w:ilvl w:val="0"/>
                <w:numId w:val="4"/>
              </w:numPr>
              <w:spacing w:before="120" w:after="120" w:line="288" w:lineRule="auto"/>
              <w:ind w:left="425" w:leftChars="0" w:hanging="425" w:firstLineChars="0"/>
              <w:jc w:val="left"/>
            </w:pPr>
            <w:r>
              <w:rPr>
                <w:rFonts w:ascii="Arial" w:hAnsi="Arial" w:eastAsia="等线" w:cs="Arial"/>
                <w:sz w:val="22"/>
              </w:rPr>
              <w:t>确保发布系统的使用与维护人员获取必要知识；</w:t>
            </w:r>
          </w:p>
          <w:p w14:paraId="6FF64D8B">
            <w:pPr>
              <w:numPr>
                <w:ilvl w:val="0"/>
                <w:numId w:val="4"/>
              </w:numPr>
              <w:spacing w:before="120" w:after="120" w:line="288" w:lineRule="auto"/>
              <w:ind w:left="425" w:leftChars="0" w:hanging="425" w:firstLineChars="0"/>
              <w:jc w:val="left"/>
            </w:pPr>
            <w:r>
              <w:rPr>
                <w:rFonts w:ascii="Arial" w:hAnsi="Arial" w:eastAsia="等线" w:cs="Arial"/>
                <w:sz w:val="22"/>
              </w:rPr>
              <w:t>提供发布系统的客户使用培训；</w:t>
            </w:r>
          </w:p>
          <w:p w14:paraId="3980B566">
            <w:pPr>
              <w:numPr>
                <w:ilvl w:val="0"/>
                <w:numId w:val="4"/>
              </w:numPr>
              <w:spacing w:before="120" w:after="120" w:line="288" w:lineRule="auto"/>
              <w:ind w:left="425" w:leftChars="0" w:hanging="425" w:firstLineChars="0"/>
              <w:jc w:val="left"/>
            </w:pPr>
            <w:r>
              <w:rPr>
                <w:rFonts w:ascii="Arial" w:hAnsi="Arial" w:eastAsia="等线" w:cs="Arial"/>
                <w:sz w:val="22"/>
              </w:rPr>
              <w:t>在培训中收集相关的反馈。</w:t>
            </w:r>
          </w:p>
        </w:tc>
      </w:tr>
      <w:tr w14:paraId="48F5F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18" w:type="dxa"/>
            <w:tcMar>
              <w:top w:w="60" w:type="dxa"/>
              <w:left w:w="120" w:type="dxa"/>
              <w:bottom w:w="30" w:type="dxa"/>
              <w:right w:w="120" w:type="dxa"/>
            </w:tcMar>
          </w:tcPr>
          <w:p w14:paraId="4A047FE2">
            <w:pPr>
              <w:spacing w:before="120" w:after="120" w:line="288" w:lineRule="auto"/>
              <w:ind w:left="0"/>
              <w:jc w:val="left"/>
              <w:rPr>
                <w:rFonts w:ascii="Arial" w:hAnsi="Arial" w:eastAsia="等线" w:cs="Arial"/>
                <w:sz w:val="22"/>
              </w:rPr>
            </w:pPr>
            <w:r>
              <w:rPr>
                <w:rFonts w:ascii="Arial" w:hAnsi="Arial" w:eastAsia="等线" w:cs="Arial"/>
                <w:sz w:val="22"/>
              </w:rPr>
              <w:t>发布测试员</w:t>
            </w:r>
          </w:p>
          <w:p w14:paraId="24D98968">
            <w:pPr>
              <w:spacing w:before="120" w:after="120" w:line="288" w:lineRule="auto"/>
              <w:ind w:left="0"/>
              <w:jc w:val="left"/>
              <w:rPr>
                <w:rFonts w:ascii="Arial" w:hAnsi="Arial" w:eastAsia="等线" w:cs="Arial"/>
                <w:sz w:val="22"/>
              </w:rPr>
            </w:pPr>
            <w:r>
              <w:rPr>
                <w:rFonts w:hint="eastAsia" w:ascii="Arial" w:hAnsi="Arial" w:eastAsia="等线" w:cs="Arial"/>
                <w:sz w:val="22"/>
                <w:lang w:val="en-US" w:eastAsia="zh-CN"/>
              </w:rPr>
              <w:t>一般由运维工程师担任</w:t>
            </w:r>
          </w:p>
        </w:tc>
        <w:tc>
          <w:tcPr>
            <w:tcW w:w="6730" w:type="dxa"/>
            <w:tcMar>
              <w:top w:w="60" w:type="dxa"/>
              <w:left w:w="120" w:type="dxa"/>
              <w:bottom w:w="30" w:type="dxa"/>
              <w:right w:w="120" w:type="dxa"/>
            </w:tcMar>
          </w:tcPr>
          <w:p w14:paraId="3DBED3BD">
            <w:pPr>
              <w:numPr>
                <w:ilvl w:val="0"/>
                <w:numId w:val="5"/>
              </w:numPr>
              <w:spacing w:before="120" w:after="120" w:line="288" w:lineRule="auto"/>
              <w:ind w:left="425" w:leftChars="0" w:hanging="425" w:firstLineChars="0"/>
              <w:jc w:val="left"/>
              <w:rPr>
                <w:rFonts w:ascii="Arial" w:hAnsi="Arial" w:eastAsia="等线" w:cs="Arial"/>
                <w:sz w:val="22"/>
              </w:rPr>
            </w:pPr>
            <w:r>
              <w:rPr>
                <w:rFonts w:ascii="Arial" w:hAnsi="Arial" w:eastAsia="等线" w:cs="Arial"/>
                <w:sz w:val="22"/>
              </w:rPr>
              <w:t>根据发布方案和计划进行版本的测试；</w:t>
            </w:r>
          </w:p>
          <w:p w14:paraId="14DBB8BE">
            <w:pPr>
              <w:numPr>
                <w:ilvl w:val="0"/>
                <w:numId w:val="5"/>
              </w:numPr>
              <w:spacing w:before="120" w:after="120" w:line="288" w:lineRule="auto"/>
              <w:ind w:left="425" w:leftChars="0" w:hanging="425" w:firstLineChars="0"/>
              <w:jc w:val="left"/>
            </w:pPr>
            <w:r>
              <w:rPr>
                <w:rFonts w:ascii="Arial" w:hAnsi="Arial" w:eastAsia="等线" w:cs="Arial"/>
                <w:sz w:val="22"/>
              </w:rPr>
              <w:t>提交测试报告。</w:t>
            </w:r>
          </w:p>
        </w:tc>
      </w:tr>
    </w:tbl>
    <w:p w14:paraId="2FD2D87A">
      <w:pPr>
        <w:pStyle w:val="28"/>
        <w:bidi w:val="0"/>
      </w:pPr>
      <w:bookmarkStart w:id="13" w:name="heading_6"/>
      <w:bookmarkStart w:id="14" w:name="_Toc5437"/>
      <w:r>
        <w:t>管理流程说明</w:t>
      </w:r>
      <w:bookmarkEnd w:id="13"/>
      <w:bookmarkEnd w:id="14"/>
    </w:p>
    <w:p w14:paraId="6C35D809">
      <w:pPr>
        <w:pStyle w:val="30"/>
        <w:bidi w:val="0"/>
      </w:pPr>
      <w:bookmarkStart w:id="15" w:name="heading_8"/>
      <w:bookmarkStart w:id="16" w:name="_Toc8161"/>
      <w:r>
        <w:t>制定发布方案</w:t>
      </w:r>
      <w:bookmarkEnd w:id="15"/>
      <w:bookmarkEnd w:id="16"/>
    </w:p>
    <w:p w14:paraId="4D5223E9">
      <w:pPr>
        <w:pStyle w:val="29"/>
        <w:bidi w:val="0"/>
      </w:pPr>
      <w:r>
        <w:t>发布管理员根据变更申请制定《发布方案》，方案主要包括：</w:t>
      </w:r>
    </w:p>
    <w:p w14:paraId="67A8C5EC">
      <w:pPr>
        <w:pStyle w:val="39"/>
        <w:numPr>
          <w:ilvl w:val="0"/>
          <w:numId w:val="6"/>
        </w:numPr>
        <w:bidi w:val="0"/>
      </w:pPr>
      <w:r>
        <w:t>描述发布的目的及影响范围；</w:t>
      </w:r>
    </w:p>
    <w:p w14:paraId="5FA3342B">
      <w:pPr>
        <w:pStyle w:val="39"/>
        <w:numPr>
          <w:ilvl w:val="0"/>
          <w:numId w:val="6"/>
        </w:numPr>
        <w:bidi w:val="0"/>
      </w:pPr>
      <w:r>
        <w:t>所涉及系统的历史数据、配置参数、应用程序等的备份方案；</w:t>
      </w:r>
    </w:p>
    <w:p w14:paraId="554F8B34">
      <w:pPr>
        <w:pStyle w:val="39"/>
        <w:numPr>
          <w:ilvl w:val="0"/>
          <w:numId w:val="6"/>
        </w:numPr>
        <w:bidi w:val="0"/>
      </w:pPr>
      <w:r>
        <w:t>系统发布执行的内容和步骤、各项工作任务责任人、人员组织和具体时间安排等；</w:t>
      </w:r>
    </w:p>
    <w:p w14:paraId="04A58EE4">
      <w:pPr>
        <w:pStyle w:val="39"/>
        <w:numPr>
          <w:ilvl w:val="0"/>
          <w:numId w:val="6"/>
        </w:numPr>
        <w:bidi w:val="0"/>
      </w:pPr>
      <w:r>
        <w:t>发布失败后的回退计划；</w:t>
      </w:r>
    </w:p>
    <w:p w14:paraId="68D5DC3C">
      <w:pPr>
        <w:pStyle w:val="39"/>
        <w:numPr>
          <w:ilvl w:val="0"/>
          <w:numId w:val="6"/>
        </w:numPr>
        <w:bidi w:val="0"/>
      </w:pPr>
      <w:r>
        <w:t>发布时可能出现的问题及解决方案；</w:t>
      </w:r>
    </w:p>
    <w:p w14:paraId="0CA955BD">
      <w:pPr>
        <w:pStyle w:val="39"/>
        <w:numPr>
          <w:ilvl w:val="0"/>
          <w:numId w:val="6"/>
        </w:numPr>
        <w:bidi w:val="0"/>
      </w:pPr>
      <w:r>
        <w:t>分发和部署完成后，其它工作安排。</w:t>
      </w:r>
    </w:p>
    <w:p w14:paraId="5391C1B4">
      <w:pPr>
        <w:pStyle w:val="30"/>
        <w:bidi w:val="0"/>
      </w:pPr>
      <w:bookmarkStart w:id="17" w:name="heading_9"/>
      <w:bookmarkStart w:id="18" w:name="_Toc26786"/>
      <w:r>
        <w:t>回退方案</w:t>
      </w:r>
      <w:bookmarkEnd w:id="17"/>
      <w:bookmarkEnd w:id="18"/>
    </w:p>
    <w:p w14:paraId="228C3EF3">
      <w:pPr>
        <w:pStyle w:val="29"/>
        <w:bidi w:val="0"/>
      </w:pPr>
      <w:r>
        <w:t>对发布失败后，停止当前发布，回退为初始状态。主要步骤：</w:t>
      </w:r>
    </w:p>
    <w:p w14:paraId="604CB6D0">
      <w:pPr>
        <w:pStyle w:val="39"/>
        <w:numPr>
          <w:ilvl w:val="0"/>
          <w:numId w:val="7"/>
        </w:numPr>
        <w:bidi w:val="0"/>
        <w:ind w:left="425" w:leftChars="0" w:hanging="425" w:firstLineChars="0"/>
      </w:pPr>
      <w:r>
        <w:t>确定需要回退的关联系统和回退时间点；</w:t>
      </w:r>
    </w:p>
    <w:p w14:paraId="79C7A276">
      <w:pPr>
        <w:pStyle w:val="39"/>
        <w:numPr>
          <w:ilvl w:val="0"/>
          <w:numId w:val="7"/>
        </w:numPr>
        <w:bidi w:val="0"/>
        <w:ind w:left="425" w:leftChars="0" w:hanging="425" w:firstLineChars="0"/>
      </w:pPr>
      <w:r>
        <w:t>回退存储过程等数据对象；</w:t>
      </w:r>
    </w:p>
    <w:p w14:paraId="0C007FBE">
      <w:pPr>
        <w:pStyle w:val="39"/>
        <w:numPr>
          <w:ilvl w:val="0"/>
          <w:numId w:val="7"/>
        </w:numPr>
        <w:bidi w:val="0"/>
        <w:ind w:left="425" w:leftChars="0" w:hanging="425" w:firstLineChars="0"/>
      </w:pPr>
      <w:r>
        <w:t>配置数据回退；</w:t>
      </w:r>
    </w:p>
    <w:p w14:paraId="2C10C62D">
      <w:pPr>
        <w:pStyle w:val="39"/>
        <w:numPr>
          <w:ilvl w:val="0"/>
          <w:numId w:val="7"/>
        </w:numPr>
        <w:bidi w:val="0"/>
        <w:ind w:left="425" w:leftChars="0" w:hanging="425" w:firstLineChars="0"/>
      </w:pPr>
      <w:r>
        <w:t>应用程序、接口程序、工作流等版本回退；</w:t>
      </w:r>
    </w:p>
    <w:p w14:paraId="75FDB20B">
      <w:pPr>
        <w:pStyle w:val="39"/>
        <w:numPr>
          <w:ilvl w:val="0"/>
          <w:numId w:val="7"/>
        </w:numPr>
        <w:bidi w:val="0"/>
        <w:ind w:left="425" w:leftChars="0" w:hanging="425" w:firstLineChars="0"/>
      </w:pPr>
      <w:r>
        <w:t>回退完成通知各周边关联系统。</w:t>
      </w:r>
    </w:p>
    <w:p w14:paraId="6FD44A4E">
      <w:pPr>
        <w:pStyle w:val="30"/>
        <w:bidi w:val="0"/>
      </w:pPr>
      <w:bookmarkStart w:id="19" w:name="heading_10"/>
      <w:bookmarkStart w:id="20" w:name="_Toc7815"/>
      <w:r>
        <w:t>发布方案评审</w:t>
      </w:r>
      <w:bookmarkEnd w:id="19"/>
      <w:bookmarkEnd w:id="20"/>
    </w:p>
    <w:p w14:paraId="7FB397D7">
      <w:pPr>
        <w:pStyle w:val="29"/>
        <w:bidi w:val="0"/>
      </w:pPr>
      <w:r>
        <w:t>《发布方案》制定完成后，由发布管理员召集发布工作涉及部门的负责人进行评审，评审通过后方可进行下一步工作。</w:t>
      </w:r>
    </w:p>
    <w:p w14:paraId="4490DEAB">
      <w:pPr>
        <w:pStyle w:val="30"/>
        <w:bidi w:val="0"/>
      </w:pPr>
      <w:bookmarkStart w:id="21" w:name="heading_11"/>
      <w:bookmarkStart w:id="22" w:name="_Toc11722"/>
      <w:r>
        <w:t>构建测试环境测试和验收</w:t>
      </w:r>
      <w:bookmarkEnd w:id="21"/>
      <w:bookmarkEnd w:id="22"/>
    </w:p>
    <w:p w14:paraId="3AF8016A">
      <w:pPr>
        <w:pStyle w:val="29"/>
        <w:bidi w:val="0"/>
      </w:pPr>
      <w:r>
        <w:t>发布方案实施之前应先由测试人员对方案进行测试，测试人员的测试环境尽量与实际环境相同。</w:t>
      </w:r>
    </w:p>
    <w:p w14:paraId="6CC18A7B">
      <w:pPr>
        <w:spacing w:before="120" w:after="120" w:line="288" w:lineRule="auto"/>
        <w:ind w:left="0"/>
        <w:jc w:val="left"/>
      </w:pPr>
      <w:r>
        <w:rPr>
          <w:rFonts w:ascii="Arial" w:hAnsi="Arial" w:eastAsia="等线" w:cs="Arial"/>
          <w:sz w:val="22"/>
        </w:rPr>
        <w:t>测试内容主要包括：</w:t>
      </w:r>
    </w:p>
    <w:p w14:paraId="411F098F">
      <w:pPr>
        <w:pStyle w:val="39"/>
        <w:numPr>
          <w:ilvl w:val="0"/>
          <w:numId w:val="8"/>
        </w:numPr>
        <w:bidi w:val="0"/>
        <w:ind w:left="425" w:leftChars="0" w:hanging="425" w:firstLineChars="0"/>
      </w:pPr>
      <w:r>
        <w:t>技术操作；</w:t>
      </w:r>
    </w:p>
    <w:p w14:paraId="32230327">
      <w:pPr>
        <w:pStyle w:val="39"/>
        <w:numPr>
          <w:ilvl w:val="0"/>
          <w:numId w:val="8"/>
        </w:numPr>
        <w:bidi w:val="0"/>
        <w:ind w:left="425" w:leftChars="0" w:hanging="425" w:firstLineChars="0"/>
      </w:pPr>
      <w:r>
        <w:t>功能方面；</w:t>
      </w:r>
    </w:p>
    <w:p w14:paraId="0AFF2619">
      <w:pPr>
        <w:pStyle w:val="39"/>
        <w:numPr>
          <w:ilvl w:val="0"/>
          <w:numId w:val="8"/>
        </w:numPr>
        <w:bidi w:val="0"/>
        <w:ind w:left="425" w:leftChars="0" w:hanging="425" w:firstLineChars="0"/>
      </w:pPr>
      <w:r>
        <w:t>运营方面；</w:t>
      </w:r>
    </w:p>
    <w:p w14:paraId="291D0602">
      <w:pPr>
        <w:pStyle w:val="39"/>
        <w:numPr>
          <w:ilvl w:val="0"/>
          <w:numId w:val="8"/>
        </w:numPr>
        <w:bidi w:val="0"/>
        <w:ind w:left="425" w:leftChars="0" w:hanging="425" w:firstLineChars="0"/>
      </w:pPr>
      <w:r>
        <w:t>性能方面；</w:t>
      </w:r>
    </w:p>
    <w:p w14:paraId="5CF802E3">
      <w:pPr>
        <w:pStyle w:val="39"/>
        <w:numPr>
          <w:ilvl w:val="0"/>
          <w:numId w:val="8"/>
        </w:numPr>
        <w:bidi w:val="0"/>
        <w:ind w:left="425" w:leftChars="0" w:hanging="425" w:firstLineChars="0"/>
      </w:pPr>
      <w:r>
        <w:t>与IT基础设施其他部分的兼容性；</w:t>
      </w:r>
    </w:p>
    <w:p w14:paraId="31FAE8DB">
      <w:pPr>
        <w:pStyle w:val="39"/>
        <w:numPr>
          <w:ilvl w:val="0"/>
          <w:numId w:val="8"/>
        </w:numPr>
        <w:bidi w:val="0"/>
        <w:ind w:left="425" w:leftChars="0" w:hanging="425" w:firstLineChars="0"/>
      </w:pPr>
      <w:r>
        <w:t>发布单元的安装顺序，回滚程序和管理程序的变更。</w:t>
      </w:r>
    </w:p>
    <w:p w14:paraId="59A4CA5F">
      <w:pPr>
        <w:pStyle w:val="29"/>
        <w:bidi w:val="0"/>
      </w:pPr>
      <w:r>
        <w:t>测试人员测试完成后制定《发布测试报告》，提交发布管理员。如测试结果与预期一致，达到发布目的，由客户验收后，进行下一步工作。</w:t>
      </w:r>
    </w:p>
    <w:p w14:paraId="43A74281">
      <w:pPr>
        <w:pStyle w:val="30"/>
        <w:bidi w:val="0"/>
      </w:pPr>
      <w:bookmarkStart w:id="23" w:name="heading_12"/>
      <w:bookmarkStart w:id="24" w:name="_Toc2264"/>
      <w:r>
        <w:t>上线规划</w:t>
      </w:r>
      <w:bookmarkEnd w:id="23"/>
      <w:bookmarkEnd w:id="24"/>
    </w:p>
    <w:p w14:paraId="3FBA5E15">
      <w:pPr>
        <w:pStyle w:val="29"/>
        <w:bidi w:val="0"/>
      </w:pPr>
      <w:r>
        <w:t>发布管理员制定的《发布方案》中已包含上线规划的内容，此处的上线规划是要对方案中重要部分进行详细的规划，主要内容有：</w:t>
      </w:r>
    </w:p>
    <w:p w14:paraId="7797D7D6">
      <w:pPr>
        <w:pStyle w:val="39"/>
        <w:numPr>
          <w:ilvl w:val="0"/>
          <w:numId w:val="9"/>
        </w:numPr>
        <w:bidi w:val="0"/>
        <w:ind w:left="425" w:leftChars="0" w:hanging="425" w:firstLineChars="0"/>
      </w:pPr>
      <w:r>
        <w:t>日程安排、资源、采购、存储等内容；</w:t>
      </w:r>
    </w:p>
    <w:p w14:paraId="0D6152B3">
      <w:pPr>
        <w:pStyle w:val="39"/>
        <w:numPr>
          <w:ilvl w:val="0"/>
          <w:numId w:val="9"/>
        </w:numPr>
        <w:bidi w:val="0"/>
        <w:ind w:left="425" w:leftChars="0" w:hanging="425" w:firstLineChars="0"/>
      </w:pPr>
      <w:r>
        <w:t>上线方式（全面上线、分阶段上线）；</w:t>
      </w:r>
    </w:p>
    <w:p w14:paraId="5AAAC037">
      <w:pPr>
        <w:pStyle w:val="39"/>
        <w:numPr>
          <w:ilvl w:val="0"/>
          <w:numId w:val="9"/>
        </w:numPr>
        <w:bidi w:val="0"/>
        <w:ind w:left="425" w:leftChars="0" w:hanging="425" w:firstLineChars="0"/>
      </w:pPr>
      <w:r>
        <w:t>与客户的沟通(主要涉及上线时对业务的影响)；</w:t>
      </w:r>
    </w:p>
    <w:p w14:paraId="345CE77E">
      <w:pPr>
        <w:pStyle w:val="39"/>
        <w:numPr>
          <w:ilvl w:val="0"/>
          <w:numId w:val="9"/>
        </w:numPr>
        <w:bidi w:val="0"/>
        <w:ind w:left="425" w:leftChars="0" w:hanging="425" w:firstLineChars="0"/>
      </w:pPr>
      <w:r>
        <w:t>上线时间安排；</w:t>
      </w:r>
    </w:p>
    <w:p w14:paraId="7D09BA18">
      <w:pPr>
        <w:pStyle w:val="39"/>
        <w:numPr>
          <w:ilvl w:val="0"/>
          <w:numId w:val="9"/>
        </w:numPr>
        <w:bidi w:val="0"/>
        <w:ind w:left="425" w:leftChars="0" w:hanging="425" w:firstLineChars="0"/>
      </w:pPr>
      <w:r>
        <w:t>上线工作安排；</w:t>
      </w:r>
    </w:p>
    <w:p w14:paraId="5CFC7389">
      <w:pPr>
        <w:pStyle w:val="39"/>
        <w:numPr>
          <w:ilvl w:val="0"/>
          <w:numId w:val="9"/>
        </w:numPr>
        <w:bidi w:val="0"/>
        <w:ind w:left="425" w:leftChars="0" w:hanging="425" w:firstLineChars="0"/>
      </w:pPr>
      <w:r>
        <w:t>详细的工作流程；</w:t>
      </w:r>
    </w:p>
    <w:p w14:paraId="664B2E13">
      <w:pPr>
        <w:pStyle w:val="39"/>
        <w:numPr>
          <w:ilvl w:val="0"/>
          <w:numId w:val="9"/>
        </w:numPr>
        <w:bidi w:val="0"/>
        <w:ind w:left="425" w:leftChars="0" w:hanging="425" w:firstLineChars="0"/>
      </w:pPr>
      <w:r>
        <w:t>详细的回退计划。</w:t>
      </w:r>
    </w:p>
    <w:p w14:paraId="6A68A17D">
      <w:pPr>
        <w:pStyle w:val="30"/>
        <w:bidi w:val="0"/>
      </w:pPr>
      <w:bookmarkStart w:id="25" w:name="heading_13"/>
      <w:bookmarkStart w:id="26" w:name="_Toc18971"/>
      <w:r>
        <w:t>上线审批</w:t>
      </w:r>
      <w:bookmarkEnd w:id="25"/>
      <w:bookmarkEnd w:id="26"/>
    </w:p>
    <w:p w14:paraId="5D9E173F">
      <w:pPr>
        <w:pStyle w:val="29"/>
        <w:bidi w:val="0"/>
      </w:pPr>
      <w:r>
        <w:t>上线计划完成后由发布管理员组织人员对上线计划进行审批，审批通过后进行下一步工作。</w:t>
      </w:r>
    </w:p>
    <w:p w14:paraId="755F0B16">
      <w:pPr>
        <w:pStyle w:val="30"/>
        <w:bidi w:val="0"/>
      </w:pPr>
      <w:bookmarkStart w:id="27" w:name="heading_14"/>
      <w:bookmarkStart w:id="28" w:name="_Toc2108"/>
      <w:r>
        <w:t>沟通和培训</w:t>
      </w:r>
      <w:bookmarkEnd w:id="27"/>
      <w:bookmarkEnd w:id="28"/>
    </w:p>
    <w:p w14:paraId="4E202DDE">
      <w:pPr>
        <w:pStyle w:val="29"/>
        <w:bidi w:val="0"/>
      </w:pPr>
      <w:r>
        <w:t>变更内容发布前，需要对服务支持人员进行沟通、知识更新培训，保障发布后的运维支撑工作。</w:t>
      </w:r>
    </w:p>
    <w:p w14:paraId="7C16922A">
      <w:pPr>
        <w:pStyle w:val="29"/>
        <w:bidi w:val="0"/>
      </w:pPr>
      <w:r>
        <w:t>负责与客户沟通的人员都应该清楚发布计划的内容以及该计划将如何影响日常活动。相关的职责应该得到充分的传达，并应该核实是否每个人都清楚他们的职责。</w:t>
      </w:r>
    </w:p>
    <w:p w14:paraId="33CA1752">
      <w:pPr>
        <w:pStyle w:val="29"/>
        <w:bidi w:val="0"/>
      </w:pPr>
      <w:r>
        <w:t>如果发布是分阶段进行的，则应该向客户（或客户代表）告知计划的详细内容，并告知新配置项预计上线时间。</w:t>
      </w:r>
    </w:p>
    <w:p w14:paraId="281415BA">
      <w:pPr>
        <w:pStyle w:val="30"/>
        <w:bidi w:val="0"/>
      </w:pPr>
      <w:bookmarkStart w:id="29" w:name="heading_15"/>
      <w:bookmarkStart w:id="30" w:name="_Toc7308"/>
      <w:r>
        <w:t>分发和部署</w:t>
      </w:r>
      <w:bookmarkEnd w:id="29"/>
      <w:bookmarkEnd w:id="30"/>
    </w:p>
    <w:p w14:paraId="2421F2DC">
      <w:pPr>
        <w:pStyle w:val="29"/>
        <w:bidi w:val="0"/>
      </w:pPr>
      <w:r>
        <w:t>前期工作准备完成后，就可按照《上线计划》进行部署。部署完成后由发布管理员、客户代表等相关干系人对部署结果进行确认。</w:t>
      </w:r>
    </w:p>
    <w:p w14:paraId="04E52F99">
      <w:pPr>
        <w:pStyle w:val="30"/>
        <w:bidi w:val="0"/>
      </w:pPr>
      <w:bookmarkStart w:id="31" w:name="heading_16"/>
      <w:bookmarkStart w:id="32" w:name="_Toc13880"/>
      <w:r>
        <w:t>更新配置库</w:t>
      </w:r>
      <w:bookmarkEnd w:id="31"/>
      <w:bookmarkEnd w:id="32"/>
    </w:p>
    <w:p w14:paraId="0F54B006">
      <w:pPr>
        <w:pStyle w:val="29"/>
        <w:bidi w:val="0"/>
      </w:pPr>
      <w:r>
        <w:t>分发和部署完成后，由发布实施人员通知配置管理员对配置库进行更新。</w:t>
      </w:r>
    </w:p>
    <w:p w14:paraId="1326721B">
      <w:pPr>
        <w:pStyle w:val="30"/>
        <w:bidi w:val="0"/>
      </w:pPr>
      <w:bookmarkStart w:id="33" w:name="heading_17"/>
      <w:bookmarkStart w:id="34" w:name="_Toc23883"/>
      <w:r>
        <w:t>发布关闭</w:t>
      </w:r>
      <w:bookmarkEnd w:id="33"/>
      <w:bookmarkEnd w:id="34"/>
    </w:p>
    <w:p w14:paraId="396F41F5">
      <w:pPr>
        <w:pStyle w:val="29"/>
        <w:bidi w:val="0"/>
      </w:pPr>
      <w:r>
        <w:t>发布工作完成后，对资料进行归档，由发布实施人员对发布进行关闭。</w:t>
      </w:r>
    </w:p>
    <w:p w14:paraId="68BDC47C">
      <w:pPr>
        <w:pStyle w:val="30"/>
        <w:bidi w:val="0"/>
      </w:pPr>
      <w:bookmarkStart w:id="35" w:name="heading_18"/>
      <w:bookmarkStart w:id="36" w:name="_Toc25595"/>
      <w:r>
        <w:t>发布报告</w:t>
      </w:r>
      <w:bookmarkEnd w:id="35"/>
      <w:bookmarkEnd w:id="36"/>
    </w:p>
    <w:p w14:paraId="0ED91F55">
      <w:pPr>
        <w:pStyle w:val="29"/>
        <w:bidi w:val="0"/>
      </w:pPr>
      <w:r>
        <w:t>发布完成后，编写《发布报告》，内容主要包括：</w:t>
      </w:r>
    </w:p>
    <w:p w14:paraId="33CE2859">
      <w:pPr>
        <w:pStyle w:val="39"/>
        <w:numPr>
          <w:ilvl w:val="0"/>
          <w:numId w:val="10"/>
        </w:numPr>
        <w:bidi w:val="0"/>
        <w:ind w:left="425" w:leftChars="0" w:hanging="425" w:firstLineChars="0"/>
      </w:pPr>
      <w:r>
        <w:t>发布过程中遇到的问题及解决办法；</w:t>
      </w:r>
    </w:p>
    <w:p w14:paraId="07F4F9CA">
      <w:pPr>
        <w:pStyle w:val="39"/>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pPr>
      <w:r>
        <w:t>发布数量；</w:t>
      </w:r>
    </w:p>
    <w:p w14:paraId="6B5F5621">
      <w:pPr>
        <w:pStyle w:val="39"/>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pPr>
      <w:r>
        <w:t>发布类型；</w:t>
      </w:r>
    </w:p>
    <w:p w14:paraId="3192ADCD">
      <w:pPr>
        <w:pStyle w:val="39"/>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pPr>
      <w:r>
        <w:t>发布成功率。</w:t>
      </w:r>
    </w:p>
    <w:p w14:paraId="11E78138">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37" w:name="heading_19"/>
      <w:bookmarkStart w:id="38" w:name="_Toc5028"/>
      <w:r>
        <w:t>发布评估机制</w:t>
      </w:r>
      <w:bookmarkEnd w:id="37"/>
      <w:bookmarkEnd w:id="38"/>
    </w:p>
    <w:p w14:paraId="74A58DF1">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每季度对发布数量、发布成功率等指标进行评估，识别出改进机会，形成发布管理报告。</w:t>
      </w:r>
    </w:p>
    <w:p w14:paraId="09D0660F">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39" w:name="heading_20"/>
      <w:bookmarkStart w:id="40" w:name="_Toc21289"/>
      <w:r>
        <w:t>流程改进机制</w:t>
      </w:r>
      <w:bookmarkEnd w:id="39"/>
      <w:bookmarkEnd w:id="40"/>
    </w:p>
    <w:p w14:paraId="542D1575">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为了确保服务质量，发布负责人每个季度需对发布管理流程的执行情况进行评估和分析，找出运行指标与运行目标之间的差距，针对存在的问题提出改进的措施，对流程的修改需要经过总经理的批准。</w:t>
      </w:r>
    </w:p>
    <w:p w14:paraId="16562656">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对发布管理流程的改进由综合管理部负责，提出改进意见和改进措施后，由</w:t>
      </w:r>
      <w:r>
        <w:rPr>
          <w:rFonts w:hint="eastAsia"/>
          <w:lang w:val="en-US" w:eastAsia="zh-CN"/>
        </w:rPr>
        <w:t>运维部</w:t>
      </w:r>
      <w:r>
        <w:t>负责落实。</w:t>
      </w:r>
    </w:p>
    <w:p w14:paraId="72E4586D">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41" w:name="heading_21"/>
      <w:bookmarkStart w:id="42" w:name="_Toc7180"/>
      <w:r>
        <w:t>发布管理回顾与改进</w:t>
      </w:r>
      <w:bookmarkEnd w:id="41"/>
      <w:bookmarkEnd w:id="42"/>
    </w:p>
    <w:p w14:paraId="4E273B8A">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发布负责人定期开展发布管理流程回顾工作，与流程相关人员讨论流程实施及流程改进措施。</w:t>
      </w:r>
    </w:p>
    <w:p w14:paraId="3F0BFC15">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发布负责人根据会议讨论的内容，进一步制定流程改进点，同时将对流程的改进写进服务改进计划。</w:t>
      </w:r>
    </w:p>
    <w:p w14:paraId="5577E2EA">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执行改进计划：流程负责人组织协调相关人员，执行流程改进计划。</w:t>
      </w:r>
    </w:p>
    <w:p w14:paraId="0EBA07FE">
      <w:pPr>
        <w:pStyle w:val="28"/>
        <w:keepNext w:val="0"/>
        <w:keepLines w:val="0"/>
        <w:pageBreakBefore w:val="0"/>
        <w:widowControl w:val="0"/>
        <w:kinsoku w:val="0"/>
        <w:wordWrap/>
        <w:overflowPunct/>
        <w:topLinePunct w:val="0"/>
        <w:autoSpaceDE w:val="0"/>
        <w:autoSpaceDN w:val="0"/>
        <w:bidi w:val="0"/>
        <w:adjustRightInd w:val="0"/>
        <w:snapToGrid w:val="0"/>
        <w:textAlignment w:val="baseline"/>
      </w:pPr>
      <w:bookmarkStart w:id="43" w:name="heading_22"/>
      <w:bookmarkStart w:id="44" w:name="_Toc4673"/>
      <w:r>
        <w:t>发布管理与其它流程的关系</w:t>
      </w:r>
      <w:bookmarkEnd w:id="43"/>
      <w:bookmarkEnd w:id="44"/>
    </w:p>
    <w:p w14:paraId="2E256858">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在实际运营环境中，软件和硬件的新发布利用了配置管理和变更管理中的控制流程。发布管理流程从变更管理流程接收正常变更的发布请求工作单，同时变更管理通过实时了解发布工单的状态来监控发布的实施。在发布工作完成后由发布负责人协调配置管理流程对与发布相关的配置信息进行及时更新工作。</w:t>
      </w:r>
    </w:p>
    <w:p w14:paraId="4C8CC811">
      <w:pPr>
        <w:pStyle w:val="30"/>
        <w:keepNext w:val="0"/>
        <w:keepLines w:val="0"/>
        <w:pageBreakBefore w:val="0"/>
        <w:widowControl w:val="0"/>
        <w:kinsoku w:val="0"/>
        <w:wordWrap/>
        <w:overflowPunct/>
        <w:topLinePunct w:val="0"/>
        <w:autoSpaceDE w:val="0"/>
        <w:autoSpaceDN w:val="0"/>
        <w:bidi w:val="0"/>
        <w:adjustRightInd w:val="0"/>
        <w:snapToGrid w:val="0"/>
        <w:textAlignment w:val="baseline"/>
      </w:pPr>
      <w:bookmarkStart w:id="45" w:name="heading_23"/>
      <w:bookmarkStart w:id="46" w:name="_Toc18291"/>
      <w:r>
        <w:t>变更管理</w:t>
      </w:r>
      <w:bookmarkEnd w:id="45"/>
      <w:bookmarkEnd w:id="46"/>
    </w:p>
    <w:p w14:paraId="13DE75ED">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变更管理需要确定多少项变更可以组合在一项发布中。变更管理描述了确保所有变更都是经过批准的程序，包括影响度分析以及对所要资源的分析。</w:t>
      </w:r>
    </w:p>
    <w:p w14:paraId="28D7997E">
      <w:pPr>
        <w:pStyle w:val="29"/>
        <w:keepNext w:val="0"/>
        <w:keepLines w:val="0"/>
        <w:pageBreakBefore w:val="0"/>
        <w:widowControl w:val="0"/>
        <w:kinsoku w:val="0"/>
        <w:wordWrap/>
        <w:overflowPunct/>
        <w:topLinePunct w:val="0"/>
        <w:autoSpaceDE w:val="0"/>
        <w:autoSpaceDN w:val="0"/>
        <w:bidi w:val="0"/>
        <w:adjustRightInd w:val="0"/>
        <w:snapToGrid w:val="0"/>
        <w:textAlignment w:val="baseline"/>
      </w:pPr>
      <w:r>
        <w:t>变更管理通过发布流程实现变更系统在生产环境中的发布，同时发布流程为变更流程提供变更实现的时间表。变更管理流程完成发布所更改配置项在配置管理数据库中的更新工作。</w:t>
      </w:r>
    </w:p>
    <w:p w14:paraId="3006C417">
      <w:pPr>
        <w:pStyle w:val="30"/>
        <w:bidi w:val="0"/>
      </w:pPr>
      <w:bookmarkStart w:id="47" w:name="heading_24"/>
      <w:bookmarkStart w:id="48" w:name="_Toc285"/>
      <w:r>
        <w:t>配置管理</w:t>
      </w:r>
      <w:bookmarkEnd w:id="47"/>
      <w:bookmarkEnd w:id="48"/>
    </w:p>
    <w:p w14:paraId="477388D0">
      <w:pPr>
        <w:pStyle w:val="29"/>
        <w:bidi w:val="0"/>
      </w:pPr>
      <w:r>
        <w:t>当一个新版本的软件或硬件被导入最终软件库中，配置管理应当将这些信息同步添加到配置管理数据库中。同样，当新的或者变更过的软硬件转出时，配置管理数据库中的信息也要相应的进行更新。发布管理在发布过程中需要用到配置管理提供的各种配置信息。</w:t>
      </w:r>
    </w:p>
    <w:p w14:paraId="2EEBBF59">
      <w:pPr>
        <w:pStyle w:val="28"/>
        <w:bidi w:val="0"/>
      </w:pPr>
      <w:bookmarkStart w:id="49" w:name="heading_25"/>
      <w:bookmarkStart w:id="50" w:name="_Toc9809"/>
      <w:r>
        <w:t>关键流程衡量指标（KPI）</w:t>
      </w:r>
      <w:bookmarkEnd w:id="49"/>
      <w:bookmarkEnd w:id="50"/>
    </w:p>
    <w:p w14:paraId="690FA765">
      <w:pPr>
        <w:pStyle w:val="29"/>
        <w:bidi w:val="0"/>
      </w:pPr>
      <w:r>
        <w:t>为保证发布管理流程的有效性，定义以下关键绩效指标（KPI）和其他相关评价标准用以衡量发布管理流程的有效性和效率：</w:t>
      </w:r>
    </w:p>
    <w:tbl>
      <w:tblPr>
        <w:tblStyle w:val="20"/>
        <w:tblpPr w:leftFromText="180" w:rightFromText="180" w:vertAnchor="text" w:horzAnchor="page" w:tblpX="974" w:tblpY="819"/>
        <w:tblOverlap w:val="never"/>
        <w:tblW w:w="9305" w:type="dxa"/>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428"/>
        <w:gridCol w:w="4092"/>
        <w:gridCol w:w="1595"/>
        <w:gridCol w:w="2190"/>
      </w:tblGrid>
      <w:tr w14:paraId="06E8673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28"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0BE2FBB8">
            <w:pPr>
              <w:spacing w:before="120" w:after="120" w:line="288" w:lineRule="auto"/>
              <w:ind w:left="0"/>
              <w:jc w:val="left"/>
            </w:pPr>
            <w:r>
              <w:rPr>
                <w:rFonts w:ascii="Arial" w:hAnsi="Arial" w:eastAsia="等线" w:cs="Arial"/>
                <w:sz w:val="22"/>
              </w:rPr>
              <w:t>指标名称</w:t>
            </w:r>
          </w:p>
        </w:tc>
        <w:tc>
          <w:tcPr>
            <w:tcW w:w="4092"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9CF9A0E">
            <w:pPr>
              <w:spacing w:before="120" w:after="120" w:line="288" w:lineRule="auto"/>
              <w:ind w:left="0"/>
              <w:jc w:val="left"/>
            </w:pPr>
            <w:r>
              <w:rPr>
                <w:rFonts w:ascii="Arial" w:hAnsi="Arial" w:eastAsia="等线" w:cs="Arial"/>
                <w:sz w:val="22"/>
              </w:rPr>
              <w:t>计算公式</w:t>
            </w:r>
          </w:p>
        </w:tc>
        <w:tc>
          <w:tcPr>
            <w:tcW w:w="1595"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1D2F5A56">
            <w:pPr>
              <w:spacing w:before="120" w:after="120" w:line="288" w:lineRule="auto"/>
              <w:ind w:left="0"/>
              <w:jc w:val="left"/>
              <w:rPr>
                <w:rFonts w:hint="default" w:ascii="Arial" w:hAnsi="Arial" w:eastAsia="等线" w:cs="Arial"/>
                <w:sz w:val="22"/>
                <w:lang w:val="en-US" w:eastAsia="zh-CN"/>
              </w:rPr>
            </w:pPr>
            <w:r>
              <w:rPr>
                <w:rFonts w:hint="eastAsia" w:eastAsia="等线" w:cs="Arial"/>
                <w:sz w:val="22"/>
                <w:lang w:val="en-US" w:eastAsia="zh-CN"/>
              </w:rPr>
              <w:t>目标值</w:t>
            </w:r>
          </w:p>
        </w:tc>
        <w:tc>
          <w:tcPr>
            <w:tcW w:w="219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9C8C0CC">
            <w:pPr>
              <w:spacing w:before="120" w:after="120" w:line="288" w:lineRule="auto"/>
              <w:ind w:left="0"/>
              <w:jc w:val="left"/>
            </w:pPr>
            <w:r>
              <w:rPr>
                <w:rFonts w:ascii="Arial" w:hAnsi="Arial" w:eastAsia="等线" w:cs="Arial"/>
                <w:sz w:val="22"/>
              </w:rPr>
              <w:t>考核周期</w:t>
            </w:r>
          </w:p>
        </w:tc>
      </w:tr>
      <w:tr w14:paraId="7C4A4271">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428"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3650F4F">
            <w:pPr>
              <w:spacing w:before="120" w:after="120" w:line="288" w:lineRule="auto"/>
              <w:ind w:left="0"/>
              <w:jc w:val="left"/>
            </w:pPr>
            <w:r>
              <w:rPr>
                <w:rFonts w:ascii="Arial" w:hAnsi="Arial" w:eastAsia="等线" w:cs="Arial"/>
                <w:sz w:val="22"/>
              </w:rPr>
              <w:t>发布成功率</w:t>
            </w:r>
          </w:p>
        </w:tc>
        <w:tc>
          <w:tcPr>
            <w:tcW w:w="4092"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5A627246">
            <w:pPr>
              <w:spacing w:before="120" w:after="120" w:line="288" w:lineRule="auto"/>
              <w:ind w:left="0"/>
              <w:jc w:val="left"/>
            </w:pPr>
            <w:r>
              <w:rPr>
                <w:rFonts w:ascii="Arial" w:hAnsi="Arial" w:eastAsia="等线" w:cs="Arial"/>
                <w:sz w:val="22"/>
              </w:rPr>
              <w:t>发布成功次数/发布的次数 × 100%</w:t>
            </w:r>
          </w:p>
        </w:tc>
        <w:tc>
          <w:tcPr>
            <w:tcW w:w="1595"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41BFE448">
            <w:pPr>
              <w:spacing w:before="120" w:after="120" w:line="288" w:lineRule="auto"/>
              <w:ind w:left="0"/>
              <w:jc w:val="left"/>
              <w:rPr>
                <w:rFonts w:ascii="Arial" w:hAnsi="Arial" w:eastAsia="等线" w:cs="Arial"/>
                <w:sz w:val="22"/>
              </w:rPr>
            </w:pPr>
            <w:r>
              <w:rPr>
                <w:rFonts w:ascii="Arial" w:hAnsi="Arial" w:eastAsia="等线" w:cs="Arial"/>
                <w:sz w:val="22"/>
              </w:rPr>
              <w:t>≥90%</w:t>
            </w:r>
          </w:p>
        </w:tc>
        <w:tc>
          <w:tcPr>
            <w:tcW w:w="219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44F1A892">
            <w:pPr>
              <w:spacing w:before="120" w:after="120" w:line="288" w:lineRule="auto"/>
              <w:ind w:left="0"/>
              <w:jc w:val="left"/>
            </w:pPr>
            <w:r>
              <w:rPr>
                <w:rFonts w:ascii="Arial" w:hAnsi="Arial" w:eastAsia="等线" w:cs="Arial"/>
                <w:sz w:val="22"/>
              </w:rPr>
              <w:t>季度</w:t>
            </w:r>
          </w:p>
        </w:tc>
      </w:tr>
    </w:tbl>
    <w:p w14:paraId="1A0A9859">
      <w:pPr>
        <w:pStyle w:val="28"/>
        <w:bidi w:val="0"/>
      </w:pPr>
      <w:bookmarkStart w:id="51" w:name="heading_26"/>
      <w:bookmarkStart w:id="52" w:name="_Toc26185"/>
      <w:r>
        <w:t>相关文件</w:t>
      </w:r>
      <w:bookmarkEnd w:id="51"/>
      <w:bookmarkEnd w:id="52"/>
    </w:p>
    <w:p w14:paraId="39B1642B">
      <w:pPr>
        <w:pStyle w:val="39"/>
        <w:numPr>
          <w:ilvl w:val="0"/>
          <w:numId w:val="11"/>
        </w:numPr>
        <w:bidi w:val="0"/>
      </w:pPr>
      <w:r>
        <w:t>《变更管理程序》</w:t>
      </w:r>
    </w:p>
    <w:p w14:paraId="666D4EC6">
      <w:pPr>
        <w:pStyle w:val="39"/>
        <w:numPr>
          <w:ilvl w:val="0"/>
          <w:numId w:val="11"/>
        </w:numPr>
        <w:bidi w:val="0"/>
      </w:pPr>
      <w:r>
        <w:t>《配置管理程序》</w:t>
      </w:r>
    </w:p>
    <w:p w14:paraId="2CAD0818">
      <w:pPr>
        <w:pStyle w:val="28"/>
        <w:bidi w:val="0"/>
      </w:pPr>
      <w:bookmarkStart w:id="53" w:name="heading_27"/>
      <w:bookmarkStart w:id="54" w:name="_Toc25876"/>
      <w:r>
        <w:t>相关记录</w:t>
      </w:r>
      <w:bookmarkEnd w:id="53"/>
      <w:bookmarkEnd w:id="54"/>
    </w:p>
    <w:p w14:paraId="601E592F">
      <w:pPr>
        <w:pStyle w:val="39"/>
        <w:numPr>
          <w:ilvl w:val="0"/>
          <w:numId w:val="12"/>
        </w:numPr>
        <w:bidi w:val="0"/>
      </w:pPr>
      <w:r>
        <w:t>《发布方案》</w:t>
      </w:r>
    </w:p>
    <w:p w14:paraId="623362C4">
      <w:pPr>
        <w:pStyle w:val="39"/>
        <w:numPr>
          <w:ilvl w:val="0"/>
          <w:numId w:val="12"/>
        </w:numPr>
        <w:bidi w:val="0"/>
      </w:pPr>
      <w:r>
        <w:t>《发布测试报告》</w:t>
      </w:r>
    </w:p>
    <w:p w14:paraId="02DEBD93">
      <w:pPr>
        <w:pStyle w:val="39"/>
        <w:numPr>
          <w:ilvl w:val="0"/>
          <w:numId w:val="12"/>
        </w:numPr>
        <w:bidi w:val="0"/>
      </w:pPr>
      <w:r>
        <w:t>《发布报告》</w:t>
      </w:r>
    </w:p>
    <w:sectPr>
      <w:headerReference r:id="rId5" w:type="default"/>
      <w:footerReference r:id="rId6" w:type="default"/>
      <w:pgSz w:w="11905" w:h="16840"/>
      <w:pgMar w:top="1440" w:right="1800" w:bottom="1440" w:left="18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3D0A8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01D86"/>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B6694"/>
    <w:multiLevelType w:val="singleLevel"/>
    <w:tmpl w:val="838B6694"/>
    <w:lvl w:ilvl="0" w:tentative="0">
      <w:start w:val="1"/>
      <w:numFmt w:val="decimal"/>
      <w:lvlText w:val="%1."/>
      <w:lvlJc w:val="left"/>
      <w:pPr>
        <w:ind w:left="42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F32FC700"/>
    <w:multiLevelType w:val="singleLevel"/>
    <w:tmpl w:val="F32FC700"/>
    <w:lvl w:ilvl="0" w:tentative="0">
      <w:start w:val="1"/>
      <w:numFmt w:val="decimal"/>
      <w:lvlText w:val="%1."/>
      <w:lvlJc w:val="left"/>
      <w:pPr>
        <w:ind w:left="425" w:hanging="425"/>
      </w:pPr>
      <w:rPr>
        <w:rFonts w:hint="default"/>
      </w:rPr>
    </w:lvl>
  </w:abstractNum>
  <w:abstractNum w:abstractNumId="3">
    <w:nsid w:val="F89E71B0"/>
    <w:multiLevelType w:val="singleLevel"/>
    <w:tmpl w:val="F89E71B0"/>
    <w:lvl w:ilvl="0" w:tentative="0">
      <w:start w:val="1"/>
      <w:numFmt w:val="decimal"/>
      <w:lvlText w:val="%1."/>
      <w:lvlJc w:val="left"/>
      <w:pPr>
        <w:ind w:left="425" w:hanging="425"/>
      </w:pPr>
      <w:rPr>
        <w:rFonts w:hint="default"/>
      </w:rPr>
    </w:lvl>
  </w:abstractNum>
  <w:abstractNum w:abstractNumId="4">
    <w:nsid w:val="069FFF0E"/>
    <w:multiLevelType w:val="singleLevel"/>
    <w:tmpl w:val="069FFF0E"/>
    <w:lvl w:ilvl="0" w:tentative="0">
      <w:start w:val="1"/>
      <w:numFmt w:val="decimal"/>
      <w:lvlText w:val="%1."/>
      <w:lvlJc w:val="left"/>
      <w:pPr>
        <w:ind w:left="425" w:hanging="425"/>
      </w:pPr>
      <w:rPr>
        <w:rFonts w:hint="default"/>
      </w:rPr>
    </w:lvl>
  </w:abstractNum>
  <w:abstractNum w:abstractNumId="5">
    <w:nsid w:val="2FD63900"/>
    <w:multiLevelType w:val="singleLevel"/>
    <w:tmpl w:val="2FD63900"/>
    <w:lvl w:ilvl="0" w:tentative="0">
      <w:start w:val="1"/>
      <w:numFmt w:val="decimal"/>
      <w:lvlText w:val="%1."/>
      <w:lvlJc w:val="left"/>
      <w:pPr>
        <w:ind w:left="425" w:hanging="425"/>
      </w:pPr>
      <w:rPr>
        <w:rFonts w:hint="default"/>
      </w:rPr>
    </w:lvl>
  </w:abstractNum>
  <w:abstractNum w:abstractNumId="6">
    <w:nsid w:val="30A385AE"/>
    <w:multiLevelType w:val="singleLevel"/>
    <w:tmpl w:val="30A385AE"/>
    <w:lvl w:ilvl="0" w:tentative="0">
      <w:start w:val="1"/>
      <w:numFmt w:val="decimal"/>
      <w:lvlText w:val="%1."/>
      <w:lvlJc w:val="left"/>
      <w:pPr>
        <w:ind w:left="425" w:hanging="425"/>
      </w:pPr>
      <w:rPr>
        <w:rFonts w:hint="default"/>
      </w:rPr>
    </w:lvl>
  </w:abstractNum>
  <w:abstractNum w:abstractNumId="7">
    <w:nsid w:val="368C65F2"/>
    <w:multiLevelType w:val="singleLevel"/>
    <w:tmpl w:val="368C65F2"/>
    <w:lvl w:ilvl="0" w:tentative="0">
      <w:start w:val="1"/>
      <w:numFmt w:val="decimal"/>
      <w:lvlText w:val="%1."/>
      <w:lvlJc w:val="left"/>
      <w:pPr>
        <w:ind w:left="425" w:hanging="425"/>
      </w:pPr>
      <w:rPr>
        <w:rFonts w:hint="default"/>
      </w:rPr>
    </w:lvl>
  </w:abstractNum>
  <w:abstractNum w:abstractNumId="8">
    <w:nsid w:val="45BDB93B"/>
    <w:multiLevelType w:val="singleLevel"/>
    <w:tmpl w:val="45BDB93B"/>
    <w:lvl w:ilvl="0" w:tentative="0">
      <w:start w:val="1"/>
      <w:numFmt w:val="decimal"/>
      <w:lvlText w:val="%1."/>
      <w:lvlJc w:val="left"/>
      <w:pPr>
        <w:ind w:left="425" w:hanging="425"/>
      </w:pPr>
      <w:rPr>
        <w:rFonts w:hint="default"/>
      </w:rPr>
    </w:lvl>
  </w:abstractNum>
  <w:abstractNum w:abstractNumId="9">
    <w:nsid w:val="6B995F08"/>
    <w:multiLevelType w:val="singleLevel"/>
    <w:tmpl w:val="6B995F08"/>
    <w:lvl w:ilvl="0" w:tentative="0">
      <w:start w:val="1"/>
      <w:numFmt w:val="decimal"/>
      <w:lvlText w:val="%1."/>
      <w:lvlJc w:val="left"/>
      <w:pPr>
        <w:ind w:left="425" w:hanging="425"/>
      </w:pPr>
      <w:rPr>
        <w:rFonts w:hint="default"/>
      </w:rPr>
    </w:lvl>
  </w:abstractNum>
  <w:abstractNum w:abstractNumId="10">
    <w:nsid w:val="6F60CCD5"/>
    <w:multiLevelType w:val="singleLevel"/>
    <w:tmpl w:val="6F60CCD5"/>
    <w:lvl w:ilvl="0" w:tentative="0">
      <w:start w:val="1"/>
      <w:numFmt w:val="decimal"/>
      <w:lvlText w:val="%1."/>
      <w:lvlJc w:val="left"/>
      <w:pPr>
        <w:ind w:left="425" w:hanging="425"/>
      </w:pPr>
      <w:rPr>
        <w:rFonts w:hint="default"/>
      </w:rPr>
    </w:lvl>
  </w:abstractNum>
  <w:abstractNum w:abstractNumId="11">
    <w:nsid w:val="7B43CBA2"/>
    <w:multiLevelType w:val="singleLevel"/>
    <w:tmpl w:val="7B43CBA2"/>
    <w:lvl w:ilvl="0" w:tentative="0">
      <w:start w:val="1"/>
      <w:numFmt w:val="decimal"/>
      <w:lvlText w:val="%1."/>
      <w:lvlJc w:val="left"/>
      <w:pPr>
        <w:ind w:left="425" w:hanging="425"/>
      </w:pPr>
      <w:rPr>
        <w:rFonts w:hint="default"/>
      </w:rPr>
    </w:lvl>
  </w:abstractNum>
  <w:num w:numId="1">
    <w:abstractNumId w:val="1"/>
  </w:num>
  <w:num w:numId="2">
    <w:abstractNumId w:val="6"/>
  </w:num>
  <w:num w:numId="3">
    <w:abstractNumId w:val="9"/>
  </w:num>
  <w:num w:numId="4">
    <w:abstractNumId w:val="10"/>
  </w:num>
  <w:num w:numId="5">
    <w:abstractNumId w:val="0"/>
  </w:num>
  <w:num w:numId="6">
    <w:abstractNumId w:val="11"/>
  </w:num>
  <w:num w:numId="7">
    <w:abstractNumId w:val="2"/>
  </w:num>
  <w:num w:numId="8">
    <w:abstractNumId w:val="7"/>
  </w:num>
  <w:num w:numId="9">
    <w:abstractNumId w:val="5"/>
  </w:num>
  <w:num w:numId="10">
    <w:abstractNumId w:val="8"/>
  </w:num>
  <w:num w:numId="11">
    <w:abstractNumId w:val="4"/>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TrackMoves/>
  <w:documentProtection w:enforcement="0"/>
  <w:defaultTabStop w:val="720"/>
  <w:characterSpacingControl w:val="doNotCompress"/>
  <w:footnotePr>
    <w:footnote w:id="0"/>
    <w:footnote w:id="1"/>
  </w:footnotePr>
  <w:endnotePr>
    <w:endnote w:id="0"/>
    <w:endnote w:id="1"/>
  </w:endnotePr>
  <w:compat>
    <w:useFELayout/>
    <w:splitPgBreakAndParaMark/>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4292D22"/>
    <w:rsid w:val="2F910795"/>
    <w:rsid w:val="3244724D"/>
    <w:rsid w:val="5BA435E4"/>
    <w:rsid w:val="635527B8"/>
    <w:rsid w:val="6CB04AFB"/>
    <w:rsid w:val="79C92C6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table" w:customStyle="1" w:styleId="42">
    <w:name w:val="Table Normal_0_0"/>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2934</Words>
  <Characters>3091</Characters>
  <Lines>0</Lines>
  <Paragraphs>0</Paragraphs>
  <TotalTime>0</TotalTime>
  <ScaleCrop>false</ScaleCrop>
  <LinksUpToDate>false</LinksUpToDate>
  <CharactersWithSpaces>3207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2025-12-05T09:33:00Z</dcterms:created>
  <dc:creator>Apache POI</dc:creator>
  <cp:lastModifiedBy>郝宇</cp:lastModifiedBy>
  <dcterms:modified xsi:type="dcterms:W3CDTF">2026-03-04T18:52:59Z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84C208AEEF3F4E439854875A53C358DD_12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