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2C4308">
      <w:pPr>
        <w:pStyle w:val="4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0" w:name="_Toc26629"/>
      <w:bookmarkStart w:id="1" w:name="heading_2"/>
      <w:bookmarkStart w:id="96"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2327CB13">
      <w:pPr>
        <w:pStyle w:val="42"/>
        <w:keepNext w:val="0"/>
        <w:keepLines w:val="0"/>
        <w:pageBreakBefore w:val="0"/>
        <w:widowControl w:val="0"/>
        <w:kinsoku w:val="0"/>
        <w:wordWrap/>
        <w:overflowPunct/>
        <w:topLinePunct w:val="0"/>
        <w:autoSpaceDE w:val="0"/>
        <w:autoSpaceDN w:val="0"/>
        <w:bidi w:val="0"/>
        <w:adjustRightInd w:val="0"/>
        <w:snapToGrid w:val="0"/>
        <w:spacing w:before="0" w:after="0" w:afterLines="0"/>
        <w:textAlignment w:val="baseline"/>
        <w:rPr>
          <w:rFonts w:hint="default"/>
          <w:lang w:val="en-US" w:eastAsia="zh-CN"/>
        </w:rPr>
      </w:pPr>
      <w:bookmarkStart w:id="2" w:name="_Toc31270"/>
      <w:r>
        <w:rPr>
          <w:rFonts w:hint="eastAsia"/>
          <w:lang w:val="en-US" w:eastAsia="zh-CN"/>
        </w:rPr>
        <w:t>信息安全管理程序</w:t>
      </w:r>
      <w:bookmarkEnd w:id="2"/>
    </w:p>
    <w:p w14:paraId="5036FB99">
      <w:pPr>
        <w:pStyle w:val="4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3030"/>
      <w:r>
        <w:rPr>
          <w:rFonts w:hint="eastAsia"/>
          <w:lang w:val="en-US" w:eastAsia="zh-CN"/>
        </w:rPr>
        <w:t>（HXDL-ITSS-0610）</w:t>
      </w:r>
      <w:bookmarkEnd w:id="3"/>
    </w:p>
    <w:p w14:paraId="356D63EC">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tbl>
      <w:tblPr>
        <w:tblStyle w:val="3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FE59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E984A2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lang w:val="en-US" w:eastAsia="zh-CN"/>
              </w:rPr>
            </w:pPr>
            <w:r>
              <w:rPr>
                <w:rFonts w:hint="eastAsia"/>
                <w:lang w:val="en-US" w:eastAsia="zh-CN"/>
              </w:rPr>
              <w:t>编制人</w:t>
            </w:r>
            <w:r>
              <w:rPr>
                <w:rFonts w:hint="default"/>
                <w:lang w:val="en-US" w:eastAsia="zh-CN"/>
              </w:rPr>
              <w:t>:</w:t>
            </w:r>
            <w:r>
              <w:rPr>
                <w:rFonts w:hint="eastAsia"/>
                <w:u w:val="single"/>
                <w:lang w:val="en-US" w:eastAsia="zh-CN"/>
              </w:rPr>
              <w:t>赵川华</w:t>
            </w:r>
          </w:p>
        </w:tc>
        <w:tc>
          <w:tcPr>
            <w:tcW w:w="4261" w:type="dxa"/>
          </w:tcPr>
          <w:p w14:paraId="63D3542F">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编制时间:</w:t>
            </w:r>
            <w:r>
              <w:rPr>
                <w:rFonts w:hint="eastAsia"/>
                <w:u w:val="single"/>
                <w:lang w:val="en-US" w:eastAsia="zh-CN"/>
              </w:rPr>
              <w:t>2025.07.07</w:t>
            </w:r>
          </w:p>
        </w:tc>
      </w:tr>
      <w:tr w14:paraId="63C99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3C0535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rPr>
                <w:rFonts w:hint="eastAsia"/>
                <w:lang w:val="en-US" w:eastAsia="zh-CN"/>
              </w:rPr>
              <w:t>审核人</w:t>
            </w:r>
            <w:r>
              <w:rPr>
                <w:rFonts w:hint="default"/>
                <w:lang w:val="en-US" w:eastAsia="zh-CN"/>
              </w:rPr>
              <w:t>:</w:t>
            </w:r>
            <w:r>
              <w:rPr>
                <w:rFonts w:hint="eastAsia"/>
                <w:u w:val="single"/>
                <w:lang w:val="en-US" w:eastAsia="zh-CN"/>
              </w:rPr>
              <w:t>张智宏</w:t>
            </w:r>
          </w:p>
        </w:tc>
        <w:tc>
          <w:tcPr>
            <w:tcW w:w="4261" w:type="dxa"/>
            <w:shd w:val="clear" w:color="auto" w:fill="auto"/>
          </w:tcPr>
          <w:p w14:paraId="1044DC6B">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编制时间:</w:t>
            </w:r>
            <w:r>
              <w:rPr>
                <w:rFonts w:hint="eastAsia"/>
                <w:u w:val="single"/>
                <w:lang w:val="en-US" w:eastAsia="zh-CN"/>
              </w:rPr>
              <w:t>2025.07.07</w:t>
            </w:r>
          </w:p>
        </w:tc>
      </w:tr>
      <w:tr w14:paraId="5C2BB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5CDC0F7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lang w:val="en-US" w:eastAsia="zh-CN"/>
              </w:rPr>
            </w:pPr>
            <w:r>
              <w:rPr>
                <w:rFonts w:hint="eastAsia"/>
                <w:lang w:val="en-US" w:eastAsia="zh-CN"/>
              </w:rPr>
              <w:t>批准人:</w:t>
            </w:r>
            <w:r>
              <w:rPr>
                <w:rFonts w:hint="eastAsia"/>
                <w:u w:val="single"/>
                <w:lang w:val="en-US" w:eastAsia="zh-CN"/>
              </w:rPr>
              <w:t>陈垒</w:t>
            </w:r>
          </w:p>
        </w:tc>
        <w:tc>
          <w:tcPr>
            <w:tcW w:w="4261" w:type="dxa"/>
          </w:tcPr>
          <w:p w14:paraId="6742FCD1">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审批时间:</w:t>
            </w:r>
            <w:r>
              <w:rPr>
                <w:rFonts w:hint="eastAsia"/>
                <w:u w:val="single"/>
                <w:lang w:val="en-US" w:eastAsia="zh-CN"/>
              </w:rPr>
              <w:t>2025.07.07</w:t>
            </w:r>
          </w:p>
        </w:tc>
      </w:tr>
    </w:tbl>
    <w:p w14:paraId="6178E44A">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r>
        <w:rPr>
          <w:rFonts w:hint="default"/>
          <w:lang w:val="en-US" w:eastAsia="zh-CN"/>
        </w:rPr>
        <w:br w:type="page"/>
      </w:r>
      <w:bookmarkStart w:id="4" w:name="_Toc18525"/>
      <w:bookmarkStart w:id="5" w:name="_Toc15775"/>
      <w:bookmarkStart w:id="6" w:name="_Toc25112"/>
      <w:r>
        <w:rPr>
          <w:rFonts w:ascii="宋体" w:hAnsi="宋体" w:eastAsia="宋体" w:cs="宋体"/>
          <w:b/>
          <w:bCs/>
          <w:spacing w:val="-4"/>
          <w:sz w:val="30"/>
          <w:szCs w:val="30"/>
        </w:rPr>
        <w:t>文件编制和变更履历</w:t>
      </w:r>
      <w:bookmarkEnd w:id="4"/>
      <w:bookmarkEnd w:id="5"/>
      <w:bookmarkEnd w:id="6"/>
    </w:p>
    <w:tbl>
      <w:tblPr>
        <w:tblStyle w:val="59"/>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593044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2140AC0">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D815A56">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773223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593AF0C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4B0196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796E57B8">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0DCD755">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21B8904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C2C8C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4EFEA99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0A5576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668580D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6E64E09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23DBD46">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7DBA96F3">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7522AC0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56E9F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F50E35C">
            <w:pPr>
              <w:pStyle w:val="44"/>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1D9376B">
            <w:pPr>
              <w:pStyle w:val="44"/>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0542394E">
            <w:pPr>
              <w:pStyle w:val="44"/>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77AD592F">
            <w:pPr>
              <w:pStyle w:val="44"/>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1C1373C2">
            <w:pPr>
              <w:pStyle w:val="44"/>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5CE69CE7">
            <w:pPr>
              <w:pStyle w:val="44"/>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214DC1B">
            <w:pPr>
              <w:pStyle w:val="44"/>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2676FCCE">
            <w:pPr>
              <w:pStyle w:val="44"/>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4BCE9AC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6B10E2E7">
            <w:pPr>
              <w:pStyle w:val="44"/>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4F3193C7">
            <w:pPr>
              <w:pStyle w:val="44"/>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1B430B58">
            <w:pPr>
              <w:pStyle w:val="44"/>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EED50B7">
            <w:pPr>
              <w:pStyle w:val="44"/>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43EEB9C1">
            <w:pPr>
              <w:pStyle w:val="44"/>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2FD80E5E">
            <w:pPr>
              <w:pStyle w:val="44"/>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0AB629E4">
            <w:pPr>
              <w:pStyle w:val="44"/>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217EA1AF">
            <w:pPr>
              <w:pStyle w:val="44"/>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4238E0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4348182F">
            <w:pPr>
              <w:pStyle w:val="44"/>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E49D5B0">
            <w:pPr>
              <w:pStyle w:val="44"/>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2B3D0FEE">
            <w:pPr>
              <w:pStyle w:val="44"/>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1D498A80">
            <w:pPr>
              <w:pStyle w:val="44"/>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0F0EEADB">
            <w:pPr>
              <w:pStyle w:val="44"/>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223AAE1">
            <w:pPr>
              <w:pStyle w:val="44"/>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48D52236">
            <w:pPr>
              <w:pStyle w:val="44"/>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B2249CE">
            <w:pPr>
              <w:pStyle w:val="44"/>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70F7BCF7">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0859"/>
        <w:docPartObj>
          <w:docPartGallery w:val="Table of Contents"/>
          <w:docPartUnique/>
        </w:docPartObj>
      </w:sdtPr>
      <w:sdtEndPr>
        <w:rPr>
          <w:rFonts w:hint="default" w:ascii="Arial" w:hAnsi="Arial" w:eastAsia="宋体" w:cs="Arial"/>
          <w:snapToGrid w:val="0"/>
          <w:color w:val="000000"/>
          <w:kern w:val="0"/>
          <w:sz w:val="24"/>
          <w:szCs w:val="21"/>
          <w:lang w:val="en-US" w:eastAsia="zh-CN" w:bidi="ar-SA"/>
        </w:rPr>
      </w:sdtEndPr>
      <w:sdtContent>
        <w:p w14:paraId="3A94893D">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07ABDA49">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_Toc26629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_Toc26629 \h </w:instrText>
          </w:r>
          <w:r>
            <w:fldChar w:fldCharType="separate"/>
          </w:r>
          <w:r>
            <w:t>1</w:t>
          </w:r>
          <w:r>
            <w:fldChar w:fldCharType="end"/>
          </w:r>
          <w:r>
            <w:rPr>
              <w:rFonts w:hint="default"/>
              <w:lang w:val="en-US" w:eastAsia="zh-CN"/>
            </w:rPr>
            <w:fldChar w:fldCharType="end"/>
          </w:r>
        </w:p>
        <w:p w14:paraId="11F922DB">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_Toc31270 </w:instrText>
          </w:r>
          <w:r>
            <w:rPr>
              <w:rFonts w:hint="default"/>
              <w:lang w:val="en-US" w:eastAsia="zh-CN"/>
            </w:rPr>
            <w:fldChar w:fldCharType="separate"/>
          </w:r>
          <w:r>
            <w:rPr>
              <w:rFonts w:hint="eastAsia"/>
              <w:lang w:val="en-US" w:eastAsia="zh-CN"/>
            </w:rPr>
            <w:t>信息安全管理程序</w:t>
          </w:r>
          <w:r>
            <w:tab/>
          </w:r>
          <w:r>
            <w:fldChar w:fldCharType="begin"/>
          </w:r>
          <w:r>
            <w:instrText xml:space="preserve"> PAGEREF _Toc31270 \h </w:instrText>
          </w:r>
          <w:r>
            <w:fldChar w:fldCharType="separate"/>
          </w:r>
          <w:r>
            <w:t>1</w:t>
          </w:r>
          <w:r>
            <w:fldChar w:fldCharType="end"/>
          </w:r>
          <w:r>
            <w:rPr>
              <w:rFonts w:hint="default"/>
              <w:lang w:val="en-US" w:eastAsia="zh-CN"/>
            </w:rPr>
            <w:fldChar w:fldCharType="end"/>
          </w:r>
        </w:p>
        <w:p w14:paraId="4C13BCB4">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_Toc23030 </w:instrText>
          </w:r>
          <w:r>
            <w:rPr>
              <w:rFonts w:hint="default"/>
              <w:lang w:val="en-US" w:eastAsia="zh-CN"/>
            </w:rPr>
            <w:fldChar w:fldCharType="separate"/>
          </w:r>
          <w:r>
            <w:rPr>
              <w:rFonts w:hint="eastAsia"/>
              <w:lang w:val="en-US" w:eastAsia="zh-CN"/>
            </w:rPr>
            <w:t>（HXDL-ITSS-0610）</w:t>
          </w:r>
          <w:r>
            <w:tab/>
          </w:r>
          <w:r>
            <w:fldChar w:fldCharType="begin"/>
          </w:r>
          <w:r>
            <w:instrText xml:space="preserve"> PAGEREF _Toc23030 \h </w:instrText>
          </w:r>
          <w:r>
            <w:fldChar w:fldCharType="separate"/>
          </w:r>
          <w:r>
            <w:t>1</w:t>
          </w:r>
          <w:r>
            <w:fldChar w:fldCharType="end"/>
          </w:r>
          <w:r>
            <w:rPr>
              <w:rFonts w:hint="default"/>
              <w:lang w:val="en-US" w:eastAsia="zh-CN"/>
            </w:rPr>
            <w:fldChar w:fldCharType="end"/>
          </w:r>
        </w:p>
        <w:p w14:paraId="73969E9B">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_Toc25112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_Toc25112 \h </w:instrText>
          </w:r>
          <w:r>
            <w:fldChar w:fldCharType="separate"/>
          </w:r>
          <w:r>
            <w:t>2</w:t>
          </w:r>
          <w:r>
            <w:fldChar w:fldCharType="end"/>
          </w:r>
          <w:r>
            <w:rPr>
              <w:rFonts w:hint="default"/>
              <w:lang w:val="en-US" w:eastAsia="zh-CN"/>
            </w:rPr>
            <w:fldChar w:fldCharType="end"/>
          </w:r>
        </w:p>
        <w:p w14:paraId="29F0B351">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_Toc21615 </w:instrText>
          </w:r>
          <w:r>
            <w:rPr>
              <w:rFonts w:hint="default"/>
              <w:lang w:val="en-US" w:eastAsia="zh-CN"/>
            </w:rPr>
            <w:fldChar w:fldCharType="separate"/>
          </w:r>
          <w:r>
            <w:rPr>
              <w:rFonts w:hint="default"/>
            </w:rPr>
            <w:t xml:space="preserve">1. </w:t>
          </w:r>
          <w:r>
            <w:t>目的</w:t>
          </w:r>
          <w:r>
            <w:tab/>
          </w:r>
          <w:r>
            <w:fldChar w:fldCharType="begin"/>
          </w:r>
          <w:r>
            <w:instrText xml:space="preserve"> PAGEREF _Toc21615 \h </w:instrText>
          </w:r>
          <w:r>
            <w:fldChar w:fldCharType="separate"/>
          </w:r>
          <w:r>
            <w:t>5</w:t>
          </w:r>
          <w:r>
            <w:fldChar w:fldCharType="end"/>
          </w:r>
          <w:r>
            <w:rPr>
              <w:rFonts w:hint="default"/>
              <w:lang w:val="en-US" w:eastAsia="zh-CN"/>
            </w:rPr>
            <w:fldChar w:fldCharType="end"/>
          </w:r>
        </w:p>
        <w:p w14:paraId="2C89621B">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_Toc6375 </w:instrText>
          </w:r>
          <w:r>
            <w:rPr>
              <w:rFonts w:hint="default"/>
              <w:lang w:val="en-US" w:eastAsia="zh-CN"/>
            </w:rPr>
            <w:fldChar w:fldCharType="separate"/>
          </w:r>
          <w:r>
            <w:rPr>
              <w:rFonts w:hint="default"/>
            </w:rPr>
            <w:t xml:space="preserve">2. </w:t>
          </w:r>
          <w:r>
            <w:t>过程定义</w:t>
          </w:r>
          <w:r>
            <w:tab/>
          </w:r>
          <w:r>
            <w:fldChar w:fldCharType="begin"/>
          </w:r>
          <w:r>
            <w:instrText xml:space="preserve"> PAGEREF _Toc6375 \h </w:instrText>
          </w:r>
          <w:r>
            <w:fldChar w:fldCharType="separate"/>
          </w:r>
          <w:r>
            <w:t>5</w:t>
          </w:r>
          <w:r>
            <w:fldChar w:fldCharType="end"/>
          </w:r>
          <w:r>
            <w:rPr>
              <w:rFonts w:hint="default"/>
              <w:lang w:val="en-US" w:eastAsia="zh-CN"/>
            </w:rPr>
            <w:fldChar w:fldCharType="end"/>
          </w:r>
        </w:p>
        <w:p w14:paraId="0E84397F">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_Toc1523 </w:instrText>
          </w:r>
          <w:r>
            <w:rPr>
              <w:rFonts w:hint="default"/>
              <w:lang w:val="en-US" w:eastAsia="zh-CN"/>
            </w:rPr>
            <w:fldChar w:fldCharType="separate"/>
          </w:r>
          <w:r>
            <w:rPr>
              <w:rFonts w:hint="default"/>
            </w:rPr>
            <w:t xml:space="preserve">2.1. </w:t>
          </w:r>
          <w:r>
            <w:t>范围</w:t>
          </w:r>
          <w:r>
            <w:tab/>
          </w:r>
          <w:r>
            <w:fldChar w:fldCharType="begin"/>
          </w:r>
          <w:r>
            <w:instrText xml:space="preserve"> PAGEREF _Toc1523 \h </w:instrText>
          </w:r>
          <w:r>
            <w:fldChar w:fldCharType="separate"/>
          </w:r>
          <w:r>
            <w:t>5</w:t>
          </w:r>
          <w:r>
            <w:fldChar w:fldCharType="end"/>
          </w:r>
          <w:r>
            <w:rPr>
              <w:rFonts w:hint="default"/>
              <w:lang w:val="en-US" w:eastAsia="zh-CN"/>
            </w:rPr>
            <w:fldChar w:fldCharType="end"/>
          </w:r>
        </w:p>
        <w:p w14:paraId="7C4180EB">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_Toc10401 </w:instrText>
          </w:r>
          <w:r>
            <w:rPr>
              <w:rFonts w:hint="default"/>
              <w:lang w:val="en-US" w:eastAsia="zh-CN"/>
            </w:rPr>
            <w:fldChar w:fldCharType="separate"/>
          </w:r>
          <w:r>
            <w:rPr>
              <w:rFonts w:hint="default"/>
            </w:rPr>
            <w:t xml:space="preserve">2.2. </w:t>
          </w:r>
          <w:r>
            <w:t>过程负责人</w:t>
          </w:r>
          <w:r>
            <w:tab/>
          </w:r>
          <w:r>
            <w:fldChar w:fldCharType="begin"/>
          </w:r>
          <w:r>
            <w:instrText xml:space="preserve"> PAGEREF _Toc10401 \h </w:instrText>
          </w:r>
          <w:r>
            <w:fldChar w:fldCharType="separate"/>
          </w:r>
          <w:r>
            <w:t>5</w:t>
          </w:r>
          <w:r>
            <w:fldChar w:fldCharType="end"/>
          </w:r>
          <w:r>
            <w:rPr>
              <w:rFonts w:hint="default"/>
              <w:lang w:val="en-US" w:eastAsia="zh-CN"/>
            </w:rPr>
            <w:fldChar w:fldCharType="end"/>
          </w:r>
        </w:p>
        <w:p w14:paraId="2832408D">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_Toc30609 </w:instrText>
          </w:r>
          <w:r>
            <w:rPr>
              <w:rFonts w:hint="default"/>
              <w:lang w:val="en-US" w:eastAsia="zh-CN"/>
            </w:rPr>
            <w:fldChar w:fldCharType="separate"/>
          </w:r>
          <w:r>
            <w:rPr>
              <w:rFonts w:hint="default"/>
            </w:rPr>
            <w:t xml:space="preserve">2.3. </w:t>
          </w:r>
          <w:r>
            <w:t>主要输入</w:t>
          </w:r>
          <w:r>
            <w:tab/>
          </w:r>
          <w:r>
            <w:fldChar w:fldCharType="begin"/>
          </w:r>
          <w:r>
            <w:instrText xml:space="preserve"> PAGEREF _Toc30609 \h </w:instrText>
          </w:r>
          <w:r>
            <w:fldChar w:fldCharType="separate"/>
          </w:r>
          <w:r>
            <w:t>5</w:t>
          </w:r>
          <w:r>
            <w:fldChar w:fldCharType="end"/>
          </w:r>
          <w:r>
            <w:rPr>
              <w:rFonts w:hint="default"/>
              <w:lang w:val="en-US" w:eastAsia="zh-CN"/>
            </w:rPr>
            <w:fldChar w:fldCharType="end"/>
          </w:r>
        </w:p>
        <w:p w14:paraId="43E6AC2F">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_Toc18567 </w:instrText>
          </w:r>
          <w:r>
            <w:rPr>
              <w:rFonts w:hint="default"/>
              <w:lang w:val="en-US" w:eastAsia="zh-CN"/>
            </w:rPr>
            <w:fldChar w:fldCharType="separate"/>
          </w:r>
          <w:r>
            <w:rPr>
              <w:rFonts w:hint="default"/>
            </w:rPr>
            <w:t xml:space="preserve">2.4. </w:t>
          </w:r>
          <w:r>
            <w:t>主要输出</w:t>
          </w:r>
          <w:r>
            <w:tab/>
          </w:r>
          <w:r>
            <w:fldChar w:fldCharType="begin"/>
          </w:r>
          <w:r>
            <w:instrText xml:space="preserve"> PAGEREF _Toc18567 \h </w:instrText>
          </w:r>
          <w:r>
            <w:fldChar w:fldCharType="separate"/>
          </w:r>
          <w:r>
            <w:t>6</w:t>
          </w:r>
          <w:r>
            <w:fldChar w:fldCharType="end"/>
          </w:r>
          <w:r>
            <w:rPr>
              <w:rFonts w:hint="default"/>
              <w:lang w:val="en-US" w:eastAsia="zh-CN"/>
            </w:rPr>
            <w:fldChar w:fldCharType="end"/>
          </w:r>
        </w:p>
        <w:p w14:paraId="6DFAE5E8">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_Toc13382 </w:instrText>
          </w:r>
          <w:r>
            <w:rPr>
              <w:rFonts w:hint="default"/>
              <w:lang w:val="en-US" w:eastAsia="zh-CN"/>
            </w:rPr>
            <w:fldChar w:fldCharType="separate"/>
          </w:r>
          <w:r>
            <w:rPr>
              <w:rFonts w:hint="default"/>
            </w:rPr>
            <w:t xml:space="preserve">2.5. </w:t>
          </w:r>
          <w:r>
            <w:t>职责权限</w:t>
          </w:r>
          <w:r>
            <w:tab/>
          </w:r>
          <w:r>
            <w:fldChar w:fldCharType="begin"/>
          </w:r>
          <w:r>
            <w:instrText xml:space="preserve"> PAGEREF _Toc13382 \h </w:instrText>
          </w:r>
          <w:r>
            <w:fldChar w:fldCharType="separate"/>
          </w:r>
          <w:r>
            <w:t>6</w:t>
          </w:r>
          <w:r>
            <w:fldChar w:fldCharType="end"/>
          </w:r>
          <w:r>
            <w:rPr>
              <w:rFonts w:hint="default"/>
              <w:lang w:val="en-US" w:eastAsia="zh-CN"/>
            </w:rPr>
            <w:fldChar w:fldCharType="end"/>
          </w:r>
        </w:p>
        <w:p w14:paraId="690EEBB0">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_Toc19799 </w:instrText>
          </w:r>
          <w:r>
            <w:rPr>
              <w:rFonts w:hint="default"/>
              <w:lang w:val="en-US" w:eastAsia="zh-CN"/>
            </w:rPr>
            <w:fldChar w:fldCharType="separate"/>
          </w:r>
          <w:r>
            <w:rPr>
              <w:rFonts w:hint="default"/>
            </w:rPr>
            <w:t xml:space="preserve">2.5.1. </w:t>
          </w:r>
          <w:r>
            <w:t>安全管理负责人</w:t>
          </w:r>
          <w:r>
            <w:rPr>
              <w:rFonts w:hint="eastAsia"/>
              <w:lang w:eastAsia="zh-CN"/>
            </w:rPr>
            <w:t>（</w:t>
          </w:r>
          <w:r>
            <w:rPr>
              <w:rFonts w:hint="eastAsia"/>
              <w:lang w:val="en-US" w:eastAsia="zh-CN"/>
            </w:rPr>
            <w:t>信息安全管理员</w:t>
          </w:r>
          <w:r>
            <w:rPr>
              <w:rFonts w:hint="eastAsia"/>
              <w:lang w:eastAsia="zh-CN"/>
            </w:rPr>
            <w:t>）</w:t>
          </w:r>
          <w:r>
            <w:tab/>
          </w:r>
          <w:r>
            <w:fldChar w:fldCharType="begin"/>
          </w:r>
          <w:r>
            <w:instrText xml:space="preserve"> PAGEREF _Toc19799 \h </w:instrText>
          </w:r>
          <w:r>
            <w:fldChar w:fldCharType="separate"/>
          </w:r>
          <w:r>
            <w:t>6</w:t>
          </w:r>
          <w:r>
            <w:fldChar w:fldCharType="end"/>
          </w:r>
          <w:r>
            <w:rPr>
              <w:rFonts w:hint="default"/>
              <w:lang w:val="en-US" w:eastAsia="zh-CN"/>
            </w:rPr>
            <w:fldChar w:fldCharType="end"/>
          </w:r>
        </w:p>
        <w:p w14:paraId="6BA682C6">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_Toc17574 </w:instrText>
          </w:r>
          <w:r>
            <w:rPr>
              <w:rFonts w:hint="default"/>
              <w:lang w:val="en-US" w:eastAsia="zh-CN"/>
            </w:rPr>
            <w:fldChar w:fldCharType="separate"/>
          </w:r>
          <w:r>
            <w:rPr>
              <w:rFonts w:hint="default"/>
            </w:rPr>
            <w:t xml:space="preserve">2.5.2. </w:t>
          </w:r>
          <w:r>
            <w:t>客户服务负责人</w:t>
          </w:r>
          <w:r>
            <w:tab/>
          </w:r>
          <w:r>
            <w:fldChar w:fldCharType="begin"/>
          </w:r>
          <w:r>
            <w:instrText xml:space="preserve"> PAGEREF _Toc17574 \h </w:instrText>
          </w:r>
          <w:r>
            <w:fldChar w:fldCharType="separate"/>
          </w:r>
          <w:r>
            <w:t>6</w:t>
          </w:r>
          <w:r>
            <w:fldChar w:fldCharType="end"/>
          </w:r>
          <w:r>
            <w:rPr>
              <w:rFonts w:hint="default"/>
              <w:lang w:val="en-US" w:eastAsia="zh-CN"/>
            </w:rPr>
            <w:fldChar w:fldCharType="end"/>
          </w:r>
        </w:p>
        <w:p w14:paraId="79398114">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_Toc20707 </w:instrText>
          </w:r>
          <w:r>
            <w:rPr>
              <w:rFonts w:hint="default"/>
              <w:lang w:val="en-US" w:eastAsia="zh-CN"/>
            </w:rPr>
            <w:fldChar w:fldCharType="separate"/>
          </w:r>
          <w:r>
            <w:rPr>
              <w:rFonts w:hint="default"/>
            </w:rPr>
            <w:t xml:space="preserve">2.6. </w:t>
          </w:r>
          <w:r>
            <w:t>过程重要控制点</w:t>
          </w:r>
          <w:r>
            <w:tab/>
          </w:r>
          <w:r>
            <w:fldChar w:fldCharType="begin"/>
          </w:r>
          <w:r>
            <w:instrText xml:space="preserve"> PAGEREF _Toc20707 \h </w:instrText>
          </w:r>
          <w:r>
            <w:fldChar w:fldCharType="separate"/>
          </w:r>
          <w:r>
            <w:t>6</w:t>
          </w:r>
          <w:r>
            <w:fldChar w:fldCharType="end"/>
          </w:r>
          <w:r>
            <w:rPr>
              <w:rFonts w:hint="default"/>
              <w:lang w:val="en-US" w:eastAsia="zh-CN"/>
            </w:rPr>
            <w:fldChar w:fldCharType="end"/>
          </w:r>
        </w:p>
        <w:p w14:paraId="1DA94FBF">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_Toc26786 </w:instrText>
          </w:r>
          <w:r>
            <w:rPr>
              <w:rFonts w:hint="default"/>
              <w:lang w:val="en-US" w:eastAsia="zh-CN"/>
            </w:rPr>
            <w:fldChar w:fldCharType="separate"/>
          </w:r>
          <w:r>
            <w:rPr>
              <w:rFonts w:hint="default"/>
            </w:rPr>
            <w:t xml:space="preserve">2.7. </w:t>
          </w:r>
          <w:r>
            <w:t>过程测量指标</w:t>
          </w:r>
          <w:r>
            <w:tab/>
          </w:r>
          <w:r>
            <w:fldChar w:fldCharType="begin"/>
          </w:r>
          <w:r>
            <w:instrText xml:space="preserve"> PAGEREF _Toc26786 \h </w:instrText>
          </w:r>
          <w:r>
            <w:fldChar w:fldCharType="separate"/>
          </w:r>
          <w:r>
            <w:t>7</w:t>
          </w:r>
          <w:r>
            <w:fldChar w:fldCharType="end"/>
          </w:r>
          <w:r>
            <w:rPr>
              <w:rFonts w:hint="default"/>
              <w:lang w:val="en-US" w:eastAsia="zh-CN"/>
            </w:rPr>
            <w:fldChar w:fldCharType="end"/>
          </w:r>
        </w:p>
        <w:p w14:paraId="2E39A780">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_Toc29486 </w:instrText>
          </w:r>
          <w:r>
            <w:rPr>
              <w:rFonts w:hint="default"/>
              <w:lang w:val="en-US" w:eastAsia="zh-CN"/>
            </w:rPr>
            <w:fldChar w:fldCharType="separate"/>
          </w:r>
          <w:r>
            <w:rPr>
              <w:rFonts w:hint="default"/>
            </w:rPr>
            <w:t xml:space="preserve">3. </w:t>
          </w:r>
          <w:r>
            <w:t>术语</w:t>
          </w:r>
          <w:r>
            <w:tab/>
          </w:r>
          <w:r>
            <w:fldChar w:fldCharType="begin"/>
          </w:r>
          <w:r>
            <w:instrText xml:space="preserve"> PAGEREF _Toc29486 \h </w:instrText>
          </w:r>
          <w:r>
            <w:fldChar w:fldCharType="separate"/>
          </w:r>
          <w:r>
            <w:t>7</w:t>
          </w:r>
          <w:r>
            <w:fldChar w:fldCharType="end"/>
          </w:r>
          <w:r>
            <w:rPr>
              <w:rFonts w:hint="default"/>
              <w:lang w:val="en-US" w:eastAsia="zh-CN"/>
            </w:rPr>
            <w:fldChar w:fldCharType="end"/>
          </w:r>
        </w:p>
        <w:p w14:paraId="3EDE45BC">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_Toc2211 </w:instrText>
          </w:r>
          <w:r>
            <w:rPr>
              <w:rFonts w:hint="default"/>
              <w:lang w:val="en-US" w:eastAsia="zh-CN"/>
            </w:rPr>
            <w:fldChar w:fldCharType="separate"/>
          </w:r>
          <w:r>
            <w:rPr>
              <w:rFonts w:hint="default"/>
            </w:rPr>
            <w:t xml:space="preserve">4. </w:t>
          </w:r>
          <w:r>
            <w:t>信息安全方针</w:t>
          </w:r>
          <w:r>
            <w:tab/>
          </w:r>
          <w:r>
            <w:fldChar w:fldCharType="begin"/>
          </w:r>
          <w:r>
            <w:instrText xml:space="preserve"> PAGEREF _Toc2211 \h </w:instrText>
          </w:r>
          <w:r>
            <w:fldChar w:fldCharType="separate"/>
          </w:r>
          <w:r>
            <w:t>7</w:t>
          </w:r>
          <w:r>
            <w:fldChar w:fldCharType="end"/>
          </w:r>
          <w:r>
            <w:rPr>
              <w:rFonts w:hint="default"/>
              <w:lang w:val="en-US" w:eastAsia="zh-CN"/>
            </w:rPr>
            <w:fldChar w:fldCharType="end"/>
          </w:r>
        </w:p>
        <w:p w14:paraId="2E072FEF">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_Toc27050 </w:instrText>
          </w:r>
          <w:r>
            <w:rPr>
              <w:rFonts w:hint="default"/>
              <w:lang w:val="en-US" w:eastAsia="zh-CN"/>
            </w:rPr>
            <w:fldChar w:fldCharType="separate"/>
          </w:r>
          <w:r>
            <w:rPr>
              <w:rFonts w:hint="default"/>
            </w:rPr>
            <w:t xml:space="preserve">5. </w:t>
          </w:r>
          <w:r>
            <w:t>信息安全策略</w:t>
          </w:r>
          <w:r>
            <w:tab/>
          </w:r>
          <w:r>
            <w:fldChar w:fldCharType="begin"/>
          </w:r>
          <w:r>
            <w:instrText xml:space="preserve"> PAGEREF _Toc27050 \h </w:instrText>
          </w:r>
          <w:r>
            <w:fldChar w:fldCharType="separate"/>
          </w:r>
          <w:r>
            <w:t>7</w:t>
          </w:r>
          <w:r>
            <w:fldChar w:fldCharType="end"/>
          </w:r>
          <w:r>
            <w:rPr>
              <w:rFonts w:hint="default"/>
              <w:lang w:val="en-US" w:eastAsia="zh-CN"/>
            </w:rPr>
            <w:fldChar w:fldCharType="end"/>
          </w:r>
        </w:p>
        <w:p w14:paraId="31A6497D">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_Toc24657 </w:instrText>
          </w:r>
          <w:r>
            <w:rPr>
              <w:rFonts w:hint="default"/>
              <w:lang w:val="en-US" w:eastAsia="zh-CN"/>
            </w:rPr>
            <w:fldChar w:fldCharType="separate"/>
          </w:r>
          <w:r>
            <w:rPr>
              <w:rFonts w:hint="default"/>
            </w:rPr>
            <w:t xml:space="preserve">5.1. </w:t>
          </w:r>
          <w:r>
            <w:t>信息安全策略定义</w:t>
          </w:r>
          <w:r>
            <w:tab/>
          </w:r>
          <w:r>
            <w:fldChar w:fldCharType="begin"/>
          </w:r>
          <w:r>
            <w:instrText xml:space="preserve"> PAGEREF _Toc24657 \h </w:instrText>
          </w:r>
          <w:r>
            <w:fldChar w:fldCharType="separate"/>
          </w:r>
          <w:r>
            <w:t>7</w:t>
          </w:r>
          <w:r>
            <w:fldChar w:fldCharType="end"/>
          </w:r>
          <w:r>
            <w:rPr>
              <w:rFonts w:hint="default"/>
              <w:lang w:val="en-US" w:eastAsia="zh-CN"/>
            </w:rPr>
            <w:fldChar w:fldCharType="end"/>
          </w:r>
        </w:p>
        <w:p w14:paraId="49D59023">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_Toc30039 </w:instrText>
          </w:r>
          <w:r>
            <w:rPr>
              <w:rFonts w:hint="default"/>
              <w:lang w:val="en-US" w:eastAsia="zh-CN"/>
            </w:rPr>
            <w:fldChar w:fldCharType="separate"/>
          </w:r>
          <w:r>
            <w:rPr>
              <w:rFonts w:hint="default"/>
            </w:rPr>
            <w:t xml:space="preserve">5.2. </w:t>
          </w:r>
          <w:r>
            <w:t>信息安全策略内容</w:t>
          </w:r>
          <w:r>
            <w:tab/>
          </w:r>
          <w:r>
            <w:fldChar w:fldCharType="begin"/>
          </w:r>
          <w:r>
            <w:instrText xml:space="preserve"> PAGEREF _Toc30039 \h </w:instrText>
          </w:r>
          <w:r>
            <w:fldChar w:fldCharType="separate"/>
          </w:r>
          <w:r>
            <w:t>8</w:t>
          </w:r>
          <w:r>
            <w:fldChar w:fldCharType="end"/>
          </w:r>
          <w:r>
            <w:rPr>
              <w:rFonts w:hint="default"/>
              <w:lang w:val="en-US" w:eastAsia="zh-CN"/>
            </w:rPr>
            <w:fldChar w:fldCharType="end"/>
          </w:r>
        </w:p>
        <w:p w14:paraId="0527E4FA">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_Toc14527 </w:instrText>
          </w:r>
          <w:r>
            <w:rPr>
              <w:rFonts w:hint="default"/>
              <w:lang w:val="en-US" w:eastAsia="zh-CN"/>
            </w:rPr>
            <w:fldChar w:fldCharType="separate"/>
          </w:r>
          <w:r>
            <w:rPr>
              <w:rFonts w:hint="default"/>
            </w:rPr>
            <w:t xml:space="preserve">5.2.1. </w:t>
          </w:r>
          <w:r>
            <w:t>物理安全策略</w:t>
          </w:r>
          <w:r>
            <w:tab/>
          </w:r>
          <w:r>
            <w:fldChar w:fldCharType="begin"/>
          </w:r>
          <w:r>
            <w:instrText xml:space="preserve"> PAGEREF _Toc14527 \h </w:instrText>
          </w:r>
          <w:r>
            <w:fldChar w:fldCharType="separate"/>
          </w:r>
          <w:r>
            <w:t>8</w:t>
          </w:r>
          <w:r>
            <w:fldChar w:fldCharType="end"/>
          </w:r>
          <w:r>
            <w:rPr>
              <w:rFonts w:hint="default"/>
              <w:lang w:val="en-US" w:eastAsia="zh-CN"/>
            </w:rPr>
            <w:fldChar w:fldCharType="end"/>
          </w:r>
        </w:p>
        <w:p w14:paraId="29A66BC5">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_Toc24265 </w:instrText>
          </w:r>
          <w:r>
            <w:rPr>
              <w:rFonts w:hint="default"/>
              <w:lang w:val="en-US" w:eastAsia="zh-CN"/>
            </w:rPr>
            <w:fldChar w:fldCharType="separate"/>
          </w:r>
          <w:r>
            <w:rPr>
              <w:rFonts w:hint="default"/>
            </w:rPr>
            <w:t xml:space="preserve">5.2.2. </w:t>
          </w:r>
          <w:r>
            <w:t>网络安全策略</w:t>
          </w:r>
          <w:r>
            <w:tab/>
          </w:r>
          <w:r>
            <w:fldChar w:fldCharType="begin"/>
          </w:r>
          <w:r>
            <w:instrText xml:space="preserve"> PAGEREF _Toc24265 \h </w:instrText>
          </w:r>
          <w:r>
            <w:fldChar w:fldCharType="separate"/>
          </w:r>
          <w:r>
            <w:t>8</w:t>
          </w:r>
          <w:r>
            <w:fldChar w:fldCharType="end"/>
          </w:r>
          <w:r>
            <w:rPr>
              <w:rFonts w:hint="default"/>
              <w:lang w:val="en-US" w:eastAsia="zh-CN"/>
            </w:rPr>
            <w:fldChar w:fldCharType="end"/>
          </w:r>
        </w:p>
        <w:p w14:paraId="653E137F">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_Toc29911 </w:instrText>
          </w:r>
          <w:r>
            <w:rPr>
              <w:rFonts w:hint="default"/>
              <w:lang w:val="en-US" w:eastAsia="zh-CN"/>
            </w:rPr>
            <w:fldChar w:fldCharType="separate"/>
          </w:r>
          <w:r>
            <w:rPr>
              <w:rFonts w:hint="default"/>
            </w:rPr>
            <w:t xml:space="preserve">5.2.3. </w:t>
          </w:r>
          <w:r>
            <w:t>数据安全策略</w:t>
          </w:r>
          <w:r>
            <w:tab/>
          </w:r>
          <w:r>
            <w:fldChar w:fldCharType="begin"/>
          </w:r>
          <w:r>
            <w:instrText xml:space="preserve"> PAGEREF _Toc29911 \h </w:instrText>
          </w:r>
          <w:r>
            <w:fldChar w:fldCharType="separate"/>
          </w:r>
          <w:r>
            <w:t>8</w:t>
          </w:r>
          <w:r>
            <w:fldChar w:fldCharType="end"/>
          </w:r>
          <w:r>
            <w:rPr>
              <w:rFonts w:hint="default"/>
              <w:lang w:val="en-US" w:eastAsia="zh-CN"/>
            </w:rPr>
            <w:fldChar w:fldCharType="end"/>
          </w:r>
        </w:p>
        <w:p w14:paraId="7B78EDA6">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_Toc20316 </w:instrText>
          </w:r>
          <w:r>
            <w:rPr>
              <w:rFonts w:hint="default"/>
              <w:lang w:val="en-US" w:eastAsia="zh-CN"/>
            </w:rPr>
            <w:fldChar w:fldCharType="separate"/>
          </w:r>
          <w:r>
            <w:rPr>
              <w:rFonts w:hint="default"/>
            </w:rPr>
            <w:t xml:space="preserve">5.2.4. </w:t>
          </w:r>
          <w:r>
            <w:t>软件安全策略</w:t>
          </w:r>
          <w:r>
            <w:tab/>
          </w:r>
          <w:r>
            <w:fldChar w:fldCharType="begin"/>
          </w:r>
          <w:r>
            <w:instrText xml:space="preserve"> PAGEREF _Toc20316 \h </w:instrText>
          </w:r>
          <w:r>
            <w:fldChar w:fldCharType="separate"/>
          </w:r>
          <w:r>
            <w:t>9</w:t>
          </w:r>
          <w:r>
            <w:fldChar w:fldCharType="end"/>
          </w:r>
          <w:r>
            <w:rPr>
              <w:rFonts w:hint="default"/>
              <w:lang w:val="en-US" w:eastAsia="zh-CN"/>
            </w:rPr>
            <w:fldChar w:fldCharType="end"/>
          </w:r>
        </w:p>
        <w:p w14:paraId="2D1882FF">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_Toc2611 </w:instrText>
          </w:r>
          <w:r>
            <w:rPr>
              <w:rFonts w:hint="default"/>
              <w:lang w:val="en-US" w:eastAsia="zh-CN"/>
            </w:rPr>
            <w:fldChar w:fldCharType="separate"/>
          </w:r>
          <w:r>
            <w:rPr>
              <w:rFonts w:hint="default"/>
            </w:rPr>
            <w:t xml:space="preserve">5.2.5. </w:t>
          </w:r>
          <w:r>
            <w:t>系统管理策略</w:t>
          </w:r>
          <w:r>
            <w:tab/>
          </w:r>
          <w:r>
            <w:fldChar w:fldCharType="begin"/>
          </w:r>
          <w:r>
            <w:instrText xml:space="preserve"> PAGEREF _Toc2611 \h </w:instrText>
          </w:r>
          <w:r>
            <w:fldChar w:fldCharType="separate"/>
          </w:r>
          <w:r>
            <w:t>9</w:t>
          </w:r>
          <w:r>
            <w:fldChar w:fldCharType="end"/>
          </w:r>
          <w:r>
            <w:rPr>
              <w:rFonts w:hint="default"/>
              <w:lang w:val="en-US" w:eastAsia="zh-CN"/>
            </w:rPr>
            <w:fldChar w:fldCharType="end"/>
          </w:r>
        </w:p>
        <w:p w14:paraId="78399EB6">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_Toc22823 </w:instrText>
          </w:r>
          <w:r>
            <w:rPr>
              <w:rFonts w:hint="default"/>
              <w:lang w:val="en-US" w:eastAsia="zh-CN"/>
            </w:rPr>
            <w:fldChar w:fldCharType="separate"/>
          </w:r>
          <w:r>
            <w:rPr>
              <w:rFonts w:hint="default"/>
            </w:rPr>
            <w:t xml:space="preserve">5.2.6. </w:t>
          </w:r>
          <w:r>
            <w:t>灾难恢复策略</w:t>
          </w:r>
          <w:r>
            <w:tab/>
          </w:r>
          <w:r>
            <w:fldChar w:fldCharType="begin"/>
          </w:r>
          <w:r>
            <w:instrText xml:space="preserve"> PAGEREF _Toc22823 \h </w:instrText>
          </w:r>
          <w:r>
            <w:fldChar w:fldCharType="separate"/>
          </w:r>
          <w:r>
            <w:t>9</w:t>
          </w:r>
          <w:r>
            <w:fldChar w:fldCharType="end"/>
          </w:r>
          <w:r>
            <w:rPr>
              <w:rFonts w:hint="default"/>
              <w:lang w:val="en-US" w:eastAsia="zh-CN"/>
            </w:rPr>
            <w:fldChar w:fldCharType="end"/>
          </w:r>
        </w:p>
        <w:p w14:paraId="55D5F48D">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_Toc4562 </w:instrText>
          </w:r>
          <w:r>
            <w:rPr>
              <w:rFonts w:hint="default"/>
              <w:lang w:val="en-US" w:eastAsia="zh-CN"/>
            </w:rPr>
            <w:fldChar w:fldCharType="separate"/>
          </w:r>
          <w:r>
            <w:rPr>
              <w:rFonts w:hint="default"/>
            </w:rPr>
            <w:t xml:space="preserve">6. </w:t>
          </w:r>
          <w:r>
            <w:t>信息安全管理过程描述</w:t>
          </w:r>
          <w:r>
            <w:tab/>
          </w:r>
          <w:r>
            <w:fldChar w:fldCharType="begin"/>
          </w:r>
          <w:r>
            <w:instrText xml:space="preserve"> PAGEREF _Toc4562 \h </w:instrText>
          </w:r>
          <w:r>
            <w:fldChar w:fldCharType="separate"/>
          </w:r>
          <w:r>
            <w:t>10</w:t>
          </w:r>
          <w:r>
            <w:fldChar w:fldCharType="end"/>
          </w:r>
          <w:r>
            <w:rPr>
              <w:rFonts w:hint="default"/>
              <w:lang w:val="en-US" w:eastAsia="zh-CN"/>
            </w:rPr>
            <w:fldChar w:fldCharType="end"/>
          </w:r>
        </w:p>
        <w:p w14:paraId="3D8183B8">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_Toc19308 </w:instrText>
          </w:r>
          <w:r>
            <w:rPr>
              <w:rFonts w:hint="default"/>
              <w:lang w:val="en-US" w:eastAsia="zh-CN"/>
            </w:rPr>
            <w:fldChar w:fldCharType="separate"/>
          </w:r>
          <w:r>
            <w:rPr>
              <w:rFonts w:hint="default"/>
            </w:rPr>
            <w:t xml:space="preserve">6.1. </w:t>
          </w:r>
          <w:r>
            <w:t>风险评估计划和过程</w:t>
          </w:r>
          <w:r>
            <w:tab/>
          </w:r>
          <w:r>
            <w:fldChar w:fldCharType="begin"/>
          </w:r>
          <w:r>
            <w:instrText xml:space="preserve"> PAGEREF _Toc19308 \h </w:instrText>
          </w:r>
          <w:r>
            <w:fldChar w:fldCharType="separate"/>
          </w:r>
          <w:r>
            <w:t>10</w:t>
          </w:r>
          <w:r>
            <w:fldChar w:fldCharType="end"/>
          </w:r>
          <w:r>
            <w:rPr>
              <w:rFonts w:hint="default"/>
              <w:lang w:val="en-US" w:eastAsia="zh-CN"/>
            </w:rPr>
            <w:fldChar w:fldCharType="end"/>
          </w:r>
        </w:p>
        <w:p w14:paraId="396D84B9">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_Toc14142 </w:instrText>
          </w:r>
          <w:r>
            <w:rPr>
              <w:rFonts w:hint="default"/>
              <w:lang w:val="en-US" w:eastAsia="zh-CN"/>
            </w:rPr>
            <w:fldChar w:fldCharType="separate"/>
          </w:r>
          <w:r>
            <w:rPr>
              <w:rFonts w:hint="default"/>
            </w:rPr>
            <w:t xml:space="preserve">6.1.1. </w:t>
          </w:r>
          <w:r>
            <w:t>评估计划</w:t>
          </w:r>
          <w:r>
            <w:tab/>
          </w:r>
          <w:r>
            <w:fldChar w:fldCharType="begin"/>
          </w:r>
          <w:r>
            <w:instrText xml:space="preserve"> PAGEREF _Toc14142 \h </w:instrText>
          </w:r>
          <w:r>
            <w:fldChar w:fldCharType="separate"/>
          </w:r>
          <w:r>
            <w:t>10</w:t>
          </w:r>
          <w:r>
            <w:fldChar w:fldCharType="end"/>
          </w:r>
          <w:r>
            <w:rPr>
              <w:rFonts w:hint="default"/>
              <w:lang w:val="en-US" w:eastAsia="zh-CN"/>
            </w:rPr>
            <w:fldChar w:fldCharType="end"/>
          </w:r>
        </w:p>
        <w:p w14:paraId="5D7E7D79">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_Toc8083 </w:instrText>
          </w:r>
          <w:r>
            <w:rPr>
              <w:rFonts w:hint="default"/>
              <w:lang w:val="en-US" w:eastAsia="zh-CN"/>
            </w:rPr>
            <w:fldChar w:fldCharType="separate"/>
          </w:r>
          <w:r>
            <w:rPr>
              <w:rFonts w:hint="default"/>
            </w:rPr>
            <w:t xml:space="preserve">6.1.2. </w:t>
          </w:r>
          <w:r>
            <w:t>评估过程</w:t>
          </w:r>
          <w:r>
            <w:tab/>
          </w:r>
          <w:r>
            <w:fldChar w:fldCharType="begin"/>
          </w:r>
          <w:r>
            <w:instrText xml:space="preserve"> PAGEREF _Toc8083 \h </w:instrText>
          </w:r>
          <w:r>
            <w:fldChar w:fldCharType="separate"/>
          </w:r>
          <w:r>
            <w:t>10</w:t>
          </w:r>
          <w:r>
            <w:fldChar w:fldCharType="end"/>
          </w:r>
          <w:r>
            <w:rPr>
              <w:rFonts w:hint="default"/>
              <w:lang w:val="en-US" w:eastAsia="zh-CN"/>
            </w:rPr>
            <w:fldChar w:fldCharType="end"/>
          </w:r>
        </w:p>
        <w:p w14:paraId="65C255BE">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_Toc16932 </w:instrText>
          </w:r>
          <w:r>
            <w:rPr>
              <w:rFonts w:hint="default"/>
              <w:lang w:val="en-US" w:eastAsia="zh-CN"/>
            </w:rPr>
            <w:fldChar w:fldCharType="separate"/>
          </w:r>
          <w:r>
            <w:rPr>
              <w:rFonts w:hint="default"/>
            </w:rPr>
            <w:t xml:space="preserve">6.2. </w:t>
          </w:r>
          <w:r>
            <w:t>评估方法和工具</w:t>
          </w:r>
          <w:r>
            <w:tab/>
          </w:r>
          <w:r>
            <w:fldChar w:fldCharType="begin"/>
          </w:r>
          <w:r>
            <w:instrText xml:space="preserve"> PAGEREF _Toc16932 \h </w:instrText>
          </w:r>
          <w:r>
            <w:fldChar w:fldCharType="separate"/>
          </w:r>
          <w:r>
            <w:t>11</w:t>
          </w:r>
          <w:r>
            <w:fldChar w:fldCharType="end"/>
          </w:r>
          <w:r>
            <w:rPr>
              <w:rFonts w:hint="default"/>
              <w:lang w:val="en-US" w:eastAsia="zh-CN"/>
            </w:rPr>
            <w:fldChar w:fldCharType="end"/>
          </w:r>
        </w:p>
        <w:p w14:paraId="13FC6093">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_Toc27380 </w:instrText>
          </w:r>
          <w:r>
            <w:rPr>
              <w:rFonts w:hint="default"/>
              <w:lang w:val="en-US" w:eastAsia="zh-CN"/>
            </w:rPr>
            <w:fldChar w:fldCharType="separate"/>
          </w:r>
          <w:r>
            <w:rPr>
              <w:rFonts w:hint="default"/>
            </w:rPr>
            <w:t xml:space="preserve">6.3. </w:t>
          </w:r>
          <w:r>
            <w:t>评估内容</w:t>
          </w:r>
          <w:r>
            <w:tab/>
          </w:r>
          <w:r>
            <w:fldChar w:fldCharType="begin"/>
          </w:r>
          <w:r>
            <w:instrText xml:space="preserve"> PAGEREF _Toc27380 \h </w:instrText>
          </w:r>
          <w:r>
            <w:fldChar w:fldCharType="separate"/>
          </w:r>
          <w:r>
            <w:t>12</w:t>
          </w:r>
          <w:r>
            <w:fldChar w:fldCharType="end"/>
          </w:r>
          <w:r>
            <w:rPr>
              <w:rFonts w:hint="default"/>
              <w:lang w:val="en-US" w:eastAsia="zh-CN"/>
            </w:rPr>
            <w:fldChar w:fldCharType="end"/>
          </w:r>
        </w:p>
        <w:p w14:paraId="12C371B5">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_Toc5485 </w:instrText>
          </w:r>
          <w:r>
            <w:rPr>
              <w:rFonts w:hint="default"/>
              <w:lang w:val="en-US" w:eastAsia="zh-CN"/>
            </w:rPr>
            <w:fldChar w:fldCharType="separate"/>
          </w:r>
          <w:r>
            <w:rPr>
              <w:rFonts w:hint="default"/>
            </w:rPr>
            <w:t xml:space="preserve">6.4. </w:t>
          </w:r>
          <w:r>
            <w:t>资产的评估和赋值</w:t>
          </w:r>
          <w:r>
            <w:tab/>
          </w:r>
          <w:r>
            <w:fldChar w:fldCharType="begin"/>
          </w:r>
          <w:r>
            <w:instrText xml:space="preserve"> PAGEREF _Toc5485 \h </w:instrText>
          </w:r>
          <w:r>
            <w:fldChar w:fldCharType="separate"/>
          </w:r>
          <w:r>
            <w:t>12</w:t>
          </w:r>
          <w:r>
            <w:fldChar w:fldCharType="end"/>
          </w:r>
          <w:r>
            <w:rPr>
              <w:rFonts w:hint="default"/>
              <w:lang w:val="en-US" w:eastAsia="zh-CN"/>
            </w:rPr>
            <w:fldChar w:fldCharType="end"/>
          </w:r>
        </w:p>
        <w:p w14:paraId="5CA56A4E">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_Toc25595 </w:instrText>
          </w:r>
          <w:r>
            <w:rPr>
              <w:rFonts w:hint="default"/>
              <w:lang w:val="en-US" w:eastAsia="zh-CN"/>
            </w:rPr>
            <w:fldChar w:fldCharType="separate"/>
          </w:r>
          <w:r>
            <w:rPr>
              <w:rFonts w:hint="default"/>
            </w:rPr>
            <w:t xml:space="preserve">6.5. </w:t>
          </w:r>
          <w:r>
            <w:t>威胁评估</w:t>
          </w:r>
          <w:r>
            <w:tab/>
          </w:r>
          <w:r>
            <w:fldChar w:fldCharType="begin"/>
          </w:r>
          <w:r>
            <w:instrText xml:space="preserve"> PAGEREF _Toc25595 \h </w:instrText>
          </w:r>
          <w:r>
            <w:fldChar w:fldCharType="separate"/>
          </w:r>
          <w:r>
            <w:t>15</w:t>
          </w:r>
          <w:r>
            <w:fldChar w:fldCharType="end"/>
          </w:r>
          <w:r>
            <w:rPr>
              <w:rFonts w:hint="default"/>
              <w:lang w:val="en-US" w:eastAsia="zh-CN"/>
            </w:rPr>
            <w:fldChar w:fldCharType="end"/>
          </w:r>
        </w:p>
        <w:p w14:paraId="4091D2DE">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_Toc6228 </w:instrText>
          </w:r>
          <w:r>
            <w:rPr>
              <w:rFonts w:hint="default"/>
              <w:lang w:val="en-US" w:eastAsia="zh-CN"/>
            </w:rPr>
            <w:fldChar w:fldCharType="separate"/>
          </w:r>
          <w:r>
            <w:rPr>
              <w:rFonts w:hint="default"/>
            </w:rPr>
            <w:t xml:space="preserve">6.5.1. </w:t>
          </w:r>
          <w:r>
            <w:t>威胁概述</w:t>
          </w:r>
          <w:r>
            <w:tab/>
          </w:r>
          <w:r>
            <w:fldChar w:fldCharType="begin"/>
          </w:r>
          <w:r>
            <w:instrText xml:space="preserve"> PAGEREF _Toc6228 \h </w:instrText>
          </w:r>
          <w:r>
            <w:fldChar w:fldCharType="separate"/>
          </w:r>
          <w:r>
            <w:t>15</w:t>
          </w:r>
          <w:r>
            <w:fldChar w:fldCharType="end"/>
          </w:r>
          <w:r>
            <w:rPr>
              <w:rFonts w:hint="default"/>
              <w:lang w:val="en-US" w:eastAsia="zh-CN"/>
            </w:rPr>
            <w:fldChar w:fldCharType="end"/>
          </w:r>
        </w:p>
        <w:p w14:paraId="310DE787">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_Toc15727 </w:instrText>
          </w:r>
          <w:r>
            <w:rPr>
              <w:rFonts w:hint="default"/>
              <w:lang w:val="en-US" w:eastAsia="zh-CN"/>
            </w:rPr>
            <w:fldChar w:fldCharType="separate"/>
          </w:r>
          <w:r>
            <w:rPr>
              <w:rFonts w:hint="default"/>
            </w:rPr>
            <w:t xml:space="preserve">6.5.2. </w:t>
          </w:r>
          <w:r>
            <w:t>威胁识别</w:t>
          </w:r>
          <w:r>
            <w:tab/>
          </w:r>
          <w:r>
            <w:fldChar w:fldCharType="begin"/>
          </w:r>
          <w:r>
            <w:instrText xml:space="preserve"> PAGEREF _Toc15727 \h </w:instrText>
          </w:r>
          <w:r>
            <w:fldChar w:fldCharType="separate"/>
          </w:r>
          <w:r>
            <w:t>15</w:t>
          </w:r>
          <w:r>
            <w:fldChar w:fldCharType="end"/>
          </w:r>
          <w:r>
            <w:rPr>
              <w:rFonts w:hint="default"/>
              <w:lang w:val="en-US" w:eastAsia="zh-CN"/>
            </w:rPr>
            <w:fldChar w:fldCharType="end"/>
          </w:r>
        </w:p>
        <w:p w14:paraId="774F1A80">
          <w:pPr>
            <w:pStyle w:val="1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_Toc24857 </w:instrText>
          </w:r>
          <w:r>
            <w:rPr>
              <w:rFonts w:hint="default"/>
              <w:lang w:val="en-US" w:eastAsia="zh-CN"/>
            </w:rPr>
            <w:fldChar w:fldCharType="separate"/>
          </w:r>
          <w:r>
            <w:rPr>
              <w:rFonts w:hint="default"/>
            </w:rPr>
            <w:t xml:space="preserve">6.5.3. </w:t>
          </w:r>
          <w:r>
            <w:t>威胁分析</w:t>
          </w:r>
          <w:r>
            <w:tab/>
          </w:r>
          <w:r>
            <w:fldChar w:fldCharType="begin"/>
          </w:r>
          <w:r>
            <w:instrText xml:space="preserve"> PAGEREF _Toc24857 \h </w:instrText>
          </w:r>
          <w:r>
            <w:fldChar w:fldCharType="separate"/>
          </w:r>
          <w:r>
            <w:t>15</w:t>
          </w:r>
          <w:r>
            <w:fldChar w:fldCharType="end"/>
          </w:r>
          <w:r>
            <w:rPr>
              <w:rFonts w:hint="default"/>
              <w:lang w:val="en-US" w:eastAsia="zh-CN"/>
            </w:rPr>
            <w:fldChar w:fldCharType="end"/>
          </w:r>
        </w:p>
        <w:p w14:paraId="5832899A">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_Toc28894 </w:instrText>
          </w:r>
          <w:r>
            <w:rPr>
              <w:rFonts w:hint="default"/>
              <w:lang w:val="en-US" w:eastAsia="zh-CN"/>
            </w:rPr>
            <w:fldChar w:fldCharType="separate"/>
          </w:r>
          <w:r>
            <w:rPr>
              <w:rFonts w:hint="default"/>
            </w:rPr>
            <w:t xml:space="preserve">6.6. </w:t>
          </w:r>
          <w:r>
            <w:t>脆弱性评估</w:t>
          </w:r>
          <w:r>
            <w:tab/>
          </w:r>
          <w:r>
            <w:fldChar w:fldCharType="begin"/>
          </w:r>
          <w:r>
            <w:instrText xml:space="preserve"> PAGEREF _Toc28894 \h </w:instrText>
          </w:r>
          <w:r>
            <w:fldChar w:fldCharType="separate"/>
          </w:r>
          <w:r>
            <w:t>16</w:t>
          </w:r>
          <w:r>
            <w:fldChar w:fldCharType="end"/>
          </w:r>
          <w:r>
            <w:rPr>
              <w:rFonts w:hint="default"/>
              <w:lang w:val="en-US" w:eastAsia="zh-CN"/>
            </w:rPr>
            <w:fldChar w:fldCharType="end"/>
          </w:r>
        </w:p>
        <w:p w14:paraId="4CD940C3">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_Toc30258 </w:instrText>
          </w:r>
          <w:r>
            <w:rPr>
              <w:rFonts w:hint="default"/>
              <w:lang w:val="en-US" w:eastAsia="zh-CN"/>
            </w:rPr>
            <w:fldChar w:fldCharType="separate"/>
          </w:r>
          <w:r>
            <w:rPr>
              <w:rFonts w:hint="default"/>
            </w:rPr>
            <w:t xml:space="preserve">6.7. </w:t>
          </w:r>
          <w:r>
            <w:t>风险评估分析</w:t>
          </w:r>
          <w:r>
            <w:tab/>
          </w:r>
          <w:r>
            <w:fldChar w:fldCharType="begin"/>
          </w:r>
          <w:r>
            <w:instrText xml:space="preserve"> PAGEREF _Toc30258 \h </w:instrText>
          </w:r>
          <w:r>
            <w:fldChar w:fldCharType="separate"/>
          </w:r>
          <w:r>
            <w:t>17</w:t>
          </w:r>
          <w:r>
            <w:fldChar w:fldCharType="end"/>
          </w:r>
          <w:r>
            <w:rPr>
              <w:rFonts w:hint="default"/>
              <w:lang w:val="en-US" w:eastAsia="zh-CN"/>
            </w:rPr>
            <w:fldChar w:fldCharType="end"/>
          </w:r>
        </w:p>
        <w:p w14:paraId="0B46BCE6">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_Toc6526 </w:instrText>
          </w:r>
          <w:r>
            <w:rPr>
              <w:rFonts w:hint="default"/>
              <w:lang w:val="en-US" w:eastAsia="zh-CN"/>
            </w:rPr>
            <w:fldChar w:fldCharType="separate"/>
          </w:r>
          <w:r>
            <w:rPr>
              <w:rFonts w:hint="default"/>
            </w:rPr>
            <w:t xml:space="preserve">6.8. </w:t>
          </w:r>
          <w:r>
            <w:t>设计安全规范</w:t>
          </w:r>
          <w:r>
            <w:tab/>
          </w:r>
          <w:r>
            <w:fldChar w:fldCharType="begin"/>
          </w:r>
          <w:r>
            <w:instrText xml:space="preserve"> PAGEREF _Toc6526 \h </w:instrText>
          </w:r>
          <w:r>
            <w:fldChar w:fldCharType="separate"/>
          </w:r>
          <w:r>
            <w:t>18</w:t>
          </w:r>
          <w:r>
            <w:fldChar w:fldCharType="end"/>
          </w:r>
          <w:r>
            <w:rPr>
              <w:rFonts w:hint="default"/>
              <w:lang w:val="en-US" w:eastAsia="zh-CN"/>
            </w:rPr>
            <w:fldChar w:fldCharType="end"/>
          </w:r>
        </w:p>
        <w:p w14:paraId="33C40C90">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_Toc25137 </w:instrText>
          </w:r>
          <w:r>
            <w:rPr>
              <w:rFonts w:hint="default"/>
              <w:lang w:val="en-US" w:eastAsia="zh-CN"/>
            </w:rPr>
            <w:fldChar w:fldCharType="separate"/>
          </w:r>
          <w:r>
            <w:rPr>
              <w:rFonts w:hint="default"/>
            </w:rPr>
            <w:t xml:space="preserve">6.9. </w:t>
          </w:r>
          <w:r>
            <w:t>实施安全规范</w:t>
          </w:r>
          <w:r>
            <w:tab/>
          </w:r>
          <w:r>
            <w:fldChar w:fldCharType="begin"/>
          </w:r>
          <w:r>
            <w:instrText xml:space="preserve"> PAGEREF _Toc25137 \h </w:instrText>
          </w:r>
          <w:r>
            <w:fldChar w:fldCharType="separate"/>
          </w:r>
          <w:r>
            <w:t>19</w:t>
          </w:r>
          <w:r>
            <w:fldChar w:fldCharType="end"/>
          </w:r>
          <w:r>
            <w:rPr>
              <w:rFonts w:hint="default"/>
              <w:lang w:val="en-US" w:eastAsia="zh-CN"/>
            </w:rPr>
            <w:fldChar w:fldCharType="end"/>
          </w:r>
        </w:p>
        <w:p w14:paraId="6F58E795">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_Toc19203 </w:instrText>
          </w:r>
          <w:r>
            <w:rPr>
              <w:rFonts w:hint="default"/>
              <w:lang w:val="en-US" w:eastAsia="zh-CN"/>
            </w:rPr>
            <w:fldChar w:fldCharType="separate"/>
          </w:r>
          <w:r>
            <w:rPr>
              <w:rFonts w:hint="default"/>
            </w:rPr>
            <w:t xml:space="preserve">6.10. </w:t>
          </w:r>
          <w:r>
            <w:t>监控安全状况</w:t>
          </w:r>
          <w:r>
            <w:tab/>
          </w:r>
          <w:r>
            <w:fldChar w:fldCharType="begin"/>
          </w:r>
          <w:r>
            <w:instrText xml:space="preserve"> PAGEREF _Toc19203 \h </w:instrText>
          </w:r>
          <w:r>
            <w:fldChar w:fldCharType="separate"/>
          </w:r>
          <w:r>
            <w:t>20</w:t>
          </w:r>
          <w:r>
            <w:fldChar w:fldCharType="end"/>
          </w:r>
          <w:r>
            <w:rPr>
              <w:rFonts w:hint="default"/>
              <w:lang w:val="en-US" w:eastAsia="zh-CN"/>
            </w:rPr>
            <w:fldChar w:fldCharType="end"/>
          </w:r>
        </w:p>
        <w:p w14:paraId="76865B60">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_Toc30650 </w:instrText>
          </w:r>
          <w:r>
            <w:rPr>
              <w:rFonts w:hint="default"/>
              <w:lang w:val="en-US" w:eastAsia="zh-CN"/>
            </w:rPr>
            <w:fldChar w:fldCharType="separate"/>
          </w:r>
          <w:r>
            <w:rPr>
              <w:rFonts w:hint="default"/>
            </w:rPr>
            <w:t xml:space="preserve">6.11. </w:t>
          </w:r>
          <w:r>
            <w:t>维护安全规范</w:t>
          </w:r>
          <w:r>
            <w:tab/>
          </w:r>
          <w:r>
            <w:fldChar w:fldCharType="begin"/>
          </w:r>
          <w:r>
            <w:instrText xml:space="preserve"> PAGEREF _Toc30650 \h </w:instrText>
          </w:r>
          <w:r>
            <w:fldChar w:fldCharType="separate"/>
          </w:r>
          <w:r>
            <w:t>20</w:t>
          </w:r>
          <w:r>
            <w:fldChar w:fldCharType="end"/>
          </w:r>
          <w:r>
            <w:rPr>
              <w:rFonts w:hint="default"/>
              <w:lang w:val="en-US" w:eastAsia="zh-CN"/>
            </w:rPr>
            <w:fldChar w:fldCharType="end"/>
          </w:r>
        </w:p>
        <w:p w14:paraId="7B0D348C">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_Toc27707 </w:instrText>
          </w:r>
          <w:r>
            <w:rPr>
              <w:rFonts w:hint="default"/>
              <w:lang w:val="en-US" w:eastAsia="zh-CN"/>
            </w:rPr>
            <w:fldChar w:fldCharType="separate"/>
          </w:r>
          <w:r>
            <w:rPr>
              <w:rFonts w:hint="default"/>
            </w:rPr>
            <w:t xml:space="preserve">6.12. </w:t>
          </w:r>
          <w:r>
            <w:t>风险的处置</w:t>
          </w:r>
          <w:r>
            <w:tab/>
          </w:r>
          <w:r>
            <w:fldChar w:fldCharType="begin"/>
          </w:r>
          <w:r>
            <w:instrText xml:space="preserve"> PAGEREF _Toc27707 \h </w:instrText>
          </w:r>
          <w:r>
            <w:fldChar w:fldCharType="separate"/>
          </w:r>
          <w:r>
            <w:t>21</w:t>
          </w:r>
          <w:r>
            <w:fldChar w:fldCharType="end"/>
          </w:r>
          <w:r>
            <w:rPr>
              <w:rFonts w:hint="default"/>
              <w:lang w:val="en-US" w:eastAsia="zh-CN"/>
            </w:rPr>
            <w:fldChar w:fldCharType="end"/>
          </w:r>
        </w:p>
        <w:p w14:paraId="0EA81799">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_Toc20026 </w:instrText>
          </w:r>
          <w:r>
            <w:rPr>
              <w:rFonts w:hint="default"/>
              <w:lang w:val="en-US" w:eastAsia="zh-CN"/>
            </w:rPr>
            <w:fldChar w:fldCharType="separate"/>
          </w:r>
          <w:r>
            <w:rPr>
              <w:rFonts w:hint="default"/>
            </w:rPr>
            <w:t xml:space="preserve">6.13. </w:t>
          </w:r>
          <w:r>
            <w:t>剩余风险评估</w:t>
          </w:r>
          <w:r>
            <w:tab/>
          </w:r>
          <w:r>
            <w:fldChar w:fldCharType="begin"/>
          </w:r>
          <w:r>
            <w:instrText xml:space="preserve"> PAGEREF _Toc20026 \h </w:instrText>
          </w:r>
          <w:r>
            <w:fldChar w:fldCharType="separate"/>
          </w:r>
          <w:r>
            <w:t>22</w:t>
          </w:r>
          <w:r>
            <w:fldChar w:fldCharType="end"/>
          </w:r>
          <w:r>
            <w:rPr>
              <w:rFonts w:hint="default"/>
              <w:lang w:val="en-US" w:eastAsia="zh-CN"/>
            </w:rPr>
            <w:fldChar w:fldCharType="end"/>
          </w:r>
        </w:p>
        <w:p w14:paraId="60FC4EB2">
          <w:pPr>
            <w:pStyle w:val="25"/>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_Toc7020 </w:instrText>
          </w:r>
          <w:r>
            <w:rPr>
              <w:rFonts w:hint="default"/>
              <w:lang w:val="en-US" w:eastAsia="zh-CN"/>
            </w:rPr>
            <w:fldChar w:fldCharType="separate"/>
          </w:r>
          <w:r>
            <w:rPr>
              <w:rFonts w:hint="default"/>
            </w:rPr>
            <w:t xml:space="preserve">6.14. </w:t>
          </w:r>
          <w:r>
            <w:t>信息安全事件管理</w:t>
          </w:r>
          <w:r>
            <w:tab/>
          </w:r>
          <w:r>
            <w:fldChar w:fldCharType="begin"/>
          </w:r>
          <w:r>
            <w:instrText xml:space="preserve"> PAGEREF _Toc7020 \h </w:instrText>
          </w:r>
          <w:r>
            <w:fldChar w:fldCharType="separate"/>
          </w:r>
          <w:r>
            <w:t>22</w:t>
          </w:r>
          <w:r>
            <w:fldChar w:fldCharType="end"/>
          </w:r>
          <w:r>
            <w:rPr>
              <w:rFonts w:hint="default"/>
              <w:lang w:val="en-US" w:eastAsia="zh-CN"/>
            </w:rPr>
            <w:fldChar w:fldCharType="end"/>
          </w:r>
        </w:p>
        <w:p w14:paraId="097D1446">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_Toc1339 </w:instrText>
          </w:r>
          <w:r>
            <w:rPr>
              <w:rFonts w:hint="default"/>
              <w:lang w:val="en-US" w:eastAsia="zh-CN"/>
            </w:rPr>
            <w:fldChar w:fldCharType="separate"/>
          </w:r>
          <w:r>
            <w:rPr>
              <w:rFonts w:hint="default"/>
            </w:rPr>
            <w:t xml:space="preserve">7. </w:t>
          </w:r>
          <w:r>
            <w:t>信息安全与其他流程的关系</w:t>
          </w:r>
          <w:r>
            <w:tab/>
          </w:r>
          <w:r>
            <w:fldChar w:fldCharType="begin"/>
          </w:r>
          <w:r>
            <w:instrText xml:space="preserve"> PAGEREF _Toc1339 \h </w:instrText>
          </w:r>
          <w:r>
            <w:fldChar w:fldCharType="separate"/>
          </w:r>
          <w:r>
            <w:t>23</w:t>
          </w:r>
          <w:r>
            <w:fldChar w:fldCharType="end"/>
          </w:r>
          <w:r>
            <w:rPr>
              <w:rFonts w:hint="default"/>
              <w:lang w:val="en-US" w:eastAsia="zh-CN"/>
            </w:rPr>
            <w:fldChar w:fldCharType="end"/>
          </w:r>
        </w:p>
        <w:p w14:paraId="44EA3CBE">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_Toc4810 </w:instrText>
          </w:r>
          <w:r>
            <w:rPr>
              <w:rFonts w:hint="default"/>
              <w:lang w:val="en-US" w:eastAsia="zh-CN"/>
            </w:rPr>
            <w:fldChar w:fldCharType="separate"/>
          </w:r>
          <w:r>
            <w:rPr>
              <w:rFonts w:hint="default"/>
            </w:rPr>
            <w:t xml:space="preserve">8. </w:t>
          </w:r>
          <w:r>
            <w:t>KPI 指标</w:t>
          </w:r>
          <w:r>
            <w:tab/>
          </w:r>
          <w:r>
            <w:fldChar w:fldCharType="begin"/>
          </w:r>
          <w:r>
            <w:instrText xml:space="preserve"> PAGEREF _Toc4810 \h </w:instrText>
          </w:r>
          <w:r>
            <w:fldChar w:fldCharType="separate"/>
          </w:r>
          <w:r>
            <w:t>24</w:t>
          </w:r>
          <w:r>
            <w:fldChar w:fldCharType="end"/>
          </w:r>
          <w:r>
            <w:rPr>
              <w:rFonts w:hint="default"/>
              <w:lang w:val="en-US" w:eastAsia="zh-CN"/>
            </w:rPr>
            <w:fldChar w:fldCharType="end"/>
          </w:r>
        </w:p>
        <w:p w14:paraId="7ED9D2F5">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_Toc2963 </w:instrText>
          </w:r>
          <w:r>
            <w:rPr>
              <w:rFonts w:hint="default"/>
              <w:lang w:val="en-US" w:eastAsia="zh-CN"/>
            </w:rPr>
            <w:fldChar w:fldCharType="separate"/>
          </w:r>
          <w:r>
            <w:rPr>
              <w:rFonts w:hint="default"/>
            </w:rPr>
            <w:t xml:space="preserve">9. </w:t>
          </w:r>
          <w:r>
            <w:t>相关文件</w:t>
          </w:r>
          <w:r>
            <w:tab/>
          </w:r>
          <w:r>
            <w:fldChar w:fldCharType="begin"/>
          </w:r>
          <w:r>
            <w:instrText xml:space="preserve"> PAGEREF _Toc2963 \h </w:instrText>
          </w:r>
          <w:r>
            <w:fldChar w:fldCharType="separate"/>
          </w:r>
          <w:r>
            <w:t>24</w:t>
          </w:r>
          <w:r>
            <w:fldChar w:fldCharType="end"/>
          </w:r>
          <w:r>
            <w:rPr>
              <w:rFonts w:hint="default"/>
              <w:lang w:val="en-US" w:eastAsia="zh-CN"/>
            </w:rPr>
            <w:fldChar w:fldCharType="end"/>
          </w:r>
        </w:p>
        <w:p w14:paraId="22340257">
          <w:pPr>
            <w:pStyle w:val="22"/>
            <w:keepNext w:val="0"/>
            <w:keepLines w:val="0"/>
            <w:pageBreakBefore w:val="0"/>
            <w:widowControl w:val="0"/>
            <w:tabs>
              <w:tab w:val="right" w:leader="dot" w:pos="8305"/>
            </w:tabs>
            <w:kinsoku w:val="0"/>
            <w:wordWrap/>
            <w:overflowPunct/>
            <w:topLinePunct w:val="0"/>
            <w:autoSpaceDE w:val="0"/>
            <w:autoSpaceDN w:val="0"/>
            <w:bidi w:val="0"/>
            <w:adjustRightInd w:val="0"/>
            <w:snapToGrid w:val="0"/>
            <w:textAlignment w:val="baseline"/>
          </w:pPr>
          <w:r>
            <w:rPr>
              <w:rFonts w:hint="default"/>
              <w:lang w:val="en-US" w:eastAsia="zh-CN"/>
            </w:rPr>
            <w:fldChar w:fldCharType="begin"/>
          </w:r>
          <w:r>
            <w:rPr>
              <w:rFonts w:hint="default"/>
              <w:lang w:val="en-US" w:eastAsia="zh-CN"/>
            </w:rPr>
            <w:instrText xml:space="preserve"> HYPERLINK \l _Toc30086 </w:instrText>
          </w:r>
          <w:r>
            <w:rPr>
              <w:rFonts w:hint="default"/>
              <w:lang w:val="en-US" w:eastAsia="zh-CN"/>
            </w:rPr>
            <w:fldChar w:fldCharType="separate"/>
          </w:r>
          <w:r>
            <w:rPr>
              <w:rFonts w:hint="default"/>
            </w:rPr>
            <w:t xml:space="preserve">10. </w:t>
          </w:r>
          <w:r>
            <w:t>相关记录</w:t>
          </w:r>
          <w:r>
            <w:tab/>
          </w:r>
          <w:r>
            <w:fldChar w:fldCharType="begin"/>
          </w:r>
          <w:r>
            <w:instrText xml:space="preserve"> PAGEREF _Toc30086 \h </w:instrText>
          </w:r>
          <w:r>
            <w:fldChar w:fldCharType="separate"/>
          </w:r>
          <w:r>
            <w:t>24</w:t>
          </w:r>
          <w:r>
            <w:fldChar w:fldCharType="end"/>
          </w:r>
          <w:r>
            <w:rPr>
              <w:rFonts w:hint="default"/>
              <w:lang w:val="en-US" w:eastAsia="zh-CN"/>
            </w:rPr>
            <w:fldChar w:fldCharType="end"/>
          </w:r>
        </w:p>
        <w:p w14:paraId="35A470D0">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4"/>
              <w:szCs w:val="21"/>
              <w:lang w:val="en-US" w:eastAsia="zh-CN" w:bidi="ar-SA"/>
            </w:rPr>
          </w:pPr>
          <w:r>
            <w:rPr>
              <w:rFonts w:hint="default"/>
              <w:lang w:val="en-US" w:eastAsia="zh-CN"/>
            </w:rPr>
            <w:fldChar w:fldCharType="end"/>
          </w:r>
        </w:p>
      </w:sdtContent>
    </w:sdt>
    <w:p w14:paraId="626523BF">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4"/>
          <w:szCs w:val="21"/>
          <w:lang w:val="en-US" w:eastAsia="zh-CN" w:bidi="ar-SA"/>
        </w:rPr>
      </w:pPr>
    </w:p>
    <w:p w14:paraId="0FAD56A8">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bookmarkEnd w:id="1"/>
      <w:bookmarkStart w:id="7" w:name="_Toc21615"/>
      <w:r>
        <w:t>目的</w:t>
      </w:r>
      <w:bookmarkEnd w:id="7"/>
    </w:p>
    <w:p w14:paraId="4A86868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本程序的目的是在运维服务交付过程中有效的管理信息安全。</w:t>
      </w:r>
    </w:p>
    <w:p w14:paraId="3BF3C4E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满足信息管理系统运行和客户服务中的安全性需求以及合同、法律和外部政策等外部要求；</w:t>
      </w:r>
    </w:p>
    <w:p w14:paraId="053DB73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提供一个满足需求的基本的信息系统安全基线；</w:t>
      </w:r>
    </w:p>
    <w:p w14:paraId="5C07361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确保有效的信息安全措施在公司、运维服务部门和服务人员三个层面都得到贯彻。</w:t>
      </w:r>
    </w:p>
    <w:p w14:paraId="299E892B">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3"/>
      <w:bookmarkStart w:id="9" w:name="_Toc6375"/>
      <w:r>
        <w:t>过程定义</w:t>
      </w:r>
      <w:bookmarkEnd w:id="8"/>
      <w:bookmarkEnd w:id="9"/>
    </w:p>
    <w:p w14:paraId="4971378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安全管理是顺应信息安全的需要而产生的，其主要目标是确保信息的安全性。安全管理致力于确保服务的安全性在任何时候都能达到与客户约定的级别。</w:t>
      </w:r>
    </w:p>
    <w:p w14:paraId="6760D76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安全性在服务中被视为可用性管理的一部分。安全管理已经成为现代服务管理中一个重要的问题。</w:t>
      </w:r>
    </w:p>
    <w:p w14:paraId="64AF429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安全性是指不易遭到已知风险的侵袭，并且尽可能地规避未知风险的性能。提供这种性能的工具是安全措施。</w:t>
      </w:r>
    </w:p>
    <w:p w14:paraId="7215241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安全措施的目标是要保护信息的价值，这种价值取决于机密性、完整性和可用性三个方面。</w:t>
      </w:r>
    </w:p>
    <w:p w14:paraId="4E4E633B">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4"/>
      <w:bookmarkStart w:id="11" w:name="_Toc1523"/>
      <w:r>
        <w:t>范围</w:t>
      </w:r>
      <w:bookmarkEnd w:id="10"/>
      <w:bookmarkEnd w:id="11"/>
    </w:p>
    <w:p w14:paraId="528C99F7">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本程序适用于运维服务覆盖的所有部门。</w:t>
      </w:r>
    </w:p>
    <w:p w14:paraId="1D04A627">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5"/>
      <w:bookmarkStart w:id="13" w:name="_Toc10401"/>
      <w:r>
        <w:t>过程负责人</w:t>
      </w:r>
      <w:bookmarkEnd w:id="12"/>
      <w:bookmarkEnd w:id="13"/>
    </w:p>
    <w:p w14:paraId="57B95D3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安全管理负责人</w:t>
      </w:r>
    </w:p>
    <w:p w14:paraId="669CBAE1">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6"/>
      <w:bookmarkStart w:id="15" w:name="_Toc30609"/>
      <w:r>
        <w:t>主要输入</w:t>
      </w:r>
      <w:bookmarkEnd w:id="14"/>
      <w:bookmarkEnd w:id="15"/>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808"/>
      </w:tblGrid>
      <w:tr w14:paraId="1565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235C711">
            <w:pPr>
              <w:keepNext w:val="0"/>
              <w:keepLines w:val="0"/>
              <w:pageBreakBefore w:val="0"/>
              <w:widowControl w:val="0"/>
              <w:kinsoku w:val="0"/>
              <w:wordWrap/>
              <w:overflowPunct/>
              <w:topLinePunct w:val="0"/>
              <w:autoSpaceDE w:val="0"/>
              <w:autoSpaceDN w:val="0"/>
              <w:bidi w:val="0"/>
              <w:adjustRightInd w:val="0"/>
              <w:snapToGrid w:val="0"/>
              <w:textAlignment w:val="baseline"/>
            </w:pPr>
            <w:r>
              <w:t>输入</w:t>
            </w:r>
          </w:p>
        </w:tc>
        <w:tc>
          <w:tcPr>
            <w:tcW w:w="3808" w:type="dxa"/>
            <w:tcMar>
              <w:top w:w="60" w:type="dxa"/>
              <w:left w:w="120" w:type="dxa"/>
              <w:bottom w:w="30" w:type="dxa"/>
              <w:right w:w="120" w:type="dxa"/>
            </w:tcMar>
          </w:tcPr>
          <w:p w14:paraId="4CA24B19">
            <w:pPr>
              <w:keepNext w:val="0"/>
              <w:keepLines w:val="0"/>
              <w:pageBreakBefore w:val="0"/>
              <w:widowControl w:val="0"/>
              <w:kinsoku w:val="0"/>
              <w:wordWrap/>
              <w:overflowPunct/>
              <w:topLinePunct w:val="0"/>
              <w:autoSpaceDE w:val="0"/>
              <w:autoSpaceDN w:val="0"/>
              <w:bidi w:val="0"/>
              <w:adjustRightInd w:val="0"/>
              <w:snapToGrid w:val="0"/>
              <w:textAlignment w:val="baseline"/>
            </w:pPr>
            <w:r>
              <w:t>来源</w:t>
            </w:r>
          </w:p>
        </w:tc>
      </w:tr>
      <w:tr w14:paraId="597D3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6" w:hRule="atLeast"/>
        </w:trPr>
        <w:tc>
          <w:tcPr>
            <w:tcW w:w="3000" w:type="dxa"/>
            <w:tcMar>
              <w:top w:w="60" w:type="dxa"/>
              <w:left w:w="120" w:type="dxa"/>
              <w:bottom w:w="30" w:type="dxa"/>
              <w:right w:w="120" w:type="dxa"/>
            </w:tcMar>
          </w:tcPr>
          <w:p w14:paraId="2665C3B7">
            <w:pPr>
              <w:keepNext w:val="0"/>
              <w:keepLines w:val="0"/>
              <w:pageBreakBefore w:val="0"/>
              <w:widowControl w:val="0"/>
              <w:kinsoku w:val="0"/>
              <w:wordWrap/>
              <w:overflowPunct/>
              <w:topLinePunct w:val="0"/>
              <w:autoSpaceDE w:val="0"/>
              <w:autoSpaceDN w:val="0"/>
              <w:bidi w:val="0"/>
              <w:adjustRightInd w:val="0"/>
              <w:snapToGrid w:val="0"/>
              <w:textAlignment w:val="baseline"/>
            </w:pPr>
            <w:r>
              <w:t>服务级别需求</w:t>
            </w:r>
          </w:p>
        </w:tc>
        <w:tc>
          <w:tcPr>
            <w:tcW w:w="3808" w:type="dxa"/>
            <w:tcMar>
              <w:top w:w="60" w:type="dxa"/>
              <w:left w:w="120" w:type="dxa"/>
              <w:bottom w:w="30" w:type="dxa"/>
              <w:right w:w="120" w:type="dxa"/>
            </w:tcMar>
          </w:tcPr>
          <w:p w14:paraId="0671FA38">
            <w:pPr>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w:t>
            </w:r>
          </w:p>
        </w:tc>
      </w:tr>
      <w:tr w14:paraId="479AD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3333F1F">
            <w:pPr>
              <w:keepNext w:val="0"/>
              <w:keepLines w:val="0"/>
              <w:pageBreakBefore w:val="0"/>
              <w:widowControl w:val="0"/>
              <w:kinsoku w:val="0"/>
              <w:wordWrap/>
              <w:overflowPunct/>
              <w:topLinePunct w:val="0"/>
              <w:autoSpaceDE w:val="0"/>
              <w:autoSpaceDN w:val="0"/>
              <w:bidi w:val="0"/>
              <w:adjustRightInd w:val="0"/>
              <w:snapToGrid w:val="0"/>
              <w:textAlignment w:val="baseline"/>
            </w:pPr>
            <w:r>
              <w:t>配置管理</w:t>
            </w:r>
          </w:p>
        </w:tc>
        <w:tc>
          <w:tcPr>
            <w:tcW w:w="3808" w:type="dxa"/>
            <w:tcMar>
              <w:top w:w="60" w:type="dxa"/>
              <w:left w:w="120" w:type="dxa"/>
              <w:bottom w:w="30" w:type="dxa"/>
              <w:right w:w="120" w:type="dxa"/>
            </w:tcMar>
          </w:tcPr>
          <w:p w14:paraId="06DF60A0">
            <w:pPr>
              <w:keepNext w:val="0"/>
              <w:keepLines w:val="0"/>
              <w:pageBreakBefore w:val="0"/>
              <w:widowControl w:val="0"/>
              <w:kinsoku w:val="0"/>
              <w:wordWrap/>
              <w:overflowPunct/>
              <w:topLinePunct w:val="0"/>
              <w:autoSpaceDE w:val="0"/>
              <w:autoSpaceDN w:val="0"/>
              <w:bidi w:val="0"/>
              <w:adjustRightInd w:val="0"/>
              <w:snapToGrid w:val="0"/>
              <w:textAlignment w:val="baseline"/>
            </w:pPr>
            <w:r>
              <w:t>系统的配置项，记录和报告配置。</w:t>
            </w:r>
          </w:p>
        </w:tc>
      </w:tr>
    </w:tbl>
    <w:p w14:paraId="1F45E77E">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7"/>
      <w:bookmarkStart w:id="17" w:name="_Toc18567"/>
      <w:r>
        <w:t>主要输出</w:t>
      </w:r>
      <w:bookmarkEnd w:id="16"/>
      <w:bookmarkEnd w:id="17"/>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8"/>
        <w:gridCol w:w="4352"/>
      </w:tblGrid>
      <w:tr w14:paraId="5F5B7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03F54798">
            <w:pPr>
              <w:keepNext w:val="0"/>
              <w:keepLines w:val="0"/>
              <w:pageBreakBefore w:val="0"/>
              <w:widowControl w:val="0"/>
              <w:kinsoku w:val="0"/>
              <w:wordWrap/>
              <w:overflowPunct/>
              <w:topLinePunct w:val="0"/>
              <w:autoSpaceDE w:val="0"/>
              <w:autoSpaceDN w:val="0"/>
              <w:bidi w:val="0"/>
              <w:adjustRightInd w:val="0"/>
              <w:snapToGrid w:val="0"/>
              <w:textAlignment w:val="baseline"/>
            </w:pPr>
            <w:r>
              <w:t>输出</w:t>
            </w:r>
          </w:p>
        </w:tc>
        <w:tc>
          <w:tcPr>
            <w:tcW w:w="4352" w:type="dxa"/>
            <w:tcMar>
              <w:top w:w="60" w:type="dxa"/>
              <w:left w:w="120" w:type="dxa"/>
              <w:bottom w:w="30" w:type="dxa"/>
              <w:right w:w="120" w:type="dxa"/>
            </w:tcMar>
          </w:tcPr>
          <w:p w14:paraId="0199E79E">
            <w:pPr>
              <w:keepNext w:val="0"/>
              <w:keepLines w:val="0"/>
              <w:pageBreakBefore w:val="0"/>
              <w:widowControl w:val="0"/>
              <w:kinsoku w:val="0"/>
              <w:wordWrap/>
              <w:overflowPunct/>
              <w:topLinePunct w:val="0"/>
              <w:autoSpaceDE w:val="0"/>
              <w:autoSpaceDN w:val="0"/>
              <w:bidi w:val="0"/>
              <w:adjustRightInd w:val="0"/>
              <w:snapToGrid w:val="0"/>
              <w:textAlignment w:val="baseline"/>
            </w:pPr>
            <w:r>
              <w:t>去向</w:t>
            </w:r>
          </w:p>
        </w:tc>
      </w:tr>
      <w:tr w14:paraId="33C32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24B8DE81">
            <w:pPr>
              <w:keepNext w:val="0"/>
              <w:keepLines w:val="0"/>
              <w:pageBreakBefore w:val="0"/>
              <w:widowControl w:val="0"/>
              <w:kinsoku w:val="0"/>
              <w:wordWrap/>
              <w:overflowPunct/>
              <w:topLinePunct w:val="0"/>
              <w:autoSpaceDE w:val="0"/>
              <w:autoSpaceDN w:val="0"/>
              <w:bidi w:val="0"/>
              <w:adjustRightInd w:val="0"/>
              <w:snapToGrid w:val="0"/>
              <w:textAlignment w:val="baseline"/>
            </w:pPr>
            <w:r>
              <w:t>风险评估报告</w:t>
            </w:r>
          </w:p>
        </w:tc>
        <w:tc>
          <w:tcPr>
            <w:tcW w:w="4352" w:type="dxa"/>
            <w:tcMar>
              <w:top w:w="60" w:type="dxa"/>
              <w:left w:w="120" w:type="dxa"/>
              <w:bottom w:w="30" w:type="dxa"/>
              <w:right w:w="120" w:type="dxa"/>
            </w:tcMar>
          </w:tcPr>
          <w:p w14:paraId="3EA50B4B">
            <w:pPr>
              <w:keepNext w:val="0"/>
              <w:keepLines w:val="0"/>
              <w:pageBreakBefore w:val="0"/>
              <w:widowControl w:val="0"/>
              <w:kinsoku w:val="0"/>
              <w:wordWrap/>
              <w:overflowPunct/>
              <w:topLinePunct w:val="0"/>
              <w:autoSpaceDE w:val="0"/>
              <w:autoSpaceDN w:val="0"/>
              <w:bidi w:val="0"/>
              <w:adjustRightInd w:val="0"/>
              <w:snapToGrid w:val="0"/>
              <w:textAlignment w:val="baseline"/>
            </w:pPr>
            <w:r>
              <w:t>信息安全管理负责人、部门经理。</w:t>
            </w:r>
          </w:p>
        </w:tc>
      </w:tr>
      <w:tr w14:paraId="79DB1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06324137">
            <w:pPr>
              <w:keepNext w:val="0"/>
              <w:keepLines w:val="0"/>
              <w:pageBreakBefore w:val="0"/>
              <w:widowControl w:val="0"/>
              <w:kinsoku w:val="0"/>
              <w:wordWrap/>
              <w:overflowPunct/>
              <w:topLinePunct w:val="0"/>
              <w:autoSpaceDE w:val="0"/>
              <w:autoSpaceDN w:val="0"/>
              <w:bidi w:val="0"/>
              <w:adjustRightInd w:val="0"/>
              <w:snapToGrid w:val="0"/>
              <w:textAlignment w:val="baseline"/>
            </w:pPr>
            <w:r>
              <w:t>信息安全报告</w:t>
            </w:r>
          </w:p>
        </w:tc>
        <w:tc>
          <w:tcPr>
            <w:tcW w:w="4352" w:type="dxa"/>
            <w:tcMar>
              <w:top w:w="60" w:type="dxa"/>
              <w:left w:w="120" w:type="dxa"/>
              <w:bottom w:w="30" w:type="dxa"/>
              <w:right w:w="120" w:type="dxa"/>
            </w:tcMar>
          </w:tcPr>
          <w:p w14:paraId="25AC8E26">
            <w:pPr>
              <w:keepNext w:val="0"/>
              <w:keepLines w:val="0"/>
              <w:pageBreakBefore w:val="0"/>
              <w:widowControl w:val="0"/>
              <w:kinsoku w:val="0"/>
              <w:wordWrap/>
              <w:overflowPunct/>
              <w:topLinePunct w:val="0"/>
              <w:autoSpaceDE w:val="0"/>
              <w:autoSpaceDN w:val="0"/>
              <w:bidi w:val="0"/>
              <w:adjustRightInd w:val="0"/>
              <w:snapToGrid w:val="0"/>
              <w:textAlignment w:val="baseline"/>
            </w:pPr>
            <w:r>
              <w:t>信息安全管理负责人、部门经理。</w:t>
            </w:r>
          </w:p>
        </w:tc>
      </w:tr>
      <w:tr w14:paraId="2239C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306D2FE2">
            <w:pPr>
              <w:keepNext w:val="0"/>
              <w:keepLines w:val="0"/>
              <w:pageBreakBefore w:val="0"/>
              <w:widowControl w:val="0"/>
              <w:kinsoku w:val="0"/>
              <w:wordWrap/>
              <w:overflowPunct/>
              <w:topLinePunct w:val="0"/>
              <w:autoSpaceDE w:val="0"/>
              <w:autoSpaceDN w:val="0"/>
              <w:bidi w:val="0"/>
              <w:adjustRightInd w:val="0"/>
              <w:snapToGrid w:val="0"/>
              <w:textAlignment w:val="baseline"/>
            </w:pPr>
            <w:r>
              <w:t>变更管理</w:t>
            </w:r>
          </w:p>
        </w:tc>
        <w:tc>
          <w:tcPr>
            <w:tcW w:w="4352" w:type="dxa"/>
            <w:tcMar>
              <w:top w:w="60" w:type="dxa"/>
              <w:left w:w="120" w:type="dxa"/>
              <w:bottom w:w="30" w:type="dxa"/>
              <w:right w:w="120" w:type="dxa"/>
            </w:tcMar>
          </w:tcPr>
          <w:p w14:paraId="5966F8F1">
            <w:pPr>
              <w:keepNext w:val="0"/>
              <w:keepLines w:val="0"/>
              <w:pageBreakBefore w:val="0"/>
              <w:widowControl w:val="0"/>
              <w:kinsoku w:val="0"/>
              <w:wordWrap/>
              <w:overflowPunct/>
              <w:topLinePunct w:val="0"/>
              <w:autoSpaceDE w:val="0"/>
              <w:autoSpaceDN w:val="0"/>
              <w:bidi w:val="0"/>
              <w:adjustRightInd w:val="0"/>
              <w:snapToGrid w:val="0"/>
              <w:textAlignment w:val="baseline"/>
            </w:pPr>
            <w:r>
              <w:t>服务实施过程中，服务交付过程的主要步骤。</w:t>
            </w:r>
          </w:p>
        </w:tc>
      </w:tr>
      <w:tr w14:paraId="729FE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17377353">
            <w:pPr>
              <w:keepNext w:val="0"/>
              <w:keepLines w:val="0"/>
              <w:pageBreakBefore w:val="0"/>
              <w:widowControl w:val="0"/>
              <w:kinsoku w:val="0"/>
              <w:wordWrap/>
              <w:overflowPunct/>
              <w:topLinePunct w:val="0"/>
              <w:autoSpaceDE w:val="0"/>
              <w:autoSpaceDN w:val="0"/>
              <w:bidi w:val="0"/>
              <w:adjustRightInd w:val="0"/>
              <w:snapToGrid w:val="0"/>
              <w:textAlignment w:val="baseline"/>
            </w:pPr>
            <w:r>
              <w:t>服务报告管理</w:t>
            </w:r>
          </w:p>
        </w:tc>
        <w:tc>
          <w:tcPr>
            <w:tcW w:w="4352" w:type="dxa"/>
            <w:tcMar>
              <w:top w:w="60" w:type="dxa"/>
              <w:left w:w="120" w:type="dxa"/>
              <w:bottom w:w="30" w:type="dxa"/>
              <w:right w:w="120" w:type="dxa"/>
            </w:tcMar>
          </w:tcPr>
          <w:p w14:paraId="37769BB6">
            <w:pPr>
              <w:keepNext w:val="0"/>
              <w:keepLines w:val="0"/>
              <w:pageBreakBefore w:val="0"/>
              <w:widowControl w:val="0"/>
              <w:kinsoku w:val="0"/>
              <w:wordWrap/>
              <w:overflowPunct/>
              <w:topLinePunct w:val="0"/>
              <w:autoSpaceDE w:val="0"/>
              <w:autoSpaceDN w:val="0"/>
              <w:bidi w:val="0"/>
              <w:adjustRightInd w:val="0"/>
              <w:snapToGrid w:val="0"/>
              <w:textAlignment w:val="baseline"/>
            </w:pPr>
            <w:r>
              <w:t>服务实施过程中，服务交付过程的主要步骤。</w:t>
            </w:r>
          </w:p>
        </w:tc>
      </w:tr>
    </w:tbl>
    <w:p w14:paraId="0A788401">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8"/>
      <w:bookmarkStart w:id="19" w:name="_Toc13382"/>
      <w:r>
        <w:t>职责权限</w:t>
      </w:r>
      <w:bookmarkEnd w:id="18"/>
      <w:bookmarkEnd w:id="19"/>
    </w:p>
    <w:p w14:paraId="071E14C2">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9799"/>
      <w:r>
        <w:t>安全管理负责人</w:t>
      </w:r>
      <w:r>
        <w:rPr>
          <w:rFonts w:hint="eastAsia"/>
          <w:lang w:eastAsia="zh-CN"/>
        </w:rPr>
        <w:t>（</w:t>
      </w:r>
      <w:r>
        <w:rPr>
          <w:rFonts w:hint="eastAsia"/>
          <w:lang w:val="en-US" w:eastAsia="zh-CN"/>
        </w:rPr>
        <w:t>信息安全管理员</w:t>
      </w:r>
      <w:r>
        <w:rPr>
          <w:rFonts w:hint="eastAsia"/>
          <w:lang w:eastAsia="zh-CN"/>
        </w:rPr>
        <w:t>）</w:t>
      </w:r>
      <w:bookmarkEnd w:id="20"/>
    </w:p>
    <w:p w14:paraId="69F5334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一般由项目经理担任，</w:t>
      </w:r>
      <w:r>
        <w:t>负责整个安全管理流程的有效运作。</w:t>
      </w:r>
    </w:p>
    <w:p w14:paraId="1D39F32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安全管理负责人职责：</w:t>
      </w:r>
    </w:p>
    <w:p w14:paraId="24BD511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监控安全管理流程；</w:t>
      </w:r>
    </w:p>
    <w:p w14:paraId="44A545F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根据组织安全需求，开发与维护安全计划；</w:t>
      </w:r>
    </w:p>
    <w:p w14:paraId="14DDB74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处理与安全相关的问题和事件；</w:t>
      </w:r>
    </w:p>
    <w:p w14:paraId="21410CD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确保满足SLA中指定的安全需求；</w:t>
      </w:r>
    </w:p>
    <w:p w14:paraId="6572D81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完成包含流程结果，自评估及内部审计的信息安全风险评估报告；</w:t>
      </w:r>
    </w:p>
    <w:p w14:paraId="30B147A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人员组成：信息安全员管理员、部门经理等。</w:t>
      </w:r>
    </w:p>
    <w:p w14:paraId="35A07C79">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7574"/>
      <w:r>
        <w:t>客户服务负责人</w:t>
      </w:r>
      <w:bookmarkEnd w:id="21"/>
    </w:p>
    <w:p w14:paraId="63CFF6F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一般由运维工程师担任</w:t>
      </w:r>
      <w:r>
        <w:t>负责安排项目中的信息安全风险评估；</w:t>
      </w:r>
    </w:p>
    <w:p w14:paraId="455A26F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做好用户的沟通，协调关于信息安全的问题。</w:t>
      </w:r>
    </w:p>
    <w:p w14:paraId="1889EB56">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9"/>
      <w:bookmarkStart w:id="23" w:name="_Toc20707"/>
      <w:r>
        <w:t>过程重要控制点</w:t>
      </w:r>
      <w:bookmarkEnd w:id="22"/>
      <w:bookmarkEnd w:id="23"/>
    </w:p>
    <w:p w14:paraId="1680DF4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风险评估报告。</w:t>
      </w:r>
    </w:p>
    <w:p w14:paraId="289236E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信息安全管理规范。</w:t>
      </w:r>
    </w:p>
    <w:p w14:paraId="1F764A6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安全事件记录。</w:t>
      </w:r>
    </w:p>
    <w:p w14:paraId="498E9B06">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0"/>
      <w:bookmarkStart w:id="25" w:name="_Toc26786"/>
      <w:r>
        <w:t>过程测量指标</w:t>
      </w:r>
      <w:bookmarkEnd w:id="24"/>
      <w:bookmarkEnd w:id="25"/>
    </w:p>
    <w:p w14:paraId="70DDD71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安全事件次数。</w:t>
      </w:r>
    </w:p>
    <w:p w14:paraId="77D14CCE">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1"/>
      <w:bookmarkStart w:id="27" w:name="_Toc29486"/>
      <w:r>
        <w:t>术语</w:t>
      </w:r>
      <w:bookmarkEnd w:id="26"/>
      <w:bookmarkEnd w:id="27"/>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058"/>
        <w:gridCol w:w="6390"/>
      </w:tblGrid>
      <w:tr w14:paraId="3D30E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543D56E2">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术语</w:t>
            </w:r>
          </w:p>
        </w:tc>
        <w:tc>
          <w:tcPr>
            <w:tcW w:w="6390" w:type="dxa"/>
            <w:tcMar>
              <w:top w:w="60" w:type="dxa"/>
              <w:left w:w="120" w:type="dxa"/>
              <w:bottom w:w="30" w:type="dxa"/>
              <w:right w:w="120" w:type="dxa"/>
            </w:tcMar>
          </w:tcPr>
          <w:p w14:paraId="19779404">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定义</w:t>
            </w:r>
          </w:p>
        </w:tc>
      </w:tr>
      <w:tr w14:paraId="44576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0BA61B4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机密性</w:t>
            </w:r>
          </w:p>
        </w:tc>
        <w:tc>
          <w:tcPr>
            <w:tcW w:w="6390" w:type="dxa"/>
            <w:tcMar>
              <w:top w:w="60" w:type="dxa"/>
              <w:left w:w="120" w:type="dxa"/>
              <w:bottom w:w="30" w:type="dxa"/>
              <w:right w:w="120" w:type="dxa"/>
            </w:tcMar>
          </w:tcPr>
          <w:p w14:paraId="11B04A5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指保护信息免受未经授权的访问和使用。</w:t>
            </w:r>
          </w:p>
        </w:tc>
      </w:tr>
      <w:tr w14:paraId="7998B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747BFDF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完整性</w:t>
            </w:r>
          </w:p>
        </w:tc>
        <w:tc>
          <w:tcPr>
            <w:tcW w:w="6390" w:type="dxa"/>
            <w:tcMar>
              <w:top w:w="60" w:type="dxa"/>
              <w:left w:w="120" w:type="dxa"/>
              <w:bottom w:w="30" w:type="dxa"/>
              <w:right w:w="120" w:type="dxa"/>
            </w:tcMar>
          </w:tcPr>
          <w:p w14:paraId="51B7DEC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指信息的准确性、完全性和及时性。</w:t>
            </w:r>
          </w:p>
        </w:tc>
      </w:tr>
      <w:tr w14:paraId="433E4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68DD577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可用性</w:t>
            </w:r>
          </w:p>
        </w:tc>
        <w:tc>
          <w:tcPr>
            <w:tcW w:w="6390" w:type="dxa"/>
            <w:tcMar>
              <w:top w:w="60" w:type="dxa"/>
              <w:left w:w="120" w:type="dxa"/>
              <w:bottom w:w="30" w:type="dxa"/>
              <w:right w:w="120" w:type="dxa"/>
            </w:tcMar>
          </w:tcPr>
          <w:p w14:paraId="06DC5CF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是信息在任何约定的时间内都可以被访问。这取决于由信息处理系统所提供的持续性。</w:t>
            </w:r>
          </w:p>
        </w:tc>
      </w:tr>
    </w:tbl>
    <w:p w14:paraId="7829E90D">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3"/>
      <w:bookmarkStart w:id="29" w:name="_Toc2211"/>
      <w:r>
        <w:t>信息安全方针</w:t>
      </w:r>
      <w:bookmarkEnd w:id="28"/>
      <w:bookmarkEnd w:id="29"/>
    </w:p>
    <w:p w14:paraId="63B3CC9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公司信息安全方针为：全员参与、控制风险；积极预防、持续改进；</w:t>
      </w:r>
    </w:p>
    <w:p w14:paraId="1611A1F2">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4"/>
      <w:bookmarkStart w:id="31" w:name="_Toc27050"/>
      <w:r>
        <w:t>信息安全策略</w:t>
      </w:r>
      <w:bookmarkEnd w:id="30"/>
      <w:bookmarkEnd w:id="31"/>
    </w:p>
    <w:p w14:paraId="67CF28D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为了保证信息系统安全保护工作的整体、计划性及规范性， 保证各项措施和管理手段的正确实施，使信息系统信息数据的机密性、完整性及可使用性受到全面、可靠的保护，我们往往需要制定信息系统安全策略。</w:t>
      </w:r>
    </w:p>
    <w:p w14:paraId="2663BE8B">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5"/>
      <w:bookmarkStart w:id="33" w:name="_Toc24657"/>
      <w:r>
        <w:t>信息安全策略定义</w:t>
      </w:r>
      <w:bookmarkEnd w:id="32"/>
      <w:bookmarkEnd w:id="33"/>
    </w:p>
    <w:p w14:paraId="3E80244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信息安全策略是单位内指导本单位及其信息系统如何管理和保护包括敏感信息在内的资产的规则、指南和惯例。</w:t>
      </w:r>
    </w:p>
    <w:p w14:paraId="7A7B475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信息安全策略(Information Security Policies)是组织对信息和信息处理设施进行管理，保护和分配的原则，它告诉组织成员在日常的工作中什么是可以做的，什么是必须做的，什么是不能做的，哪里是安全区，哪里是敏感区，就像交通规则之于车辆和行人，信息安全策略是有关信息安全的行为规范。</w:t>
      </w:r>
    </w:p>
    <w:p w14:paraId="7F655B92">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6"/>
      <w:bookmarkStart w:id="35" w:name="_Toc30039"/>
      <w:r>
        <w:t>信息安全策略内容</w:t>
      </w:r>
      <w:bookmarkEnd w:id="34"/>
      <w:bookmarkEnd w:id="35"/>
    </w:p>
    <w:p w14:paraId="5CE96F56">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7"/>
      <w:bookmarkStart w:id="37" w:name="_Toc14527"/>
      <w:r>
        <w:t>物理安全策略</w:t>
      </w:r>
      <w:bookmarkEnd w:id="36"/>
      <w:bookmarkEnd w:id="37"/>
    </w:p>
    <w:p w14:paraId="4D002A3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旨在保护计算机服务器、数据存贮、系统终端、网络交换等硬件设备免受自然灾害、人为破坏，确保其安全可用。</w:t>
      </w:r>
    </w:p>
    <w:p w14:paraId="7B71B44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制定物理安全策略，要重点关注存放计算机服务器、数据存贮设备、核心网络交换设备的机房的安全防范。其选址与规划建设要遵循 GB9361 计算机场地安全要求和GB2887 计算机场地技术条件，保证恒温、恒湿，防雷、防水、防火、防鼠、防磁、防静电，加装防盗报警装置，提供良好的接地和供电环境，要为核心设备配置与其功耗相匹配的稳压及 UPS 不间断电源。</w:t>
      </w:r>
    </w:p>
    <w:p w14:paraId="0B6C705D">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8"/>
      <w:bookmarkStart w:id="39" w:name="_Toc24265"/>
      <w:r>
        <w:t>网络安全策略</w:t>
      </w:r>
      <w:bookmarkEnd w:id="38"/>
      <w:bookmarkEnd w:id="39"/>
    </w:p>
    <w:p w14:paraId="347F362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旨在防范和抵御网络资源可能受到的攻击，保证网络资源不被非法使用和访问，保护网内流转的数据安全。</w:t>
      </w:r>
    </w:p>
    <w:p w14:paraId="12F24017">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访问控制是维护网络安全、保护网络资源的重要手段，是网络安全核心策略之一。访问控制包括入网访问控制、网络授权控制、目录级安全控制、属性安全控制、网络服务器安全控制、网络监测和锁定控制、网络端口和节点的安全控制以及防火墙控制。安全检查（身份认证）、内容检查也是保护网络安全的有效措施。</w:t>
      </w:r>
    </w:p>
    <w:p w14:paraId="2876A397">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网络加密手段包括链路加密、端点加密和节点加密， 链路加密是保护网络节点之间的链路数据安全，端到端加密是对从源端用户到目的端用户之间传输的数据提供保护，节点加密是对源节点到目的节点之间的传输链路提供保护。另外，数字认证在一定程度上保证了数据交互信息的安全。</w:t>
      </w:r>
    </w:p>
    <w:p w14:paraId="1482045C">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heading_19"/>
      <w:bookmarkStart w:id="41" w:name="_Toc29911"/>
      <w:r>
        <w:t>数据安全策略</w:t>
      </w:r>
      <w:bookmarkEnd w:id="40"/>
      <w:bookmarkEnd w:id="41"/>
    </w:p>
    <w:p w14:paraId="550B208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旨在防止数据被偶然的或故意的非法泄露、变更、破坏， 或是被非法识别和控制，以确保数据完整、保密、可用。数据安全包括数据的存储安全和传输安全两个方面。</w:t>
      </w:r>
    </w:p>
    <w:p w14:paraId="509BBF8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数据的存储安全系指数据存放状态下的安全，包括是否会被非法调用等，可借助数据异地容灾备份、密文存储、设置访问权限、身份识别、局部隔离等策略提高安全防范水平。</w:t>
      </w:r>
    </w:p>
    <w:p w14:paraId="17C9CEBC">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0"/>
      <w:bookmarkStart w:id="43" w:name="_Toc20316"/>
      <w:r>
        <w:t>软件安全策略</w:t>
      </w:r>
      <w:bookmarkEnd w:id="42"/>
      <w:bookmarkEnd w:id="43"/>
    </w:p>
    <w:p w14:paraId="0AA0AE0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旨在防止由于软件质量缺陷或安全漏洞使信息系统被非法控制，或使之性能下降、拒绝服务、停机。软件安全策略分为系统软件安全策略和应用软件安全策略两类。</w:t>
      </w:r>
    </w:p>
    <w:p w14:paraId="2401233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对通用的应用软件，可参照前款作法，通过加强与软件提供商的沟通，及时发现、堵塞安全漏洞。对量身定做的应用软件， 可考虑优选通过质量控制体系认证、富有行业软件开发和市场推广经验的软件公司，加强软件开发质量控制，加强容错设计，安排较长时间的试运行等策略，以规避风险，提高安全防范水平。</w:t>
      </w:r>
    </w:p>
    <w:p w14:paraId="717986BE">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1"/>
      <w:bookmarkStart w:id="45" w:name="_Toc2611"/>
      <w:r>
        <w:t>系统管理策略</w:t>
      </w:r>
      <w:bookmarkEnd w:id="44"/>
      <w:bookmarkEnd w:id="45"/>
    </w:p>
    <w:p w14:paraId="7BE3AB0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旨在加强计算机信息系统运行管理，提高系统安全性、可靠性。</w:t>
      </w:r>
    </w:p>
    <w:p w14:paraId="66ED6DF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要确保系统稳健运行，减少恶意攻击、各类故障带来的负面效应， 有必要建立行之有效的系统运行维护机制和相关制度。比如， 建立健全中心机房管理制度，信息设备操作使用规程，信息系统维护制度，网络通讯管理制度，应急响应制度等等。</w:t>
      </w:r>
    </w:p>
    <w:p w14:paraId="38CDDCB7">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要根据分工，落实系统使用与运行维护工作责任制。加强对相关人员的培训和安全教育，减少因为误操作给系统安全带来的冲击。要妥善保存系统运行、维护资料， 做好相关记录，要定期组织应急演练，以备不时之需。</w:t>
      </w:r>
    </w:p>
    <w:p w14:paraId="196E1C93">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heading_22"/>
      <w:bookmarkStart w:id="47" w:name="_Toc22823"/>
      <w:r>
        <w:t>灾难恢复策略</w:t>
      </w:r>
      <w:bookmarkEnd w:id="46"/>
      <w:bookmarkEnd w:id="47"/>
    </w:p>
    <w:p w14:paraId="081F9F9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旨在趁着系统还在运行的时候，制定一个灾难恢复计划，将灾难带来的损失降低到最小，使系统安全得到保障的策略。</w:t>
      </w:r>
    </w:p>
    <w:p w14:paraId="0859DF8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主要需根据本单位及信息系统的实际情况，研究系统遇到灾害后对业务的影响，设计灾后业务切换办法，如定期备份数据，根据灾难类型，制订灾难恢复流程，建立灾难预警、触发、响应机制， 组织相关培训和练习，适时升级和维护灾难恢复计划等等。</w:t>
      </w:r>
    </w:p>
    <w:p w14:paraId="70934ED2">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heading_23"/>
      <w:bookmarkStart w:id="49" w:name="_Toc4562"/>
      <w:r>
        <w:t>信息安全管理过程描述</w:t>
      </w:r>
      <w:bookmarkEnd w:id="48"/>
      <w:bookmarkEnd w:id="49"/>
    </w:p>
    <w:p w14:paraId="7A94ABA8">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50" w:name="heading_24"/>
      <w:bookmarkStart w:id="51" w:name="_Toc19308"/>
      <w:r>
        <w:t>风险评估计划和过程</w:t>
      </w:r>
      <w:bookmarkEnd w:id="50"/>
      <w:bookmarkEnd w:id="51"/>
    </w:p>
    <w:p w14:paraId="0C240A08">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2" w:name="heading_25"/>
      <w:bookmarkStart w:id="53" w:name="_Toc14142"/>
      <w:r>
        <w:t>评估计划</w:t>
      </w:r>
      <w:bookmarkEnd w:id="52"/>
      <w:bookmarkEnd w:id="53"/>
    </w:p>
    <w:p w14:paraId="3E78461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信息安全风险评估工作共分为 4 个阶段：即准备阶段、识别阶段、分析阶段、规划验收阶段。</w:t>
      </w:r>
    </w:p>
    <w:p w14:paraId="54033A6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准备阶段：主要完成项目组织、项目实施方案确定、组织培训、项目启动的工作。</w:t>
      </w:r>
    </w:p>
    <w:p w14:paraId="783061D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识别阶段：主要完成大量的现场识别工作，主要有资产识别、威胁识别、脆弱性识别、安全措施识别。</w:t>
      </w:r>
    </w:p>
    <w:p w14:paraId="6E6BCDD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分析阶段：在识别的基础上进行大量整理并分析，得出风险评估各要素的风险状况，具体有资产影响分析、威胁分析、脆弱性分析、综合风险分析。</w:t>
      </w:r>
    </w:p>
    <w:p w14:paraId="47EA7F4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规划验收阶段：对综合风险进行梳理分析，制定风险控制规划和改进计划，完成风险评估。</w:t>
      </w:r>
    </w:p>
    <w:p w14:paraId="36D75367">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heading_26"/>
      <w:bookmarkStart w:id="55" w:name="_Toc8083"/>
      <w:r>
        <w:t>评估过程</w:t>
      </w:r>
      <w:bookmarkEnd w:id="54"/>
      <w:bookmarkEnd w:id="55"/>
    </w:p>
    <w:p w14:paraId="51016AC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现场评估工作主要分 5 个阶段：</w:t>
      </w:r>
    </w:p>
    <w:p w14:paraId="4ED9D1E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第一阶段：网络设备资产调查和拓扑调查。获取信息系统现有网络设备资产和网络链路情况相关资料，进行现场核对，发现存在的偏差，及时和网管员沟通确认，最终根据信息资产调查的全面结果，形成网络设备资产列表和网络拓扑图。</w:t>
      </w:r>
    </w:p>
    <w:p w14:paraId="0D04620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第二阶段：对信息系统内所有服务器资产进行识别，确定评估对象外的与之相关联的资产作为最终评估对象，然后根据评估的资产在业务和应用流程中的重要程序为资产进行估价。</w:t>
      </w:r>
    </w:p>
    <w:p w14:paraId="5463366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第三阶段：网络和安全设备测评和网络结构测评。根据资产调查结果和网络拓扑分析，确定本次项目网络和安全设备评估范围。依据确定的网络和安全设备测评范围，开展网络设备现场测评工作。网络和安全设备测评过程中，由网络管理人员输入相关设备密码，评估人员依据测评表的内容，进行现场核查，同时记录核查结果和操作内容，为后期网络设备安全性分析提供有利依据。</w:t>
      </w:r>
    </w:p>
    <w:p w14:paraId="1D7B19A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第四阶段：主机系统、应用系统和存储数据备份的测评。 在确定最终评估对象的资产识别和估价完成后，根据实际的系统和应用系统确定与之相应的评测表。主机测评过程中，由系统管理人员输入相关设备密码，评估人员依据测评表的内容，进行现场核查，同时记录核查结果和操作内容，为后期主机设备安全性分析提供有利依据。</w:t>
      </w:r>
    </w:p>
    <w:p w14:paraId="142B7C4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第五阶段：系统漏洞扫描，主要针对网络设备、安全设备、服务器、 PC 终端的漏洞扫描，并形成漏洞扫描报告。</w:t>
      </w:r>
    </w:p>
    <w:p w14:paraId="6322CAE8">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56" w:name="heading_28"/>
      <w:bookmarkStart w:id="57" w:name="_Toc16932"/>
      <w:r>
        <w:t>评估方法和工具</w:t>
      </w:r>
      <w:bookmarkEnd w:id="56"/>
      <w:bookmarkEnd w:id="57"/>
    </w:p>
    <w:p w14:paraId="55BCDE1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我们主要参考</w:t>
      </w:r>
      <w:r>
        <w:rPr>
          <w:rFonts w:hint="eastAsia"/>
          <w:lang w:val="en-US" w:eastAsia="zh-CN"/>
        </w:rPr>
        <w:t>相关</w:t>
      </w:r>
      <w:r>
        <w:t>标准和指南采用最新的方法进行风险分析，表述出威胁源采用何种威胁方法，利用了系统的何种脆弱性，对哪一类资产，产生了什么样的影响，当前采取了何种安全措施进行防护，其有效性如何，描述残余风险状况，并描述采取何种对策来防范威胁，减少脆弱性。</w:t>
      </w:r>
    </w:p>
    <w:p w14:paraId="6056D22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资产的评估主要是对资产进行相对估价，而其估价准则就是依赖于对其影响的分析，主要从保密性、完整性、可用性三方面的安全属性进行影响分析， 从资产的相对价值中体现了威胁的严重程度；威胁评估是对资产所受威胁发生可能性的评估；脆弱性的评估是对资产脆弱程度的评估，安全风险评估就是通过综合分析评估后的资产信息、威胁信息、脆弱性信息，最终生成安全风险信息。</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68"/>
        <w:gridCol w:w="1320"/>
        <w:gridCol w:w="1822"/>
        <w:gridCol w:w="2070"/>
      </w:tblGrid>
      <w:tr w14:paraId="09D2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D3A270D">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测评内容</w:t>
            </w:r>
          </w:p>
        </w:tc>
        <w:tc>
          <w:tcPr>
            <w:tcW w:w="1320" w:type="dxa"/>
            <w:tcMar>
              <w:top w:w="60" w:type="dxa"/>
              <w:left w:w="120" w:type="dxa"/>
              <w:bottom w:w="30" w:type="dxa"/>
              <w:right w:w="120" w:type="dxa"/>
            </w:tcMar>
          </w:tcPr>
          <w:p w14:paraId="481C079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测评方式</w:t>
            </w:r>
          </w:p>
        </w:tc>
        <w:tc>
          <w:tcPr>
            <w:tcW w:w="1822" w:type="dxa"/>
            <w:tcMar>
              <w:top w:w="60" w:type="dxa"/>
              <w:left w:w="120" w:type="dxa"/>
              <w:bottom w:w="30" w:type="dxa"/>
              <w:right w:w="120" w:type="dxa"/>
            </w:tcMar>
          </w:tcPr>
          <w:p w14:paraId="67F0DBA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测评方式</w:t>
            </w:r>
          </w:p>
        </w:tc>
        <w:tc>
          <w:tcPr>
            <w:tcW w:w="2070" w:type="dxa"/>
            <w:tcMar>
              <w:top w:w="60" w:type="dxa"/>
              <w:left w:w="120" w:type="dxa"/>
              <w:bottom w:w="30" w:type="dxa"/>
              <w:right w:w="120" w:type="dxa"/>
            </w:tcMar>
          </w:tcPr>
          <w:p w14:paraId="781A02B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测评方式</w:t>
            </w:r>
          </w:p>
        </w:tc>
      </w:tr>
      <w:tr w14:paraId="35695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DFCFFCA">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管理测评</w:t>
            </w:r>
          </w:p>
        </w:tc>
        <w:tc>
          <w:tcPr>
            <w:tcW w:w="1320" w:type="dxa"/>
            <w:tcMar>
              <w:top w:w="60" w:type="dxa"/>
              <w:left w:w="120" w:type="dxa"/>
              <w:bottom w:w="30" w:type="dxa"/>
              <w:right w:w="120" w:type="dxa"/>
            </w:tcMar>
          </w:tcPr>
          <w:p w14:paraId="208BA169">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访谈</w:t>
            </w:r>
          </w:p>
        </w:tc>
        <w:tc>
          <w:tcPr>
            <w:tcW w:w="1822" w:type="dxa"/>
            <w:tcMar>
              <w:top w:w="60" w:type="dxa"/>
              <w:left w:w="120" w:type="dxa"/>
              <w:bottom w:w="30" w:type="dxa"/>
              <w:right w:w="120" w:type="dxa"/>
            </w:tcMar>
          </w:tcPr>
          <w:p w14:paraId="0330F2D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文档审核</w:t>
            </w:r>
          </w:p>
        </w:tc>
        <w:tc>
          <w:tcPr>
            <w:tcW w:w="2070" w:type="dxa"/>
            <w:tcMar>
              <w:top w:w="60" w:type="dxa"/>
              <w:left w:w="120" w:type="dxa"/>
              <w:bottom w:w="30" w:type="dxa"/>
              <w:right w:w="120" w:type="dxa"/>
            </w:tcMar>
          </w:tcPr>
          <w:p w14:paraId="0726C5C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观察现场</w:t>
            </w:r>
          </w:p>
        </w:tc>
      </w:tr>
      <w:tr w14:paraId="6E8AF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5A71F18D">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物理测评</w:t>
            </w:r>
          </w:p>
        </w:tc>
        <w:tc>
          <w:tcPr>
            <w:tcW w:w="1320" w:type="dxa"/>
            <w:tcMar>
              <w:top w:w="60" w:type="dxa"/>
              <w:left w:w="120" w:type="dxa"/>
              <w:bottom w:w="30" w:type="dxa"/>
              <w:right w:w="120" w:type="dxa"/>
            </w:tcMar>
          </w:tcPr>
          <w:p w14:paraId="7D14A28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访谈</w:t>
            </w:r>
          </w:p>
        </w:tc>
        <w:tc>
          <w:tcPr>
            <w:tcW w:w="1822" w:type="dxa"/>
            <w:tcMar>
              <w:top w:w="60" w:type="dxa"/>
              <w:left w:w="120" w:type="dxa"/>
              <w:bottom w:w="30" w:type="dxa"/>
              <w:right w:w="120" w:type="dxa"/>
            </w:tcMar>
          </w:tcPr>
          <w:p w14:paraId="73D47CA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文档审核</w:t>
            </w:r>
          </w:p>
        </w:tc>
        <w:tc>
          <w:tcPr>
            <w:tcW w:w="2070" w:type="dxa"/>
            <w:tcMar>
              <w:top w:w="60" w:type="dxa"/>
              <w:left w:w="120" w:type="dxa"/>
              <w:bottom w:w="30" w:type="dxa"/>
              <w:right w:w="120" w:type="dxa"/>
            </w:tcMar>
          </w:tcPr>
          <w:p w14:paraId="5907983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观察现场</w:t>
            </w:r>
          </w:p>
        </w:tc>
      </w:tr>
      <w:tr w14:paraId="13253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70EA5A80">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网络状况测评</w:t>
            </w:r>
          </w:p>
        </w:tc>
        <w:tc>
          <w:tcPr>
            <w:tcW w:w="1320" w:type="dxa"/>
            <w:tcMar>
              <w:top w:w="60" w:type="dxa"/>
              <w:left w:w="120" w:type="dxa"/>
              <w:bottom w:w="30" w:type="dxa"/>
              <w:right w:w="120" w:type="dxa"/>
            </w:tcMar>
          </w:tcPr>
          <w:p w14:paraId="3C3E4EE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访谈</w:t>
            </w:r>
          </w:p>
        </w:tc>
        <w:tc>
          <w:tcPr>
            <w:tcW w:w="1822" w:type="dxa"/>
            <w:tcMar>
              <w:top w:w="60" w:type="dxa"/>
              <w:left w:w="120" w:type="dxa"/>
              <w:bottom w:w="30" w:type="dxa"/>
              <w:right w:w="120" w:type="dxa"/>
            </w:tcMar>
          </w:tcPr>
          <w:p w14:paraId="1130F73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文档审核</w:t>
            </w:r>
          </w:p>
        </w:tc>
        <w:tc>
          <w:tcPr>
            <w:tcW w:w="2070" w:type="dxa"/>
            <w:tcMar>
              <w:top w:w="60" w:type="dxa"/>
              <w:left w:w="120" w:type="dxa"/>
              <w:bottom w:w="30" w:type="dxa"/>
              <w:right w:w="120" w:type="dxa"/>
            </w:tcMar>
          </w:tcPr>
          <w:p w14:paraId="4B55C18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验证</w:t>
            </w:r>
          </w:p>
        </w:tc>
      </w:tr>
      <w:tr w14:paraId="78F56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5A94435">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网络设备测评</w:t>
            </w:r>
          </w:p>
        </w:tc>
        <w:tc>
          <w:tcPr>
            <w:tcW w:w="1320" w:type="dxa"/>
            <w:tcMar>
              <w:top w:w="60" w:type="dxa"/>
              <w:left w:w="120" w:type="dxa"/>
              <w:bottom w:w="30" w:type="dxa"/>
              <w:right w:w="120" w:type="dxa"/>
            </w:tcMar>
          </w:tcPr>
          <w:p w14:paraId="64F3190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验证</w:t>
            </w:r>
          </w:p>
        </w:tc>
        <w:tc>
          <w:tcPr>
            <w:tcW w:w="1822" w:type="dxa"/>
            <w:tcMar>
              <w:top w:w="60" w:type="dxa"/>
              <w:left w:w="120" w:type="dxa"/>
              <w:bottom w:w="30" w:type="dxa"/>
              <w:right w:w="120" w:type="dxa"/>
            </w:tcMar>
          </w:tcPr>
          <w:p w14:paraId="4006D83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文档审核</w:t>
            </w:r>
          </w:p>
        </w:tc>
        <w:tc>
          <w:tcPr>
            <w:tcW w:w="2070" w:type="dxa"/>
            <w:tcMar>
              <w:top w:w="60" w:type="dxa"/>
              <w:left w:w="120" w:type="dxa"/>
              <w:bottom w:w="30" w:type="dxa"/>
              <w:right w:w="120" w:type="dxa"/>
            </w:tcMar>
          </w:tcPr>
          <w:p w14:paraId="70EB91C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漏洞扫描</w:t>
            </w:r>
          </w:p>
        </w:tc>
      </w:tr>
      <w:tr w14:paraId="33B3D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A5981F4">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主机设备测评</w:t>
            </w:r>
          </w:p>
        </w:tc>
        <w:tc>
          <w:tcPr>
            <w:tcW w:w="1320" w:type="dxa"/>
            <w:tcMar>
              <w:top w:w="60" w:type="dxa"/>
              <w:left w:w="120" w:type="dxa"/>
              <w:bottom w:w="30" w:type="dxa"/>
              <w:right w:w="120" w:type="dxa"/>
            </w:tcMar>
          </w:tcPr>
          <w:p w14:paraId="45C5748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验证</w:t>
            </w:r>
          </w:p>
        </w:tc>
        <w:tc>
          <w:tcPr>
            <w:tcW w:w="1822" w:type="dxa"/>
            <w:tcMar>
              <w:top w:w="60" w:type="dxa"/>
              <w:left w:w="120" w:type="dxa"/>
              <w:bottom w:w="30" w:type="dxa"/>
              <w:right w:w="120" w:type="dxa"/>
            </w:tcMar>
          </w:tcPr>
          <w:p w14:paraId="2C0FD6B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文档审核</w:t>
            </w:r>
          </w:p>
        </w:tc>
        <w:tc>
          <w:tcPr>
            <w:tcW w:w="2070" w:type="dxa"/>
            <w:tcMar>
              <w:top w:w="60" w:type="dxa"/>
              <w:left w:w="120" w:type="dxa"/>
              <w:bottom w:w="30" w:type="dxa"/>
              <w:right w:w="120" w:type="dxa"/>
            </w:tcMar>
          </w:tcPr>
          <w:p w14:paraId="58F9FE0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漏洞扫描</w:t>
            </w:r>
          </w:p>
        </w:tc>
      </w:tr>
      <w:tr w14:paraId="6697D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AA960AE">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数据安全及备份恢复测评</w:t>
            </w:r>
          </w:p>
        </w:tc>
        <w:tc>
          <w:tcPr>
            <w:tcW w:w="1320" w:type="dxa"/>
            <w:tcMar>
              <w:top w:w="60" w:type="dxa"/>
              <w:left w:w="120" w:type="dxa"/>
              <w:bottom w:w="30" w:type="dxa"/>
              <w:right w:w="120" w:type="dxa"/>
            </w:tcMar>
          </w:tcPr>
          <w:p w14:paraId="425F935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访谈</w:t>
            </w:r>
          </w:p>
        </w:tc>
        <w:tc>
          <w:tcPr>
            <w:tcW w:w="1822" w:type="dxa"/>
            <w:tcMar>
              <w:top w:w="60" w:type="dxa"/>
              <w:left w:w="120" w:type="dxa"/>
              <w:bottom w:w="30" w:type="dxa"/>
              <w:right w:w="120" w:type="dxa"/>
            </w:tcMar>
          </w:tcPr>
          <w:p w14:paraId="299E9F4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 验证</w:t>
            </w:r>
          </w:p>
        </w:tc>
        <w:tc>
          <w:tcPr>
            <w:tcW w:w="2070" w:type="dxa"/>
            <w:tcMar>
              <w:top w:w="60" w:type="dxa"/>
              <w:left w:w="120" w:type="dxa"/>
              <w:bottom w:w="30" w:type="dxa"/>
              <w:right w:w="120" w:type="dxa"/>
            </w:tcMar>
          </w:tcPr>
          <w:p w14:paraId="5CC1260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文档审核</w:t>
            </w:r>
          </w:p>
        </w:tc>
      </w:tr>
      <w:tr w14:paraId="565ED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B7EAF2A">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应用系统测评</w:t>
            </w:r>
          </w:p>
        </w:tc>
        <w:tc>
          <w:tcPr>
            <w:tcW w:w="1320" w:type="dxa"/>
            <w:tcMar>
              <w:top w:w="60" w:type="dxa"/>
              <w:left w:w="120" w:type="dxa"/>
              <w:bottom w:w="30" w:type="dxa"/>
              <w:right w:w="120" w:type="dxa"/>
            </w:tcMar>
          </w:tcPr>
          <w:p w14:paraId="2F6D8BC9">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访谈</w:t>
            </w:r>
          </w:p>
        </w:tc>
        <w:tc>
          <w:tcPr>
            <w:tcW w:w="1822" w:type="dxa"/>
            <w:tcMar>
              <w:top w:w="60" w:type="dxa"/>
              <w:left w:w="120" w:type="dxa"/>
              <w:bottom w:w="30" w:type="dxa"/>
              <w:right w:w="120" w:type="dxa"/>
            </w:tcMar>
          </w:tcPr>
          <w:p w14:paraId="5FD304E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 验证</w:t>
            </w:r>
          </w:p>
        </w:tc>
        <w:tc>
          <w:tcPr>
            <w:tcW w:w="2070" w:type="dxa"/>
            <w:tcMar>
              <w:top w:w="60" w:type="dxa"/>
              <w:left w:w="120" w:type="dxa"/>
              <w:bottom w:w="30" w:type="dxa"/>
              <w:right w:w="120" w:type="dxa"/>
            </w:tcMar>
          </w:tcPr>
          <w:p w14:paraId="2D6C862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 文档审核</w:t>
            </w:r>
          </w:p>
        </w:tc>
      </w:tr>
    </w:tbl>
    <w:p w14:paraId="3D1B199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1.访谈：通过与服务事业部的相关人员进行交谈和问询，了解信息系统技术和管理方面的一些基本信息，并对一些测评内容进行确认；</w:t>
      </w:r>
    </w:p>
    <w:p w14:paraId="1712FCA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2．文档审核：审核服务事业部网管员提交的有关信息系统安全的各个方面的文档，如：安全管理制度和文件、安全管理的执行过程文档、系统设计方案、网络设备的技术资料、系统和产品的实际配置说明、系统的各种运行记录文档、机房建设相关资料等等。通过对这些文档的审核与分析确认测评的相关内容是否达到了等级的要求；</w:t>
      </w:r>
    </w:p>
    <w:p w14:paraId="17E2F51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3. 验证：主要是对一些需要上机进行确认的信息进行核实，以及对某些面谈和文档审核的内容进行核实；</w:t>
      </w:r>
    </w:p>
    <w:p w14:paraId="6F7AEF80">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58" w:name="heading_29"/>
      <w:bookmarkStart w:id="59" w:name="_Toc27380"/>
      <w:r>
        <w:t>评估内容</w:t>
      </w:r>
      <w:bookmarkEnd w:id="58"/>
      <w:bookmarkEnd w:id="59"/>
    </w:p>
    <w:p w14:paraId="21DFE93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评估内容主要分为安全技术测评和安全管理测评，其中安全技术测评主要是针对系统所处的物理安全、网络安全、主机系统安全、应用安全、数据安全。管理测评主要是针对管理机构、安全管理制度、人员、系统建设、日常运维管理。</w:t>
      </w:r>
    </w:p>
    <w:p w14:paraId="30EAF745">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heading_30"/>
      <w:bookmarkStart w:id="61" w:name="_Toc5485"/>
      <w:r>
        <w:t>资产的评估和赋值</w:t>
      </w:r>
      <w:bookmarkEnd w:id="60"/>
      <w:bookmarkEnd w:id="61"/>
    </w:p>
    <w:p w14:paraId="1358AAD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资产是风险评估的评估对象。在一个全面的风险评估中，风险的所有元素都以资产为中心，威胁、脆弱性以及风险都是针对资产而客观存在的。威胁利用资产自身的脆弱性使得安全事件的发生成为可能，从而形成了风险。因此， 资产的评估是风险评估的一个重要的步骤，它被确定和分析的准确性将影响着后面所有因素的评估。</w:t>
      </w:r>
    </w:p>
    <w:p w14:paraId="4458DB3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资产主要包括公司的网络设备、网络安全设备、终端、服务器、数据库、业务软件、数据等信息资产。</w:t>
      </w:r>
    </w:p>
    <w:p w14:paraId="2897093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资产赋值的过程也就是对资产在机密性、完整性和可用性上的达成程度进行分析，并在此基础上得出综合结果的过程。</w:t>
      </w:r>
    </w:p>
    <w:p w14:paraId="1059389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首先对机密性赋值，根据资产在机密性上的不同要求，将其分为五个不同的等级，分别对应资产在机密性上应达成的不同程度或者机密性缺失时对整个组织的影响。机密性赋值标准如下表所示：</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768"/>
        <w:gridCol w:w="890"/>
        <w:gridCol w:w="6622"/>
      </w:tblGrid>
      <w:tr w14:paraId="783A9F6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1AB5CD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赋值</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8D71C9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标识</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96B071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定义</w:t>
            </w:r>
          </w:p>
        </w:tc>
      </w:tr>
      <w:tr w14:paraId="7898C6D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35CB96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5</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66E991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很高</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BF6302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包含组织最重要的秘密，关系未来发展的前途命运，对组织根本利益有着决定性的影响，如果泄露会造成灾难性的损害</w:t>
            </w:r>
          </w:p>
        </w:tc>
      </w:tr>
      <w:tr w14:paraId="4176B55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39E874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4</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31DC7C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高</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FD684A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包含组织的重要秘密，其泄露会使组织的安全和利益遭受严重损害</w:t>
            </w:r>
          </w:p>
        </w:tc>
      </w:tr>
      <w:tr w14:paraId="497FE8F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71B1F2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3</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D1F5B7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中等</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17E071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组织的一般性秘密，其泄露会使组织的安全和利益受到损害</w:t>
            </w:r>
          </w:p>
        </w:tc>
      </w:tr>
      <w:tr w14:paraId="6DDFA0D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5A74C0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B11937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低</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1C938A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仅能在组织内部或在组织某一部门内部公开的信息，向外扩散有可能对组织的利益造成轻微损害</w:t>
            </w:r>
          </w:p>
        </w:tc>
      </w:tr>
      <w:tr w14:paraId="00E789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524320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1</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16B274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很低</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495770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可对社会公开的信息，公用的信息处理设备和系统资源等</w:t>
            </w:r>
          </w:p>
        </w:tc>
      </w:tr>
    </w:tbl>
    <w:p w14:paraId="7C8599A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然后对完整性赋值，根据资产在完整性上的不同要求，将其分为五个不同的等级，分别对应资产在完整性上缺失时对整个组织的影响。完整性赋值标准如下表所示：</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798"/>
        <w:gridCol w:w="790"/>
        <w:gridCol w:w="6692"/>
      </w:tblGrid>
      <w:tr w14:paraId="49F5342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864B179">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赋值</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F729D9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标识</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42A848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定义</w:t>
            </w:r>
          </w:p>
        </w:tc>
      </w:tr>
      <w:tr w14:paraId="77344EC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F463A8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5</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D62152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很高</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B46779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完整性价值非常关键，未经授权的修改或破坏会对组织造成重大的或无法接受的影响，对业务冲击重大，并可能造成严重的业务中断，难以弥补。</w:t>
            </w:r>
          </w:p>
        </w:tc>
      </w:tr>
      <w:tr w14:paraId="592EDCB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A3F9D0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4</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1DCB0D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高</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5EEBBF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完整性价值较高，未经授权的修改或破坏会对组织造成重大影响，对业务冲击严重，较难弥补。</w:t>
            </w:r>
          </w:p>
        </w:tc>
      </w:tr>
      <w:tr w14:paraId="0584E0F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95980A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3</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5FE4A4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中等</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43496E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完整性价值中等，未经授权的修改或破坏会对组织造成影响，对业务冲击明显，但可以弥补。</w:t>
            </w:r>
          </w:p>
        </w:tc>
      </w:tr>
      <w:tr w14:paraId="71B6C4B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37AB79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726A8D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低</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F53EF7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完整性价值较低，未经授权的修改或破坏会对组织造成轻微影响，对业务冲击轻微，容易弥补。</w:t>
            </w:r>
          </w:p>
        </w:tc>
      </w:tr>
      <w:tr w14:paraId="0904BAC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DA2BBE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1</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2994B4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很低</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A1603B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完整性价值非常低，未经授权的修改或破坏对组织造成的影响可以忽略，对业务冲击可以忽略。</w:t>
            </w:r>
          </w:p>
        </w:tc>
      </w:tr>
    </w:tbl>
    <w:p w14:paraId="7386327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最后对可用性赋值，根据资产在可用性上的不同要求，将其分为五个不同的等级，分别对应资产在可用性上应达成的不同程度。可用性赋值标准如下表所示：</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78"/>
        <w:gridCol w:w="730"/>
        <w:gridCol w:w="6940"/>
      </w:tblGrid>
      <w:tr w14:paraId="1F016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4DDA27D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赋值</w:t>
            </w:r>
          </w:p>
        </w:tc>
        <w:tc>
          <w:tcPr>
            <w:tcW w:w="730" w:type="dxa"/>
            <w:tcMar>
              <w:top w:w="60" w:type="dxa"/>
              <w:left w:w="120" w:type="dxa"/>
              <w:bottom w:w="30" w:type="dxa"/>
              <w:right w:w="120" w:type="dxa"/>
            </w:tcMar>
          </w:tcPr>
          <w:p w14:paraId="2829DFB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标识</w:t>
            </w:r>
          </w:p>
        </w:tc>
        <w:tc>
          <w:tcPr>
            <w:tcW w:w="6940" w:type="dxa"/>
            <w:tcMar>
              <w:top w:w="60" w:type="dxa"/>
              <w:left w:w="120" w:type="dxa"/>
              <w:bottom w:w="30" w:type="dxa"/>
              <w:right w:w="120" w:type="dxa"/>
            </w:tcMar>
          </w:tcPr>
          <w:p w14:paraId="6ABFA98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定义</w:t>
            </w:r>
          </w:p>
        </w:tc>
      </w:tr>
      <w:tr w14:paraId="5516C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64B5FF7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5</w:t>
            </w:r>
          </w:p>
        </w:tc>
        <w:tc>
          <w:tcPr>
            <w:tcW w:w="730" w:type="dxa"/>
            <w:tcMar>
              <w:top w:w="60" w:type="dxa"/>
              <w:left w:w="120" w:type="dxa"/>
              <w:bottom w:w="30" w:type="dxa"/>
              <w:right w:w="120" w:type="dxa"/>
            </w:tcMar>
          </w:tcPr>
          <w:p w14:paraId="6F2FFAF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很高</w:t>
            </w:r>
          </w:p>
        </w:tc>
        <w:tc>
          <w:tcPr>
            <w:tcW w:w="6940" w:type="dxa"/>
            <w:tcMar>
              <w:top w:w="60" w:type="dxa"/>
              <w:left w:w="120" w:type="dxa"/>
              <w:bottom w:w="30" w:type="dxa"/>
              <w:right w:w="120" w:type="dxa"/>
            </w:tcMar>
          </w:tcPr>
          <w:p w14:paraId="5E29251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可用性价值非常高，合法使用者对信息及信息系统的可用度达到年度 99.9%以上，或系统不允许中断。</w:t>
            </w:r>
          </w:p>
        </w:tc>
      </w:tr>
      <w:tr w14:paraId="6A5C8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11D4E53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4</w:t>
            </w:r>
          </w:p>
        </w:tc>
        <w:tc>
          <w:tcPr>
            <w:tcW w:w="730" w:type="dxa"/>
            <w:tcMar>
              <w:top w:w="60" w:type="dxa"/>
              <w:left w:w="120" w:type="dxa"/>
              <w:bottom w:w="30" w:type="dxa"/>
              <w:right w:w="120" w:type="dxa"/>
            </w:tcMar>
          </w:tcPr>
          <w:p w14:paraId="5946064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高</w:t>
            </w:r>
          </w:p>
        </w:tc>
        <w:tc>
          <w:tcPr>
            <w:tcW w:w="6940" w:type="dxa"/>
            <w:tcMar>
              <w:top w:w="60" w:type="dxa"/>
              <w:left w:w="120" w:type="dxa"/>
              <w:bottom w:w="30" w:type="dxa"/>
              <w:right w:w="120" w:type="dxa"/>
            </w:tcMar>
          </w:tcPr>
          <w:p w14:paraId="0D2EEE1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可用性价值较高，合法使用者对信息及信息系统的可用度达到每天90%以上，或系统允许中断时间小于 10 分钟。</w:t>
            </w:r>
          </w:p>
        </w:tc>
      </w:tr>
      <w:tr w14:paraId="5939B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302E689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3</w:t>
            </w:r>
          </w:p>
        </w:tc>
        <w:tc>
          <w:tcPr>
            <w:tcW w:w="730" w:type="dxa"/>
            <w:tcMar>
              <w:top w:w="60" w:type="dxa"/>
              <w:left w:w="120" w:type="dxa"/>
              <w:bottom w:w="30" w:type="dxa"/>
              <w:right w:w="120" w:type="dxa"/>
            </w:tcMar>
          </w:tcPr>
          <w:p w14:paraId="52F4586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中等</w:t>
            </w:r>
          </w:p>
        </w:tc>
        <w:tc>
          <w:tcPr>
            <w:tcW w:w="6940" w:type="dxa"/>
            <w:tcMar>
              <w:top w:w="60" w:type="dxa"/>
              <w:left w:w="120" w:type="dxa"/>
              <w:bottom w:w="30" w:type="dxa"/>
              <w:right w:w="120" w:type="dxa"/>
            </w:tcMar>
          </w:tcPr>
          <w:p w14:paraId="0A491A6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可用性价值中等，合法使用者对信息及信息系统的可用度在正常工作时间达到 70%以上，或系统允许中断时间小于30 分钟。</w:t>
            </w:r>
          </w:p>
        </w:tc>
      </w:tr>
      <w:tr w14:paraId="46220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2200354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w:t>
            </w:r>
          </w:p>
        </w:tc>
        <w:tc>
          <w:tcPr>
            <w:tcW w:w="730" w:type="dxa"/>
            <w:tcMar>
              <w:top w:w="60" w:type="dxa"/>
              <w:left w:w="120" w:type="dxa"/>
              <w:bottom w:w="30" w:type="dxa"/>
              <w:right w:w="120" w:type="dxa"/>
            </w:tcMar>
          </w:tcPr>
          <w:p w14:paraId="3CBCAEC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低</w:t>
            </w:r>
          </w:p>
        </w:tc>
        <w:tc>
          <w:tcPr>
            <w:tcW w:w="6940" w:type="dxa"/>
            <w:tcMar>
              <w:top w:w="60" w:type="dxa"/>
              <w:left w:w="120" w:type="dxa"/>
              <w:bottom w:w="30" w:type="dxa"/>
              <w:right w:w="120" w:type="dxa"/>
            </w:tcMar>
          </w:tcPr>
          <w:p w14:paraId="32A276D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可用性价值较低，合法使用者对信息及信息系统的可用度在正常工作时间达到 25%以上，或系统允许中断时间小于60 分钟。</w:t>
            </w:r>
          </w:p>
        </w:tc>
      </w:tr>
      <w:tr w14:paraId="3EEF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51D515C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1</w:t>
            </w:r>
          </w:p>
        </w:tc>
        <w:tc>
          <w:tcPr>
            <w:tcW w:w="730" w:type="dxa"/>
            <w:tcMar>
              <w:top w:w="60" w:type="dxa"/>
              <w:left w:w="120" w:type="dxa"/>
              <w:bottom w:w="30" w:type="dxa"/>
              <w:right w:w="120" w:type="dxa"/>
            </w:tcMar>
          </w:tcPr>
          <w:p w14:paraId="78784D7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很低</w:t>
            </w:r>
          </w:p>
        </w:tc>
        <w:tc>
          <w:tcPr>
            <w:tcW w:w="6940" w:type="dxa"/>
            <w:tcMar>
              <w:top w:w="60" w:type="dxa"/>
              <w:left w:w="120" w:type="dxa"/>
              <w:bottom w:w="30" w:type="dxa"/>
              <w:right w:w="120" w:type="dxa"/>
            </w:tcMar>
          </w:tcPr>
          <w:p w14:paraId="6128699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可用性价值可以忽略，合法使用者对信息及信息系统的可用度在正常工作时间低于 25%。</w:t>
            </w:r>
          </w:p>
        </w:tc>
      </w:tr>
    </w:tbl>
    <w:p w14:paraId="6F0839D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最终，资产价值依据资产在机密性、完整性和可用性上的赋值等级， 经过综合计算评定得出一个综合数值，根据这个数值，对应下表即可分析出资产的总体价值：</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08"/>
        <w:gridCol w:w="870"/>
        <w:gridCol w:w="1100"/>
        <w:gridCol w:w="5502"/>
      </w:tblGrid>
      <w:tr w14:paraId="197E6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24054EE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等级</w:t>
            </w:r>
          </w:p>
        </w:tc>
        <w:tc>
          <w:tcPr>
            <w:tcW w:w="870" w:type="dxa"/>
            <w:tcMar>
              <w:top w:w="60" w:type="dxa"/>
              <w:left w:w="120" w:type="dxa"/>
              <w:bottom w:w="30" w:type="dxa"/>
              <w:right w:w="120" w:type="dxa"/>
            </w:tcMar>
          </w:tcPr>
          <w:p w14:paraId="39CEC8B0">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标识</w:t>
            </w:r>
          </w:p>
        </w:tc>
        <w:tc>
          <w:tcPr>
            <w:tcW w:w="1100" w:type="dxa"/>
            <w:tcMar>
              <w:top w:w="60" w:type="dxa"/>
              <w:left w:w="120" w:type="dxa"/>
              <w:bottom w:w="30" w:type="dxa"/>
              <w:right w:w="120" w:type="dxa"/>
            </w:tcMar>
          </w:tcPr>
          <w:p w14:paraId="44F7A97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得分</w:t>
            </w:r>
          </w:p>
        </w:tc>
        <w:tc>
          <w:tcPr>
            <w:tcW w:w="5502" w:type="dxa"/>
            <w:tcMar>
              <w:top w:w="60" w:type="dxa"/>
              <w:left w:w="120" w:type="dxa"/>
              <w:bottom w:w="30" w:type="dxa"/>
              <w:right w:w="120" w:type="dxa"/>
            </w:tcMar>
          </w:tcPr>
          <w:p w14:paraId="247945A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描述</w:t>
            </w:r>
          </w:p>
        </w:tc>
      </w:tr>
      <w:tr w14:paraId="3A98D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5270B4B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5</w:t>
            </w:r>
          </w:p>
        </w:tc>
        <w:tc>
          <w:tcPr>
            <w:tcW w:w="870" w:type="dxa"/>
            <w:tcMar>
              <w:top w:w="60" w:type="dxa"/>
              <w:left w:w="120" w:type="dxa"/>
              <w:bottom w:w="30" w:type="dxa"/>
              <w:right w:w="120" w:type="dxa"/>
            </w:tcMar>
          </w:tcPr>
          <w:p w14:paraId="614FBB3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很高</w:t>
            </w:r>
          </w:p>
        </w:tc>
        <w:tc>
          <w:tcPr>
            <w:tcW w:w="1100" w:type="dxa"/>
            <w:tcMar>
              <w:top w:w="60" w:type="dxa"/>
              <w:left w:w="120" w:type="dxa"/>
              <w:bottom w:w="30" w:type="dxa"/>
              <w:right w:w="120" w:type="dxa"/>
            </w:tcMar>
          </w:tcPr>
          <w:p w14:paraId="60ADC5B9">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4.6-5</w:t>
            </w:r>
          </w:p>
        </w:tc>
        <w:tc>
          <w:tcPr>
            <w:tcW w:w="5502" w:type="dxa"/>
            <w:tcMar>
              <w:top w:w="60" w:type="dxa"/>
              <w:left w:w="120" w:type="dxa"/>
              <w:bottom w:w="30" w:type="dxa"/>
              <w:right w:w="120" w:type="dxa"/>
            </w:tcMar>
          </w:tcPr>
          <w:p w14:paraId="160CA6E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非常重要，其安全属性破坏后可能对组织造成非常严重的损失。</w:t>
            </w:r>
          </w:p>
        </w:tc>
      </w:tr>
      <w:tr w14:paraId="5E268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4715E1C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4</w:t>
            </w:r>
          </w:p>
        </w:tc>
        <w:tc>
          <w:tcPr>
            <w:tcW w:w="870" w:type="dxa"/>
            <w:tcMar>
              <w:top w:w="60" w:type="dxa"/>
              <w:left w:w="120" w:type="dxa"/>
              <w:bottom w:w="30" w:type="dxa"/>
              <w:right w:w="120" w:type="dxa"/>
            </w:tcMar>
          </w:tcPr>
          <w:p w14:paraId="5A037ED9">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高</w:t>
            </w:r>
          </w:p>
        </w:tc>
        <w:tc>
          <w:tcPr>
            <w:tcW w:w="1100" w:type="dxa"/>
            <w:tcMar>
              <w:top w:w="60" w:type="dxa"/>
              <w:left w:w="120" w:type="dxa"/>
              <w:bottom w:w="30" w:type="dxa"/>
              <w:right w:w="120" w:type="dxa"/>
            </w:tcMar>
          </w:tcPr>
          <w:p w14:paraId="7891C21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3.6-4.5</w:t>
            </w:r>
          </w:p>
        </w:tc>
        <w:tc>
          <w:tcPr>
            <w:tcW w:w="5502" w:type="dxa"/>
            <w:tcMar>
              <w:top w:w="60" w:type="dxa"/>
              <w:left w:w="120" w:type="dxa"/>
              <w:bottom w:w="30" w:type="dxa"/>
              <w:right w:w="120" w:type="dxa"/>
            </w:tcMar>
          </w:tcPr>
          <w:p w14:paraId="43F7156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重要，其安全属性破坏后可能对组织造成比较严重的损失。</w:t>
            </w:r>
          </w:p>
        </w:tc>
      </w:tr>
      <w:tr w14:paraId="3B17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06F481A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3</w:t>
            </w:r>
          </w:p>
        </w:tc>
        <w:tc>
          <w:tcPr>
            <w:tcW w:w="870" w:type="dxa"/>
            <w:tcMar>
              <w:top w:w="60" w:type="dxa"/>
              <w:left w:w="120" w:type="dxa"/>
              <w:bottom w:w="30" w:type="dxa"/>
              <w:right w:w="120" w:type="dxa"/>
            </w:tcMar>
          </w:tcPr>
          <w:p w14:paraId="32F2C0C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中</w:t>
            </w:r>
          </w:p>
        </w:tc>
        <w:tc>
          <w:tcPr>
            <w:tcW w:w="1100" w:type="dxa"/>
            <w:tcMar>
              <w:top w:w="60" w:type="dxa"/>
              <w:left w:w="120" w:type="dxa"/>
              <w:bottom w:w="30" w:type="dxa"/>
              <w:right w:w="120" w:type="dxa"/>
            </w:tcMar>
          </w:tcPr>
          <w:p w14:paraId="1CC83B9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2.6-3.5</w:t>
            </w:r>
          </w:p>
        </w:tc>
        <w:tc>
          <w:tcPr>
            <w:tcW w:w="5502" w:type="dxa"/>
            <w:tcMar>
              <w:top w:w="60" w:type="dxa"/>
              <w:left w:w="120" w:type="dxa"/>
              <w:bottom w:w="30" w:type="dxa"/>
              <w:right w:w="120" w:type="dxa"/>
            </w:tcMar>
          </w:tcPr>
          <w:p w14:paraId="4667903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比较重要，其安全属性破坏后可能对组织造成中等程度的损失。</w:t>
            </w:r>
          </w:p>
        </w:tc>
      </w:tr>
      <w:tr w14:paraId="7FF40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16C595E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w:t>
            </w:r>
          </w:p>
        </w:tc>
        <w:tc>
          <w:tcPr>
            <w:tcW w:w="870" w:type="dxa"/>
            <w:tcMar>
              <w:top w:w="60" w:type="dxa"/>
              <w:left w:w="120" w:type="dxa"/>
              <w:bottom w:w="30" w:type="dxa"/>
              <w:right w:w="120" w:type="dxa"/>
            </w:tcMar>
          </w:tcPr>
          <w:p w14:paraId="52837C4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低</w:t>
            </w:r>
          </w:p>
        </w:tc>
        <w:tc>
          <w:tcPr>
            <w:tcW w:w="1100" w:type="dxa"/>
            <w:tcMar>
              <w:top w:w="60" w:type="dxa"/>
              <w:left w:w="120" w:type="dxa"/>
              <w:bottom w:w="30" w:type="dxa"/>
              <w:right w:w="120" w:type="dxa"/>
            </w:tcMar>
          </w:tcPr>
          <w:p w14:paraId="3DE48D3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1.6-2.5</w:t>
            </w:r>
          </w:p>
        </w:tc>
        <w:tc>
          <w:tcPr>
            <w:tcW w:w="5502" w:type="dxa"/>
            <w:tcMar>
              <w:top w:w="60" w:type="dxa"/>
              <w:left w:w="120" w:type="dxa"/>
              <w:bottom w:w="30" w:type="dxa"/>
              <w:right w:w="120" w:type="dxa"/>
            </w:tcMar>
          </w:tcPr>
          <w:p w14:paraId="6A5E0B1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不太重要，其安全属性破坏后可能对组织造成较低的损失。</w:t>
            </w:r>
          </w:p>
        </w:tc>
      </w:tr>
      <w:tr w14:paraId="5571C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2D9B5BB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1</w:t>
            </w:r>
          </w:p>
        </w:tc>
        <w:tc>
          <w:tcPr>
            <w:tcW w:w="870" w:type="dxa"/>
            <w:tcMar>
              <w:top w:w="60" w:type="dxa"/>
              <w:left w:w="120" w:type="dxa"/>
              <w:bottom w:w="30" w:type="dxa"/>
              <w:right w:w="120" w:type="dxa"/>
            </w:tcMar>
          </w:tcPr>
          <w:p w14:paraId="44344B7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很低</w:t>
            </w:r>
          </w:p>
        </w:tc>
        <w:tc>
          <w:tcPr>
            <w:tcW w:w="1100" w:type="dxa"/>
            <w:tcMar>
              <w:top w:w="60" w:type="dxa"/>
              <w:left w:w="120" w:type="dxa"/>
              <w:bottom w:w="30" w:type="dxa"/>
              <w:right w:w="120" w:type="dxa"/>
            </w:tcMar>
          </w:tcPr>
          <w:p w14:paraId="783EF6F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1-1.5</w:t>
            </w:r>
          </w:p>
        </w:tc>
        <w:tc>
          <w:tcPr>
            <w:tcW w:w="5502" w:type="dxa"/>
            <w:tcMar>
              <w:top w:w="60" w:type="dxa"/>
              <w:left w:w="120" w:type="dxa"/>
              <w:bottom w:w="30" w:type="dxa"/>
              <w:right w:w="120" w:type="dxa"/>
            </w:tcMar>
          </w:tcPr>
          <w:p w14:paraId="556DCF4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不重要，组织造成导很小的损失，甚至忽略不计</w:t>
            </w:r>
          </w:p>
        </w:tc>
      </w:tr>
    </w:tbl>
    <w:p w14:paraId="42111732">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62" w:name="heading_31"/>
      <w:bookmarkStart w:id="63" w:name="_Toc25595"/>
      <w:r>
        <w:t>威胁评估</w:t>
      </w:r>
      <w:bookmarkEnd w:id="62"/>
      <w:bookmarkEnd w:id="63"/>
    </w:p>
    <w:p w14:paraId="24A6922C">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4" w:name="heading_32"/>
      <w:bookmarkStart w:id="65" w:name="_Toc6228"/>
      <w:r>
        <w:t>威胁概述</w:t>
      </w:r>
      <w:bookmarkEnd w:id="64"/>
      <w:bookmarkEnd w:id="65"/>
    </w:p>
    <w:p w14:paraId="2FD92DF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威胁是指可能对资产或组织造成损害事故的潜在原因。威胁可能源于对信息系统直接或间接的攻击，也可能源于偶发的或蓄意的内部、外部事件。威胁只有利用系统存在的脆弱点才能对系统造成影响和伤害，形成风险。</w:t>
      </w:r>
    </w:p>
    <w:p w14:paraId="5FF292F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威胁调查主要通过调查问卷、现场观察、问询等方式对信息系统进行提取威胁评估需要的相关信息。</w:t>
      </w:r>
    </w:p>
    <w:p w14:paraId="7B7AB701">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6" w:name="heading_33"/>
      <w:bookmarkStart w:id="67" w:name="_Toc15727"/>
      <w:r>
        <w:t>威胁识别</w:t>
      </w:r>
      <w:bookmarkEnd w:id="66"/>
      <w:bookmarkEnd w:id="67"/>
    </w:p>
    <w:p w14:paraId="5A0B740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威胁识别的任务主要是识别可能的威胁主体（威胁源）、威胁途径和威胁方式，威胁主体是指可能会对信息资产造成威胁的主体对象，威胁方式是指威胁主体利用脆弱性的威胁形式，威胁主体会采用威胁方法利用资产存在的脆弱性对资产进行破坏。</w:t>
      </w:r>
    </w:p>
    <w:p w14:paraId="20A88A9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威胁主体：分为人为因素和环境因素。根据威胁的动机， 人为因素又可分为恶意和非恶意两种。环境因素包括自然灾害和设施故障。</w:t>
      </w:r>
    </w:p>
    <w:p w14:paraId="3B047E9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威胁途径：分为间接接触和直接接触，间接接触主要有网络访问、语音、视频访问等形式，直接接触指威胁主体可以直接物理接触到信息资产。</w:t>
      </w:r>
    </w:p>
    <w:p w14:paraId="01392CC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威胁方式：主要有传播计算机病毒、传播异常信息(垃圾邮件、反动、色情、敏感信息)、扫描监听、网络攻击(后门、漏洞、口令、拒绝服务等)、越权或滥用、行为抵赖、滥用网络资源(P2P 下载等)、人为灾害(水、火等)、人为基础设施故障(电力、网络等)、窃取、破坏硬件、软件和数据等。</w:t>
      </w:r>
    </w:p>
    <w:p w14:paraId="15BBEFC8">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heading_34"/>
      <w:bookmarkStart w:id="69" w:name="_Toc24857"/>
      <w:r>
        <w:t>威胁分析</w:t>
      </w:r>
      <w:bookmarkEnd w:id="68"/>
      <w:bookmarkEnd w:id="69"/>
    </w:p>
    <w:p w14:paraId="7DE2E98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威胁识别工作完成之后，我们将对资产所对应的威胁进行评估，我们将威胁的权值分为 1-5 五个级别，等级越高威胁发生的可能性越大。</w:t>
      </w:r>
    </w:p>
    <w:p w14:paraId="147CE02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威胁的权值主要是根据多年的经验积累或类似行业的历史数据来确定。对于那些没有经验和历史数据的威胁，我们主要根据资产的吸引力、威胁的技术力量、脆弱性被利用的难易程度等制定了一套标准对应表， 以保证威胁等级赋值的有效性和一致性。</w:t>
      </w:r>
    </w:p>
    <w:p w14:paraId="519B35F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根据赋值准则，我们对威胁发生的可能性用频率来衡量赋值：</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88"/>
        <w:gridCol w:w="1020"/>
        <w:gridCol w:w="6472"/>
      </w:tblGrid>
      <w:tr w14:paraId="4ACD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1B406A3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等级</w:t>
            </w:r>
          </w:p>
        </w:tc>
        <w:tc>
          <w:tcPr>
            <w:tcW w:w="1020" w:type="dxa"/>
            <w:tcMar>
              <w:top w:w="60" w:type="dxa"/>
              <w:left w:w="120" w:type="dxa"/>
              <w:bottom w:w="30" w:type="dxa"/>
              <w:right w:w="120" w:type="dxa"/>
            </w:tcMar>
          </w:tcPr>
          <w:p w14:paraId="7E469D2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标识</w:t>
            </w:r>
          </w:p>
        </w:tc>
        <w:tc>
          <w:tcPr>
            <w:tcW w:w="6472" w:type="dxa"/>
            <w:tcMar>
              <w:top w:w="60" w:type="dxa"/>
              <w:left w:w="120" w:type="dxa"/>
              <w:bottom w:w="30" w:type="dxa"/>
              <w:right w:w="120" w:type="dxa"/>
            </w:tcMar>
          </w:tcPr>
          <w:p w14:paraId="416054E9">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定义</w:t>
            </w:r>
          </w:p>
        </w:tc>
      </w:tr>
      <w:tr w14:paraId="35604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5809DA4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5</w:t>
            </w:r>
          </w:p>
        </w:tc>
        <w:tc>
          <w:tcPr>
            <w:tcW w:w="1020" w:type="dxa"/>
            <w:tcMar>
              <w:top w:w="60" w:type="dxa"/>
              <w:left w:w="120" w:type="dxa"/>
              <w:bottom w:w="30" w:type="dxa"/>
              <w:right w:w="120" w:type="dxa"/>
            </w:tcMar>
          </w:tcPr>
          <w:p w14:paraId="5A4EDED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很高</w:t>
            </w:r>
          </w:p>
        </w:tc>
        <w:tc>
          <w:tcPr>
            <w:tcW w:w="6472" w:type="dxa"/>
            <w:tcMar>
              <w:top w:w="60" w:type="dxa"/>
              <w:left w:w="120" w:type="dxa"/>
              <w:bottom w:w="30" w:type="dxa"/>
              <w:right w:w="120" w:type="dxa"/>
            </w:tcMar>
          </w:tcPr>
          <w:p w14:paraId="3F84A74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威胁发生的频率极高，几乎每月都会发生，如常见网络病毒感染、垃圾邮件攻击等</w:t>
            </w:r>
          </w:p>
        </w:tc>
      </w:tr>
      <w:tr w14:paraId="0EE4D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646A5D3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4</w:t>
            </w:r>
          </w:p>
        </w:tc>
        <w:tc>
          <w:tcPr>
            <w:tcW w:w="1020" w:type="dxa"/>
            <w:tcMar>
              <w:top w:w="60" w:type="dxa"/>
              <w:left w:w="120" w:type="dxa"/>
              <w:bottom w:w="30" w:type="dxa"/>
              <w:right w:w="120" w:type="dxa"/>
            </w:tcMar>
          </w:tcPr>
          <w:p w14:paraId="0532DBF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高</w:t>
            </w:r>
          </w:p>
        </w:tc>
        <w:tc>
          <w:tcPr>
            <w:tcW w:w="6472" w:type="dxa"/>
            <w:tcMar>
              <w:top w:w="60" w:type="dxa"/>
              <w:left w:w="120" w:type="dxa"/>
              <w:bottom w:w="30" w:type="dxa"/>
              <w:right w:w="120" w:type="dxa"/>
            </w:tcMar>
          </w:tcPr>
          <w:p w14:paraId="644725B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威胁发生的频率较高，每季度可能发生一次，如弱口令被破解、非授权访问尝试等</w:t>
            </w:r>
          </w:p>
        </w:tc>
      </w:tr>
      <w:tr w14:paraId="329F4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7193385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3</w:t>
            </w:r>
          </w:p>
        </w:tc>
        <w:tc>
          <w:tcPr>
            <w:tcW w:w="1020" w:type="dxa"/>
            <w:tcMar>
              <w:top w:w="60" w:type="dxa"/>
              <w:left w:w="120" w:type="dxa"/>
              <w:bottom w:w="30" w:type="dxa"/>
              <w:right w:w="120" w:type="dxa"/>
            </w:tcMar>
          </w:tcPr>
          <w:p w14:paraId="686A1DE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中等</w:t>
            </w:r>
          </w:p>
        </w:tc>
        <w:tc>
          <w:tcPr>
            <w:tcW w:w="6472" w:type="dxa"/>
            <w:tcMar>
              <w:top w:w="60" w:type="dxa"/>
              <w:left w:w="120" w:type="dxa"/>
              <w:bottom w:w="30" w:type="dxa"/>
              <w:right w:w="120" w:type="dxa"/>
            </w:tcMar>
          </w:tcPr>
          <w:p w14:paraId="537751D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威胁发生的频率中等，每半年至一年可能发生一次，如网络设备配置错误导致的安全漏洞、内部人员误操作等</w:t>
            </w:r>
          </w:p>
        </w:tc>
      </w:tr>
      <w:tr w14:paraId="56662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38B3280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w:t>
            </w:r>
          </w:p>
        </w:tc>
        <w:tc>
          <w:tcPr>
            <w:tcW w:w="1020" w:type="dxa"/>
            <w:tcMar>
              <w:top w:w="60" w:type="dxa"/>
              <w:left w:w="120" w:type="dxa"/>
              <w:bottom w:w="30" w:type="dxa"/>
              <w:right w:w="120" w:type="dxa"/>
            </w:tcMar>
          </w:tcPr>
          <w:p w14:paraId="79127CB0">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低</w:t>
            </w:r>
          </w:p>
        </w:tc>
        <w:tc>
          <w:tcPr>
            <w:tcW w:w="6472" w:type="dxa"/>
            <w:tcMar>
              <w:top w:w="60" w:type="dxa"/>
              <w:left w:w="120" w:type="dxa"/>
              <w:bottom w:w="30" w:type="dxa"/>
              <w:right w:w="120" w:type="dxa"/>
            </w:tcMar>
          </w:tcPr>
          <w:p w14:paraId="318EC13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威胁发生的频率较低，1-3年可能发生一次，如硬件设备意外故障、轻微的自然灾害影响等</w:t>
            </w:r>
          </w:p>
        </w:tc>
      </w:tr>
      <w:tr w14:paraId="694E0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3E94AC8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1</w:t>
            </w:r>
          </w:p>
        </w:tc>
        <w:tc>
          <w:tcPr>
            <w:tcW w:w="1020" w:type="dxa"/>
            <w:tcMar>
              <w:top w:w="60" w:type="dxa"/>
              <w:left w:w="120" w:type="dxa"/>
              <w:bottom w:w="30" w:type="dxa"/>
              <w:right w:w="120" w:type="dxa"/>
            </w:tcMar>
          </w:tcPr>
          <w:p w14:paraId="47BF0AB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很低</w:t>
            </w:r>
          </w:p>
        </w:tc>
        <w:tc>
          <w:tcPr>
            <w:tcW w:w="6472" w:type="dxa"/>
            <w:tcMar>
              <w:top w:w="60" w:type="dxa"/>
              <w:left w:w="120" w:type="dxa"/>
              <w:bottom w:w="30" w:type="dxa"/>
              <w:right w:w="120" w:type="dxa"/>
            </w:tcMar>
          </w:tcPr>
          <w:p w14:paraId="1828E48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威胁发生的频率极低，3年以上才可能发生一次，如重大自然灾害直接破坏机房、高级持续性威胁（APT）针对本企业的定向攻击等</w:t>
            </w:r>
          </w:p>
        </w:tc>
      </w:tr>
    </w:tbl>
    <w:p w14:paraId="2EB2BCB4">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70" w:name="heading_35"/>
      <w:bookmarkStart w:id="71" w:name="_Toc28894"/>
      <w:r>
        <w:t>脆弱性评估</w:t>
      </w:r>
      <w:bookmarkEnd w:id="70"/>
      <w:bookmarkEnd w:id="71"/>
    </w:p>
    <w:p w14:paraId="2A52293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脆弱性是指资产中存在的可能被威胁利用的缺陷或弱点，包括技术层面和管理层面的脆弱性，其存在会增加安全事件发生的可能性及造成的影响程度。脆弱性评估需结合资产特性、业务场景，从物理环境、网络架构、系统配置、数据管理、人员操作等多维度展开。</w:t>
      </w:r>
    </w:p>
    <w:p w14:paraId="01973CE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技术脆弱性主要体现在：网络设备缺少访问控制策略、服务器操作系统未及时更新安全补丁、数据库默认账户未禁用且密码简单、应用系统存在SQL注入或跨站脚本漏洞、数据传输未采用加密技术等。管理脆弱性主要体现在：安全管理制度缺失或不完善、人员安全意识薄弱、权限分配混乱且未定期审计、应急响应流程不明确、安全培训未常态化开展等。</w:t>
      </w:r>
    </w:p>
    <w:p w14:paraId="3D66106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脆弱性赋值同样采用1-5级标准，等级越高表示脆弱性越严重，被威胁利用的难度越低。赋值需综合考虑脆弱性的暴露程度、利用难度、影响范围，具体标准如下表：</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98"/>
        <w:gridCol w:w="860"/>
        <w:gridCol w:w="6622"/>
      </w:tblGrid>
      <w:tr w14:paraId="0B3AB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2936FA3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等级</w:t>
            </w:r>
          </w:p>
        </w:tc>
        <w:tc>
          <w:tcPr>
            <w:tcW w:w="860" w:type="dxa"/>
            <w:tcMar>
              <w:top w:w="60" w:type="dxa"/>
              <w:left w:w="120" w:type="dxa"/>
              <w:bottom w:w="30" w:type="dxa"/>
              <w:right w:w="120" w:type="dxa"/>
            </w:tcMar>
          </w:tcPr>
          <w:p w14:paraId="2697605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标识</w:t>
            </w:r>
          </w:p>
        </w:tc>
        <w:tc>
          <w:tcPr>
            <w:tcW w:w="6622" w:type="dxa"/>
            <w:tcMar>
              <w:top w:w="60" w:type="dxa"/>
              <w:left w:w="120" w:type="dxa"/>
              <w:bottom w:w="30" w:type="dxa"/>
              <w:right w:w="120" w:type="dxa"/>
            </w:tcMar>
          </w:tcPr>
          <w:p w14:paraId="1816082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定义</w:t>
            </w:r>
          </w:p>
        </w:tc>
      </w:tr>
      <w:tr w14:paraId="7FEF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215ECEA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5</w:t>
            </w:r>
          </w:p>
        </w:tc>
        <w:tc>
          <w:tcPr>
            <w:tcW w:w="860" w:type="dxa"/>
            <w:tcMar>
              <w:top w:w="60" w:type="dxa"/>
              <w:left w:w="120" w:type="dxa"/>
              <w:bottom w:w="30" w:type="dxa"/>
              <w:right w:w="120" w:type="dxa"/>
            </w:tcMar>
          </w:tcPr>
          <w:p w14:paraId="16CF166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很高</w:t>
            </w:r>
          </w:p>
        </w:tc>
        <w:tc>
          <w:tcPr>
            <w:tcW w:w="6622" w:type="dxa"/>
            <w:tcMar>
              <w:top w:w="60" w:type="dxa"/>
              <w:left w:w="120" w:type="dxa"/>
              <w:bottom w:w="30" w:type="dxa"/>
              <w:right w:w="120" w:type="dxa"/>
            </w:tcMar>
          </w:tcPr>
          <w:p w14:paraId="38348A40">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脆弱性易被发现且利用难度极低，一旦被利用将导致核心资产完全失控，如管理员账户弱口令、核心系统存在公开漏洞且未修复</w:t>
            </w:r>
          </w:p>
        </w:tc>
      </w:tr>
      <w:tr w14:paraId="21E6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3340957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4</w:t>
            </w:r>
          </w:p>
        </w:tc>
        <w:tc>
          <w:tcPr>
            <w:tcW w:w="860" w:type="dxa"/>
            <w:tcMar>
              <w:top w:w="60" w:type="dxa"/>
              <w:left w:w="120" w:type="dxa"/>
              <w:bottom w:w="30" w:type="dxa"/>
              <w:right w:w="120" w:type="dxa"/>
            </w:tcMar>
          </w:tcPr>
          <w:p w14:paraId="211440D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高</w:t>
            </w:r>
          </w:p>
        </w:tc>
        <w:tc>
          <w:tcPr>
            <w:tcW w:w="6622" w:type="dxa"/>
            <w:tcMar>
              <w:top w:w="60" w:type="dxa"/>
              <w:left w:w="120" w:type="dxa"/>
              <w:bottom w:w="30" w:type="dxa"/>
              <w:right w:w="120" w:type="dxa"/>
            </w:tcMar>
          </w:tcPr>
          <w:p w14:paraId="66940A0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脆弱性较易发现，利用难度低，被利用后将造成重要资产受损，如普通用户权限过高、网络端口随意开放</w:t>
            </w:r>
          </w:p>
        </w:tc>
      </w:tr>
      <w:tr w14:paraId="3C0A1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0599D43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3</w:t>
            </w:r>
          </w:p>
        </w:tc>
        <w:tc>
          <w:tcPr>
            <w:tcW w:w="860" w:type="dxa"/>
            <w:tcMar>
              <w:top w:w="60" w:type="dxa"/>
              <w:left w:w="120" w:type="dxa"/>
              <w:bottom w:w="30" w:type="dxa"/>
              <w:right w:w="120" w:type="dxa"/>
            </w:tcMar>
          </w:tcPr>
          <w:p w14:paraId="5102AB5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中等</w:t>
            </w:r>
          </w:p>
        </w:tc>
        <w:tc>
          <w:tcPr>
            <w:tcW w:w="6622" w:type="dxa"/>
            <w:tcMar>
              <w:top w:w="60" w:type="dxa"/>
              <w:left w:w="120" w:type="dxa"/>
              <w:bottom w:w="30" w:type="dxa"/>
              <w:right w:w="120" w:type="dxa"/>
            </w:tcMar>
          </w:tcPr>
          <w:p w14:paraId="2F9696C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脆弱性需一定技术手段才能发现，利用难度中等，被利用后影响范围有限，如非核心系统补丁更新延迟、数据备份频率不足</w:t>
            </w:r>
          </w:p>
        </w:tc>
      </w:tr>
      <w:tr w14:paraId="2F961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2E4B132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w:t>
            </w:r>
          </w:p>
        </w:tc>
        <w:tc>
          <w:tcPr>
            <w:tcW w:w="860" w:type="dxa"/>
            <w:tcMar>
              <w:top w:w="60" w:type="dxa"/>
              <w:left w:w="120" w:type="dxa"/>
              <w:bottom w:w="30" w:type="dxa"/>
              <w:right w:w="120" w:type="dxa"/>
            </w:tcMar>
          </w:tcPr>
          <w:p w14:paraId="73785A9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低</w:t>
            </w:r>
          </w:p>
        </w:tc>
        <w:tc>
          <w:tcPr>
            <w:tcW w:w="6622" w:type="dxa"/>
            <w:tcMar>
              <w:top w:w="60" w:type="dxa"/>
              <w:left w:w="120" w:type="dxa"/>
              <w:bottom w:w="30" w:type="dxa"/>
              <w:right w:w="120" w:type="dxa"/>
            </w:tcMar>
          </w:tcPr>
          <w:p w14:paraId="7A909AC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脆弱性发现难度较大，利用条件苛刻，被利用后仅造成轻微影响，如办公终端缺少屏保密码、非敏感数据存储未加密</w:t>
            </w:r>
          </w:p>
        </w:tc>
      </w:tr>
      <w:tr w14:paraId="64D67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309C96D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1</w:t>
            </w:r>
          </w:p>
        </w:tc>
        <w:tc>
          <w:tcPr>
            <w:tcW w:w="860" w:type="dxa"/>
            <w:tcMar>
              <w:top w:w="60" w:type="dxa"/>
              <w:left w:w="120" w:type="dxa"/>
              <w:bottom w:w="30" w:type="dxa"/>
              <w:right w:w="120" w:type="dxa"/>
            </w:tcMar>
          </w:tcPr>
          <w:p w14:paraId="760675F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很低</w:t>
            </w:r>
          </w:p>
        </w:tc>
        <w:tc>
          <w:tcPr>
            <w:tcW w:w="6622" w:type="dxa"/>
            <w:tcMar>
              <w:top w:w="60" w:type="dxa"/>
              <w:left w:w="120" w:type="dxa"/>
              <w:bottom w:w="30" w:type="dxa"/>
              <w:right w:w="120" w:type="dxa"/>
            </w:tcMar>
          </w:tcPr>
          <w:p w14:paraId="4632947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脆弱性几乎难以发现，利用需特殊条件，被利用后无实质影响，如历史遗留的无用账户未及时清理（无权限）</w:t>
            </w:r>
          </w:p>
        </w:tc>
      </w:tr>
    </w:tbl>
    <w:p w14:paraId="1BFA2A65">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72" w:name="heading_36"/>
      <w:bookmarkStart w:id="73" w:name="_Toc30258"/>
      <w:r>
        <w:t>风险评估分析</w:t>
      </w:r>
      <w:bookmarkEnd w:id="72"/>
      <w:bookmarkEnd w:id="73"/>
    </w:p>
    <w:p w14:paraId="3CFD16D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风险评估分析是通过综合资产价值、威胁发生可能性及脆弱性严重程度，计算风险值并确定风险等级的过程，核心公式为：风险值=资产价值等级×威胁可能性等级×脆弱性严重程度等级。通过该公式计算得出的风险值，对应以下标准确定风险等级，为后续风险处置提供依据。</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18"/>
        <w:gridCol w:w="1250"/>
        <w:gridCol w:w="5512"/>
      </w:tblGrid>
      <w:tr w14:paraId="3B565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4D811AB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风险值范围</w:t>
            </w:r>
          </w:p>
        </w:tc>
        <w:tc>
          <w:tcPr>
            <w:tcW w:w="1250" w:type="dxa"/>
            <w:tcMar>
              <w:top w:w="60" w:type="dxa"/>
              <w:left w:w="120" w:type="dxa"/>
              <w:bottom w:w="30" w:type="dxa"/>
              <w:right w:w="120" w:type="dxa"/>
            </w:tcMar>
          </w:tcPr>
          <w:p w14:paraId="79DC5E0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风险等级</w:t>
            </w:r>
          </w:p>
        </w:tc>
        <w:tc>
          <w:tcPr>
            <w:tcW w:w="5512" w:type="dxa"/>
            <w:tcMar>
              <w:top w:w="60" w:type="dxa"/>
              <w:left w:w="120" w:type="dxa"/>
              <w:bottom w:w="30" w:type="dxa"/>
              <w:right w:w="120" w:type="dxa"/>
            </w:tcMar>
          </w:tcPr>
          <w:p w14:paraId="1DD38C0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处置优先级及应对措施</w:t>
            </w:r>
          </w:p>
        </w:tc>
      </w:tr>
      <w:tr w14:paraId="157E5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11CF03A0">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75-125</w:t>
            </w:r>
          </w:p>
        </w:tc>
        <w:tc>
          <w:tcPr>
            <w:tcW w:w="1250" w:type="dxa"/>
            <w:tcMar>
              <w:top w:w="60" w:type="dxa"/>
              <w:left w:w="120" w:type="dxa"/>
              <w:bottom w:w="30" w:type="dxa"/>
              <w:right w:w="120" w:type="dxa"/>
            </w:tcMar>
          </w:tcPr>
          <w:p w14:paraId="048E2DD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极高风险</w:t>
            </w:r>
          </w:p>
        </w:tc>
        <w:tc>
          <w:tcPr>
            <w:tcW w:w="5512" w:type="dxa"/>
            <w:tcMar>
              <w:top w:w="60" w:type="dxa"/>
              <w:left w:w="120" w:type="dxa"/>
              <w:bottom w:w="30" w:type="dxa"/>
              <w:right w:w="120" w:type="dxa"/>
            </w:tcMar>
          </w:tcPr>
          <w:p w14:paraId="21CD7280">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最高优先级：立即启动应急响应，24小时内制定整改方案并实施，如核心数据库被入侵风险</w:t>
            </w:r>
          </w:p>
        </w:tc>
      </w:tr>
      <w:tr w14:paraId="5B012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27F9BB2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36-74</w:t>
            </w:r>
          </w:p>
        </w:tc>
        <w:tc>
          <w:tcPr>
            <w:tcW w:w="1250" w:type="dxa"/>
            <w:tcMar>
              <w:top w:w="60" w:type="dxa"/>
              <w:left w:w="120" w:type="dxa"/>
              <w:bottom w:w="30" w:type="dxa"/>
              <w:right w:w="120" w:type="dxa"/>
            </w:tcMar>
          </w:tcPr>
          <w:p w14:paraId="169623C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高风险</w:t>
            </w:r>
          </w:p>
        </w:tc>
        <w:tc>
          <w:tcPr>
            <w:tcW w:w="5512" w:type="dxa"/>
            <w:tcMar>
              <w:top w:w="60" w:type="dxa"/>
              <w:left w:w="120" w:type="dxa"/>
              <w:bottom w:w="30" w:type="dxa"/>
              <w:right w:w="120" w:type="dxa"/>
            </w:tcMar>
          </w:tcPr>
          <w:p w14:paraId="515D6409">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高优先级：7个工作日内完成整改，期间采取临时防护措施，如服务器存在高危漏洞</w:t>
            </w:r>
          </w:p>
        </w:tc>
      </w:tr>
      <w:tr w14:paraId="1A1A1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06CF33F9">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8-35</w:t>
            </w:r>
          </w:p>
        </w:tc>
        <w:tc>
          <w:tcPr>
            <w:tcW w:w="1250" w:type="dxa"/>
            <w:tcMar>
              <w:top w:w="60" w:type="dxa"/>
              <w:left w:w="120" w:type="dxa"/>
              <w:bottom w:w="30" w:type="dxa"/>
              <w:right w:w="120" w:type="dxa"/>
            </w:tcMar>
          </w:tcPr>
          <w:p w14:paraId="0E2AA87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中等风险</w:t>
            </w:r>
          </w:p>
        </w:tc>
        <w:tc>
          <w:tcPr>
            <w:tcW w:w="5512" w:type="dxa"/>
            <w:tcMar>
              <w:top w:w="60" w:type="dxa"/>
              <w:left w:w="120" w:type="dxa"/>
              <w:bottom w:w="30" w:type="dxa"/>
              <w:right w:w="120" w:type="dxa"/>
            </w:tcMar>
          </w:tcPr>
          <w:p w14:paraId="537CA1B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中优先级：30个工作日内完成整改，定期跟踪风险变化，如权限分配不合理</w:t>
            </w:r>
          </w:p>
        </w:tc>
      </w:tr>
      <w:tr w14:paraId="325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2FCD93E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2-7</w:t>
            </w:r>
          </w:p>
        </w:tc>
        <w:tc>
          <w:tcPr>
            <w:tcW w:w="1250" w:type="dxa"/>
            <w:tcMar>
              <w:top w:w="60" w:type="dxa"/>
              <w:left w:w="120" w:type="dxa"/>
              <w:bottom w:w="30" w:type="dxa"/>
              <w:right w:w="120" w:type="dxa"/>
            </w:tcMar>
          </w:tcPr>
          <w:p w14:paraId="31208F9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低风险</w:t>
            </w:r>
          </w:p>
        </w:tc>
        <w:tc>
          <w:tcPr>
            <w:tcW w:w="5512" w:type="dxa"/>
            <w:tcMar>
              <w:top w:w="60" w:type="dxa"/>
              <w:left w:w="120" w:type="dxa"/>
              <w:bottom w:w="30" w:type="dxa"/>
              <w:right w:w="120" w:type="dxa"/>
            </w:tcMar>
          </w:tcPr>
          <w:p w14:paraId="4F8F58F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低优先级：纳入常规安全优化计划，季度内完成整改，如办公终端安全配置不规范</w:t>
            </w:r>
          </w:p>
        </w:tc>
      </w:tr>
      <w:tr w14:paraId="41F2C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0CDA385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1</w:t>
            </w:r>
          </w:p>
        </w:tc>
        <w:tc>
          <w:tcPr>
            <w:tcW w:w="1250" w:type="dxa"/>
            <w:tcMar>
              <w:top w:w="60" w:type="dxa"/>
              <w:left w:w="120" w:type="dxa"/>
              <w:bottom w:w="30" w:type="dxa"/>
              <w:right w:w="120" w:type="dxa"/>
            </w:tcMar>
          </w:tcPr>
          <w:p w14:paraId="4CC4F5A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极低风险</w:t>
            </w:r>
          </w:p>
        </w:tc>
        <w:tc>
          <w:tcPr>
            <w:tcW w:w="5512" w:type="dxa"/>
            <w:tcMar>
              <w:top w:w="60" w:type="dxa"/>
              <w:left w:w="120" w:type="dxa"/>
              <w:bottom w:w="30" w:type="dxa"/>
              <w:right w:w="120" w:type="dxa"/>
            </w:tcMar>
          </w:tcPr>
          <w:p w14:paraId="7522445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观察优先级：无需立即整改，定期监测即可，如无权限的历史账户</w:t>
            </w:r>
          </w:p>
        </w:tc>
      </w:tr>
    </w:tbl>
    <w:p w14:paraId="3D93E9A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风险评估分析需形成《信息安全风险评估分析报告》，明确各风险点的具体位置、影响范围、计算依据及初步处置建议，提交信息安全管理负责人及相关部门经理审核。</w:t>
      </w:r>
    </w:p>
    <w:p w14:paraId="59556190">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74" w:name="heading_37"/>
      <w:bookmarkStart w:id="75" w:name="_Toc6526"/>
      <w:r>
        <w:t>设计安全规范</w:t>
      </w:r>
      <w:bookmarkEnd w:id="74"/>
      <w:bookmarkEnd w:id="75"/>
    </w:p>
    <w:p w14:paraId="2F766EC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设计安全规范需以风险评估结果为核心依据，结合国家相关标准（如GB/T 22080-2016）、行业最佳实践及客户SLA中的安全要求，从物理环境、网络架构、系统安全、数据安全、人员管理等维度制定全面、可落地的安全规范体系，确保覆盖所有高风险及中等风险点。</w:t>
      </w:r>
    </w:p>
    <w:p w14:paraId="2690713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各维度安全规范核心内容包括：</w:t>
      </w:r>
    </w:p>
    <w:p w14:paraId="3A126AB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物理安全规范：明确机房准入管理流程（如双人双锁、门禁权限分级）、环境监控指标（温度18-24℃、湿度40%-60%）、设备巡检周期（每日巡检电源、空调，每周巡检消防设施）、应急处置措施（火灾、漏水应急流程）；</w:t>
      </w:r>
    </w:p>
    <w:p w14:paraId="2474317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网络安全规范：规定网络分区策略（核心区、办公区、DMZ区隔离）、防火墙配置规则（最小权限原则）、VPN接入认证要求（双因素认证）、网络日志留存期限（不少于6个月）、定期漏洞扫描周期（每月一次）；</w:t>
      </w:r>
    </w:p>
    <w:p w14:paraId="372AB19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系统安全规范：明确操作系统（Windows、Linux）安全配置基线（如禁用不必要服务、开启审计日志）、服务器密码策略（长度≥12位，包含大小写字母、数字及特殊字符，每90天更换）、补丁更新流程（高危补丁72小时内安装）、终端安全管理（安装杀毒软件、开启U盘管控）；</w:t>
      </w:r>
    </w:p>
    <w:p w14:paraId="4250C5D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数据安全规范：划分数据安全等级（绝密、机密、秘密、公开），规定不同等级数据的存储方式（绝密数据需加密存储）、传输协议（机密以上数据采用SSL/TLS加密传输）、备份策略（核心数据每日全量备份+实时增量备份，异地存储）、销毁流程（电子数据采用多次覆写，纸质数据粉碎）；</w:t>
      </w:r>
    </w:p>
    <w:p w14:paraId="6E51C2A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人员管理规范：明确岗位安全职责（信息安全管理员、系统管理员职责分离）、人员入职安全培训要求（考核合格方可上岗）、权限申请与审批流程（最小必要权限）、离职人员权限回收机制（离职当日完成账号禁用及权限注销）。</w:t>
      </w:r>
    </w:p>
    <w:p w14:paraId="167399B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安全规范需经各相关部门评审、信息安全管理负责人审核、公司管理层批准后发布实施，确保规范的权威性和可行性。</w:t>
      </w:r>
    </w:p>
    <w:p w14:paraId="0DB46237">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76" w:name="heading_38"/>
      <w:bookmarkStart w:id="77" w:name="_Toc25137"/>
      <w:r>
        <w:t>实施安全规范</w:t>
      </w:r>
      <w:bookmarkEnd w:id="76"/>
      <w:bookmarkEnd w:id="77"/>
    </w:p>
    <w:p w14:paraId="631F27A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安全规范的实施需制定详细的实施计划，明确责任部门、责任人、实施步骤、完成时限及资源需求，确保各项规范落地执行。实施过程分为准备、执行、验证三个阶段：</w:t>
      </w:r>
    </w:p>
    <w:p w14:paraId="7951D65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准备阶段：成立实施专项小组，由信息安全管理负责人牵头，各部门指定联络员配合；组织全员进行安全规范培训，确保相关人员掌握规范要求及操作方法；准备所需的软硬件资源，如杀毒软件、加密工具、门禁设备等。</w:t>
      </w:r>
    </w:p>
    <w:p w14:paraId="23483A0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执行阶段：各责任部门按照实施计划推进规范落地，如IT部门完成网络分区配置、服务器安全基线加固、数据备份系统部署；行政部门完成机房门禁升级、消防设施检修；人力资源部门完善人员安全管理流程。实施过程中需做好记录，形成《安全规范实施记录表》，详细记录实施内容、时间、遇到的问题及解决措施。</w:t>
      </w:r>
    </w:p>
    <w:p w14:paraId="376F6CA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验证阶段：实施完成后，由专项小组对安全规范的实施效果进行验证，通过现场检查、技术扫描（如漏洞扫描、配置核查）、数据测试等方式，确认各项规范是否达到预期要求。对未达标的项目，督促责任部门限期整改，直至验证通过。</w:t>
      </w:r>
    </w:p>
    <w:p w14:paraId="109BB3F2">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78" w:name="heading_39"/>
      <w:bookmarkStart w:id="79" w:name="_Toc19203"/>
      <w:r>
        <w:t>监控安全状况</w:t>
      </w:r>
      <w:bookmarkEnd w:id="78"/>
      <w:bookmarkEnd w:id="79"/>
    </w:p>
    <w:p w14:paraId="2051AA6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为确保安全规范持续有效，需建立常态化的安全状况监控机制，实时监测信息系统的安全状态，及时发现并处置安全隐患及异常事件。监控范围涵盖物理环境、网络运行、系统状态、数据流转、人员操作等方面，具体措施如下：</w:t>
      </w:r>
    </w:p>
    <w:p w14:paraId="7C05653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物理环境监控：在机房部署温湿度传感器、烟感报警器、漏水检测仪，数据实时上传至监控平台，当指标超出阈值时自动触发报警（短信+邮件通知信息安全管理员）；门禁系统记录所有出入记录，每周进行审计。</w:t>
      </w:r>
    </w:p>
    <w:p w14:paraId="0B18B44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网络安全监控：部署网络入侵检测系统（IDS）、网络入侵防御系统（IPS），实时监测网络流量中的异常行为，如端口扫描、恶意攻击、异常数据传输；利用网络管理平台监控网络设备运行状态，及时发现设备故障或配置异常。</w:t>
      </w:r>
    </w:p>
    <w:p w14:paraId="58D49D8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系统安全监控：在服务器、终端部署安全管理软件，实时监控系统进程、日志信息，及时发现病毒感染、非授权访问、补丁缺失等问题；数据库审计系统监控数据库操作，重点监测批量数据导出、权限变更等敏感操作。</w:t>
      </w:r>
    </w:p>
    <w:p w14:paraId="0E2FE2D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数据安全监控：通过数据防泄漏（DLP）系统监控敏感数据的传输和使用，防止数据非法外泄；定期检查数据备份情况，验证备份数据的完整性和可恢复性。</w:t>
      </w:r>
    </w:p>
    <w:p w14:paraId="500EF97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人员操作监控：定期审计用户账户权限及操作日志，发现权限滥用、非授权操作等情况及时处置；通过安全培训效果评估、日常抽查等方式，监控人员安全操作行为。</w:t>
      </w:r>
    </w:p>
    <w:p w14:paraId="5324D60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监控过程中发现的安全隐患及异常事件，需立即记录并按照《信息安全事件管理流程》进行处置，监控结果需形成《安全状况监控报告》，每周上报信息安全管理负责人，每月进行汇总分析。</w:t>
      </w:r>
    </w:p>
    <w:p w14:paraId="49D828DC">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80" w:name="heading_40"/>
      <w:bookmarkStart w:id="81" w:name="_Toc30650"/>
      <w:r>
        <w:t>维护安全规范</w:t>
      </w:r>
      <w:bookmarkEnd w:id="80"/>
      <w:bookmarkEnd w:id="81"/>
    </w:p>
    <w:p w14:paraId="2353DD8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信息安全环境处于动态变化中，如新的威胁技术出现、业务系统升级、法律法规更新等，都可能导致现有安全规范失效或不完善。因此，需建立安全规范的维护机制，确保规范持续适应安全需求。</w:t>
      </w:r>
    </w:p>
    <w:p w14:paraId="614F559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维护工作包括日常更新和定期修订：日常更新主要针对紧急情况，如出现重大安全漏洞、新的法律法规发布时，及时对相关规范进行补充或调整，经信息安全管理负责人审核后临时发布；定期修订每年度进行一次，由</w:t>
      </w:r>
      <w:r>
        <w:rPr>
          <w:rFonts w:hint="eastAsia"/>
          <w:lang w:val="en-US" w:eastAsia="zh-CN"/>
        </w:rPr>
        <w:t>运维部</w:t>
      </w:r>
      <w:r>
        <w:t>牵头，收集各部门对安全规范的意见和建议，结合年度风险评估结果、监控数据及行业发展趋势，对安全规范进行全面修订，修订流程与初始发布流程一致。</w:t>
      </w:r>
    </w:p>
    <w:p w14:paraId="299FA7D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安全规范的维护记录需妥善保存，包括修订原因、修订内容、审批意见等，确保规范的可追溯性。</w:t>
      </w:r>
    </w:p>
    <w:p w14:paraId="78C54F43">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82" w:name="heading_41"/>
      <w:bookmarkStart w:id="83" w:name="_Toc27707"/>
      <w:r>
        <w:t>风险的处置</w:t>
      </w:r>
      <w:bookmarkEnd w:id="82"/>
      <w:bookmarkEnd w:id="83"/>
    </w:p>
    <w:p w14:paraId="6549A54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风险处置是针对风险评估分析中识别的风险点，采取相应的处置措施，将风险控制在可接受范围内的过程。处置措施需结合风险等级及业务实际，主要包括风险规避、风险降低、风险转移、风险接受四种方式：</w:t>
      </w:r>
    </w:p>
    <w:p w14:paraId="55C5588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风险规避：对于极高风险且无法通过其他方式控制的风险，采取放弃相关业务活动或停止使用存在严重缺陷的资产的方式规避风险，如停止使用存在重大安全漏洞且无修复方案的老旧系统。</w:t>
      </w:r>
    </w:p>
    <w:p w14:paraId="3ADEBC4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风险降低：针对高风险、中等风险点，通过技术手段或管理措施降低风险发生的可能性或影响程度，如为服务器安装防火墙、定期更新补丁以降低被攻击的风险；制定数据备份策略以降低数据丢失的影响。这是最常用的风险处置方式。</w:t>
      </w:r>
    </w:p>
    <w:p w14:paraId="08778D1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风险转移：对于部分难以自行控制的风险，通过购买保险、签订服务协议等方式将风险转移给第三方，如购买信息安全责任险，将数据泄露造成的经济损失风险转移给保险公司；委托专业的安全服务公司提供漏洞扫描服务。</w:t>
      </w:r>
    </w:p>
    <w:p w14:paraId="664E3A6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风险接受：对于低风险、极低风险点，且处置成本高于风险可能造成的损失时，可选择接受风险，但需定期监测风险变化，确保风险等级未提升。</w:t>
      </w:r>
    </w:p>
    <w:p w14:paraId="0C9EFBA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风险处置需制定《风险处置计划》，明确各风险点的处置方式、责任部门、完成时限及预期效果，处置完成后需进行验证，确保风险已降至可接受范围，并更新《风险评估报告》。</w:t>
      </w:r>
    </w:p>
    <w:p w14:paraId="55D16FF3">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84" w:name="heading_42"/>
      <w:bookmarkStart w:id="85" w:name="_Toc20026"/>
      <w:r>
        <w:t>剩余风险评估</w:t>
      </w:r>
      <w:bookmarkEnd w:id="84"/>
      <w:bookmarkEnd w:id="85"/>
    </w:p>
    <w:p w14:paraId="164AFF27">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在实施风险处置措施后，需对剩余风险进行评估，判断剩余风险是否在组织可接受的风险范围内。剩余风险评估的流程与初始风险评估一致，重点评估风险处置措施的有效性及未完全消除的风险点。</w:t>
      </w:r>
    </w:p>
    <w:p w14:paraId="3859217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剩余风险评估需关注以下内容：风险处置措施是否达到预期效果，风险发生的可能性及影响程度是否降低；是否因实施风险处置措施产生了新的风险（如引入新的软件导致的兼容性漏洞）；现有剩余风险是否符合公司的风险接受准则。</w:t>
      </w:r>
    </w:p>
    <w:p w14:paraId="05F64B7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若剩余风险仍超出可接受范围，需重新制定风险处置计划，采取进一步的处置措施；若剩余风险在可接受范围内，则将其纳入常态化监控，定期跟踪风险变化。剩余风险评估结果需形成《剩余风险评估报告》，提交信息安全管理负责人及公司管理层审核。</w:t>
      </w:r>
    </w:p>
    <w:p w14:paraId="06C4E347">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86" w:name="heading_43"/>
      <w:bookmarkStart w:id="87" w:name="_Toc7020"/>
      <w:r>
        <w:t>信息安全事件管理</w:t>
      </w:r>
      <w:bookmarkEnd w:id="86"/>
      <w:bookmarkEnd w:id="87"/>
    </w:p>
    <w:p w14:paraId="78E52A5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事件是指由于自然或人为因素，导致信息系统可用性降低、数据泄露或损坏、服务中断等，对组织造成或可能造成损失的事件。为规范信息安全事件的处置流程，减少事件造成的损失，需建立完善的信息安全事件管理机制。</w:t>
      </w:r>
    </w:p>
    <w:p w14:paraId="429B2F5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事件分为四级：一级（特别重大事件）：导致核心业务系统中断24小时以上，或敏感数据大量泄露（超过10万条），造成重大经济损失或恶劣社会影响；二级（重大事件）：核心业务系统中断12-24小时，或敏感数据泄露1-10万条，造成较大经济损失；三级（较大事件）：一般业务系统中断6-12小时，或敏感数据泄露1000-10000条；四级（一般事件）：一般业务系统中断6小时以内，或敏感数据泄露少于1000条，影响范围较小。</w:t>
      </w:r>
    </w:p>
    <w:p w14:paraId="0BD5139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信息安全事件管理流程包括事件发现与报告、事件研判与分级、事件处置与控制、事件调查与总结四个阶段：</w:t>
      </w:r>
    </w:p>
    <w:p w14:paraId="5D5A731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事件发现与报告：任何人员发现信息安全事件后，需立即向信息安全管理员报告（可通过电话、邮件、即时通讯工具等方式），报告内容包括事件发生时间、地点、现象、影响范围等。信息安全管理员接到报告后，需在30分钟内初步核实事件情况。</w:t>
      </w:r>
    </w:p>
    <w:p w14:paraId="5CF7C48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事件研判与分级：信息安全管理负责人组织专项小组对事件进行研判，根据事件影响范围、损失程度等确定事件等级，并立即向对应层级的管理层报告（一级事件向公司最高管理层报告，二级事件向部门经理及以上报告，三级及以下事件向信息安全管理负责人报告）。</w:t>
      </w:r>
    </w:p>
    <w:p w14:paraId="6E261EF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事件处置与控制：根据事件等级启动相应的应急响应预案，采取止损措施，如隔离受感染的终端、关闭存在漏洞的服务、恢复备份数据等，防止事件扩大。处置过程中需做好详细记录，包括处置措施、时间、参与人员等。</w:t>
      </w:r>
    </w:p>
    <w:p w14:paraId="279DEF9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事件调查与总结：事件处置完成后，专项小组对事件原因进行深入调查，明确责任主体，分析事件暴露出的安全漏洞，并制定整改措施。同时，形成《信息安全事件调查报告》，总结事件处置经验教训，优化应急响应预案及安全规范。</w:t>
      </w:r>
    </w:p>
    <w:p w14:paraId="10B772F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信息安全事件的处置需遵循“快速响应、果断处置、减少损失、追溯根源”的原则，确保事件得到及时、有效的处理。</w:t>
      </w:r>
    </w:p>
    <w:p w14:paraId="12BF2C7C">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88" w:name="heading_44"/>
      <w:bookmarkStart w:id="89" w:name="_Toc1339"/>
      <w:r>
        <w:t>信息安全与其他流程的关系</w:t>
      </w:r>
      <w:bookmarkEnd w:id="88"/>
      <w:bookmarkEnd w:id="89"/>
    </w:p>
    <w:p w14:paraId="12572A7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信息安全管理并非独立运行，需与公司其他管理流程紧密结合，形成协同机制，确保安全要求贯穿于业务全流程。主要关联流程及协同方式如下：</w:t>
      </w:r>
    </w:p>
    <w:p w14:paraId="64D0EAF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与服务级别管理流程的关系：服务级别协议（SLA）中需明确信息安全相关的服务指标，如系统可用性、数据安全性等，信息安全管理流程需围绕这些指标制定安全措施，确保SLA的达成；同时，信息安全事件可能影响服务级别指标的实现，需及时向服务级别管理负责人反馈，共同制定应对措施。</w:t>
      </w:r>
    </w:p>
    <w:p w14:paraId="71D194D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与配置管理流程的关系：配置管理流程需将信息资产（如网络设备、服务器、软件）的配置信息纳入配置管理数据库（CMDB），信息安全管理流程依据CMDB中的配置信息开展资产评估、漏洞扫描等工作；当资产配置发生变更时，配置管理流程需及时通知信息安全管理部门，评估变更可能带来的安全风险。</w:t>
      </w:r>
    </w:p>
    <w:p w14:paraId="5037BAD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与变更管理流程的关系：任何涉及信息系统的变更（如系统升级、网络拓扑调整、权限变更）都需经过信息安全评估，变更管理流程需将信息安全评估作为必要环节，未经安全评估的变更不得实施；信息安全管理部门需参与变更方案的审核，提出安全建议，并在变更实施后验证安全措施的有效性。</w:t>
      </w:r>
    </w:p>
    <w:p w14:paraId="51AE7F4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与服务报告管理流程的关系：信息安全管理流程产生的安全状况报告、风险评估报告等需纳入服务报告体系，定期向客户及公司管理层提交，展示信息安全工作成效及存在的风险；同时，服务报告中反映的服务质量问题，需结合信息安全要求进行分析，提出改进措施。</w:t>
      </w:r>
    </w:p>
    <w:p w14:paraId="616B115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与人力资源管理流程的关系：人力资源管理流程在人员入职、调岗、离职等环节需同步执行信息安全管理要求，如入职时进行安全培训、调岗时调整权限、离职时回收账号及设备；信息安全管理部门需为人力资源部门提供安全规范支持，共同做好人员安全管理。</w:t>
      </w:r>
    </w:p>
    <w:p w14:paraId="757F3E23">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90" w:name="heading_45"/>
      <w:bookmarkStart w:id="91" w:name="_Toc4810"/>
      <w:r>
        <w:t>KPI 指标</w:t>
      </w:r>
      <w:bookmarkEnd w:id="90"/>
      <w:bookmarkEnd w:id="91"/>
    </w:p>
    <w:p w14:paraId="33D0F99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为量化信息安全管理工作成效，确保管理目标的实现，制定以下关键绩效指标（KPI），定期进行监测和评估：</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68"/>
        <w:gridCol w:w="3420"/>
        <w:gridCol w:w="1270"/>
        <w:gridCol w:w="1360"/>
      </w:tblGrid>
      <w:tr w14:paraId="1AF98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8" w:type="dxa"/>
            <w:tcMar>
              <w:top w:w="60" w:type="dxa"/>
              <w:left w:w="120" w:type="dxa"/>
              <w:bottom w:w="30" w:type="dxa"/>
              <w:right w:w="120" w:type="dxa"/>
            </w:tcMar>
          </w:tcPr>
          <w:p w14:paraId="163ED97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指标名称</w:t>
            </w:r>
          </w:p>
        </w:tc>
        <w:tc>
          <w:tcPr>
            <w:tcW w:w="3420" w:type="dxa"/>
            <w:tcMar>
              <w:top w:w="60" w:type="dxa"/>
              <w:left w:w="120" w:type="dxa"/>
              <w:bottom w:w="30" w:type="dxa"/>
              <w:right w:w="120" w:type="dxa"/>
            </w:tcMar>
          </w:tcPr>
          <w:p w14:paraId="00346DA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指标定义</w:t>
            </w:r>
          </w:p>
        </w:tc>
        <w:tc>
          <w:tcPr>
            <w:tcW w:w="1270" w:type="dxa"/>
            <w:tcMar>
              <w:top w:w="60" w:type="dxa"/>
              <w:left w:w="120" w:type="dxa"/>
              <w:bottom w:w="30" w:type="dxa"/>
              <w:right w:w="120" w:type="dxa"/>
            </w:tcMar>
          </w:tcPr>
          <w:p w14:paraId="4FF4785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目标值</w:t>
            </w:r>
          </w:p>
        </w:tc>
        <w:tc>
          <w:tcPr>
            <w:tcW w:w="1360" w:type="dxa"/>
            <w:tcMar>
              <w:top w:w="60" w:type="dxa"/>
              <w:left w:w="120" w:type="dxa"/>
              <w:bottom w:w="30" w:type="dxa"/>
              <w:right w:w="120" w:type="dxa"/>
            </w:tcMar>
          </w:tcPr>
          <w:p w14:paraId="32441B1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rPr>
                <w:rFonts w:hint="eastAsia"/>
                <w:lang w:val="en-US" w:eastAsia="zh-CN"/>
              </w:rPr>
              <w:t>统计</w:t>
            </w:r>
            <w:r>
              <w:t>周期</w:t>
            </w:r>
          </w:p>
        </w:tc>
      </w:tr>
      <w:tr w14:paraId="38B11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8" w:type="dxa"/>
            <w:tcMar>
              <w:top w:w="60" w:type="dxa"/>
              <w:left w:w="120" w:type="dxa"/>
              <w:bottom w:w="30" w:type="dxa"/>
              <w:right w:w="120" w:type="dxa"/>
            </w:tcMar>
          </w:tcPr>
          <w:p w14:paraId="2EB1635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信息安全事件数量</w:t>
            </w:r>
          </w:p>
        </w:tc>
        <w:tc>
          <w:tcPr>
            <w:tcW w:w="3420" w:type="dxa"/>
            <w:tcMar>
              <w:top w:w="60" w:type="dxa"/>
              <w:left w:w="120" w:type="dxa"/>
              <w:bottom w:w="30" w:type="dxa"/>
              <w:right w:w="120" w:type="dxa"/>
            </w:tcMar>
          </w:tcPr>
          <w:p w14:paraId="7BC9225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全年信息安全事件发生数量</w:t>
            </w:r>
          </w:p>
        </w:tc>
        <w:tc>
          <w:tcPr>
            <w:tcW w:w="1270" w:type="dxa"/>
            <w:tcMar>
              <w:top w:w="60" w:type="dxa"/>
              <w:left w:w="120" w:type="dxa"/>
              <w:bottom w:w="30" w:type="dxa"/>
              <w:right w:w="120" w:type="dxa"/>
            </w:tcMar>
          </w:tcPr>
          <w:p w14:paraId="1927FF29">
            <w:pPr>
              <w:pStyle w:val="46"/>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pPr>
            <w:r>
              <w:t>0 次</w:t>
            </w:r>
          </w:p>
        </w:tc>
        <w:tc>
          <w:tcPr>
            <w:tcW w:w="1360" w:type="dxa"/>
            <w:tcMar>
              <w:top w:w="60" w:type="dxa"/>
              <w:left w:w="120" w:type="dxa"/>
              <w:bottom w:w="30" w:type="dxa"/>
              <w:right w:w="120" w:type="dxa"/>
            </w:tcMar>
          </w:tcPr>
          <w:p w14:paraId="38FA659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年度</w:t>
            </w:r>
          </w:p>
        </w:tc>
      </w:tr>
    </w:tbl>
    <w:p w14:paraId="3E83EE7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KPI指标的监测结果需纳入月度及年度信息安全报告，针对未达标的指标，分析原因并制定改进措施，持续提升信息安全管理水平。</w:t>
      </w:r>
    </w:p>
    <w:p w14:paraId="0304065A">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92" w:name="heading_46"/>
      <w:bookmarkStart w:id="93" w:name="_Toc2963"/>
      <w:r>
        <w:t>相关文件</w:t>
      </w:r>
      <w:bookmarkEnd w:id="92"/>
      <w:bookmarkEnd w:id="93"/>
    </w:p>
    <w:p w14:paraId="30787AF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w:t>
      </w:r>
    </w:p>
    <w:p w14:paraId="4D87862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《配置管理规范》</w:t>
      </w:r>
    </w:p>
    <w:p w14:paraId="53BDA91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《变更管理流程》</w:t>
      </w:r>
    </w:p>
    <w:p w14:paraId="203EEAA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《信息安全事件应急响应预案》</w:t>
      </w:r>
    </w:p>
    <w:p w14:paraId="628E303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《机房管理规定》</w:t>
      </w:r>
    </w:p>
    <w:p w14:paraId="4F81268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《数据备份与恢复管理规范》</w:t>
      </w:r>
    </w:p>
    <w:p w14:paraId="27658A5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《员工信息安全行为准则》</w:t>
      </w:r>
    </w:p>
    <w:p w14:paraId="14821F8B">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94" w:name="heading_47"/>
      <w:bookmarkStart w:id="95" w:name="_Toc30086"/>
      <w:r>
        <w:t>相关记录</w:t>
      </w:r>
      <w:bookmarkEnd w:id="94"/>
      <w:bookmarkEnd w:id="95"/>
    </w:p>
    <w:p w14:paraId="3303000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《文件编制和变更履历表》</w:t>
      </w:r>
    </w:p>
    <w:p w14:paraId="192FB42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《信息安全风险评估报告》</w:t>
      </w:r>
    </w:p>
    <w:p w14:paraId="26216C6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《资产识别与赋值表》</w:t>
      </w:r>
    </w:p>
    <w:p w14:paraId="5D2B221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《威胁评估记录表》</w:t>
      </w:r>
    </w:p>
    <w:p w14:paraId="4F8E17F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《脆弱性评估记录表》</w:t>
      </w:r>
    </w:p>
    <w:p w14:paraId="1ECDC27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《安全规范实施记录表》</w:t>
      </w:r>
    </w:p>
    <w:p w14:paraId="07F2B1B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《安全状况监控报告》</w:t>
      </w:r>
    </w:p>
    <w:p w14:paraId="416C38F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《风险处置计划》</w:t>
      </w:r>
    </w:p>
    <w:p w14:paraId="4BA4437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《剩余风险评估报告》</w:t>
      </w:r>
    </w:p>
    <w:p w14:paraId="5CCBF14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《信息安全事件报告》</w:t>
      </w:r>
    </w:p>
    <w:p w14:paraId="1BE83B2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《信息安全事件调查报告》</w:t>
      </w:r>
    </w:p>
    <w:p w14:paraId="1A4F9D3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《员工安全培训记录表》</w:t>
      </w:r>
    </w:p>
    <w:p w14:paraId="6EBB47E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《数据备份验证记录表》</w:t>
      </w:r>
    </w:p>
    <w:p w14:paraId="019683D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《KPI指标监测统计表》</w:t>
      </w:r>
    </w:p>
    <w:p w14:paraId="7101167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p>
    <w:bookmarkEnd w:id="96"/>
    <w:sectPr>
      <w:headerReference r:id="rId5" w:type="default"/>
      <w:footerReference r:id="rId6" w:type="default"/>
      <w:pgSz w:w="11905" w:h="16840"/>
      <w:pgMar w:top="1440" w:right="1800" w:bottom="1440" w:left="18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04898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C804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TrackMoves/>
  <w:documentProtection w:enforcement="0"/>
  <w:defaultTabStop w:val="720"/>
  <w:characterSpacingControl w:val="doNotCompress"/>
  <w:footnotePr>
    <w:footnote w:id="0"/>
    <w:footnote w:id="1"/>
  </w:footnotePr>
  <w:endnotePr>
    <w:endnote w:id="0"/>
    <w:endnote w:id="1"/>
  </w:endnotePr>
  <w:compat>
    <w:useFELayout/>
    <w:splitPgBreakAndParaMark/>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8696346"/>
    <w:rsid w:val="31523460"/>
    <w:rsid w:val="33070D20"/>
    <w:rsid w:val="3C137C90"/>
    <w:rsid w:val="4CEE0089"/>
    <w:rsid w:val="4FED11FC"/>
    <w:rsid w:val="57C90FB9"/>
    <w:rsid w:val="68CF1A1A"/>
    <w:rsid w:val="6B8005EE"/>
    <w:rsid w:val="7DD30A5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2">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Salutation"/>
    <w:basedOn w:val="1"/>
    <w:next w:val="1"/>
    <w:qFormat/>
    <w:uiPriority w:val="0"/>
  </w:style>
  <w:style w:type="paragraph" w:styleId="14">
    <w:name w:val="Body Text"/>
    <w:basedOn w:val="1"/>
    <w:semiHidden/>
    <w:qFormat/>
    <w:uiPriority w:val="0"/>
    <w:rPr>
      <w:rFonts w:ascii="Arial" w:hAnsi="Arial" w:eastAsia="Arial" w:cs="Arial"/>
      <w:sz w:val="21"/>
      <w:szCs w:val="21"/>
      <w:lang w:val="en-US" w:eastAsia="en-US" w:bidi="ar-SA"/>
    </w:rPr>
  </w:style>
  <w:style w:type="paragraph" w:styleId="15">
    <w:name w:val="toc 3"/>
    <w:basedOn w:val="1"/>
    <w:next w:val="1"/>
    <w:qFormat/>
    <w:uiPriority w:val="0"/>
    <w:pPr>
      <w:ind w:left="840" w:leftChars="400"/>
    </w:pPr>
  </w:style>
  <w:style w:type="paragraph" w:styleId="16">
    <w:name w:val="Date"/>
    <w:basedOn w:val="1"/>
    <w:next w:val="1"/>
    <w:qFormat/>
    <w:uiPriority w:val="0"/>
    <w:pPr>
      <w:ind w:left="100" w:leftChars="2500"/>
    </w:pPr>
  </w:style>
  <w:style w:type="paragraph" w:styleId="17">
    <w:name w:val="endnote text"/>
    <w:basedOn w:val="1"/>
    <w:qFormat/>
    <w:uiPriority w:val="0"/>
    <w:pPr>
      <w:snapToGrid w:val="0"/>
      <w:jc w:val="left"/>
    </w:pPr>
  </w:style>
  <w:style w:type="paragraph" w:styleId="18">
    <w:name w:val="Balloon Text"/>
    <w:basedOn w:val="1"/>
    <w:qFormat/>
    <w:uiPriority w:val="0"/>
    <w:rPr>
      <w:sz w:val="18"/>
    </w:rPr>
  </w:style>
  <w:style w:type="paragraph" w:styleId="19">
    <w:name w:val="footer"/>
    <w:basedOn w:val="1"/>
    <w:qFormat/>
    <w:uiPriority w:val="0"/>
    <w:pPr>
      <w:tabs>
        <w:tab w:val="center" w:pos="4153"/>
        <w:tab w:val="right" w:pos="8306"/>
      </w:tabs>
      <w:snapToGrid w:val="0"/>
      <w:jc w:val="left"/>
    </w:pPr>
    <w:rPr>
      <w:sz w:val="18"/>
    </w:rPr>
  </w:style>
  <w:style w:type="paragraph" w:styleId="20">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21">
    <w:name w:val="Signature"/>
    <w:basedOn w:val="1"/>
    <w:qFormat/>
    <w:uiPriority w:val="0"/>
    <w:pPr>
      <w:ind w:left="100" w:leftChars="2100"/>
    </w:pPr>
  </w:style>
  <w:style w:type="paragraph" w:styleId="22">
    <w:name w:val="toc 1"/>
    <w:basedOn w:val="1"/>
    <w:next w:val="1"/>
    <w:qFormat/>
    <w:uiPriority w:val="0"/>
    <w:rPr>
      <w:rFonts w:ascii="Arial" w:hAnsi="Arial" w:eastAsia="Microsoft JhengHei"/>
      <w:sz w:val="24"/>
    </w:rPr>
  </w:style>
  <w:style w:type="paragraph" w:styleId="23">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4">
    <w:name w:val="footnote text"/>
    <w:basedOn w:val="1"/>
    <w:qFormat/>
    <w:uiPriority w:val="0"/>
    <w:pPr>
      <w:snapToGrid w:val="0"/>
      <w:jc w:val="left"/>
    </w:pPr>
    <w:rPr>
      <w:sz w:val="18"/>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rPr>
      <w:sz w:val="24"/>
    </w:rPr>
  </w:style>
  <w:style w:type="paragraph" w:styleId="28">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29">
    <w:name w:val="annotation subject"/>
    <w:basedOn w:val="12"/>
    <w:next w:val="12"/>
    <w:qFormat/>
    <w:uiPriority w:val="0"/>
    <w:rPr>
      <w:b/>
    </w:rPr>
  </w:style>
  <w:style w:type="table" w:styleId="31">
    <w:name w:val="Table Grid"/>
    <w:basedOn w:val="3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Strong"/>
    <w:basedOn w:val="32"/>
    <w:qFormat/>
    <w:uiPriority w:val="0"/>
    <w:rPr>
      <w:b/>
    </w:rPr>
  </w:style>
  <w:style w:type="character" w:styleId="34">
    <w:name w:val="endnote reference"/>
    <w:basedOn w:val="32"/>
    <w:qFormat/>
    <w:uiPriority w:val="0"/>
    <w:rPr>
      <w:vertAlign w:val="superscript"/>
    </w:rPr>
  </w:style>
  <w:style w:type="character" w:styleId="35">
    <w:name w:val="page number"/>
    <w:basedOn w:val="32"/>
    <w:qFormat/>
    <w:uiPriority w:val="0"/>
  </w:style>
  <w:style w:type="character" w:styleId="36">
    <w:name w:val="FollowedHyperlink"/>
    <w:basedOn w:val="32"/>
    <w:qFormat/>
    <w:uiPriority w:val="0"/>
    <w:rPr>
      <w:color w:val="800080"/>
      <w:u w:val="single"/>
    </w:rPr>
  </w:style>
  <w:style w:type="character" w:styleId="37">
    <w:name w:val="Emphasis"/>
    <w:basedOn w:val="32"/>
    <w:qFormat/>
    <w:uiPriority w:val="0"/>
    <w:rPr>
      <w:i/>
    </w:rPr>
  </w:style>
  <w:style w:type="character" w:styleId="38">
    <w:name w:val="Hyperlink"/>
    <w:basedOn w:val="32"/>
    <w:qFormat/>
    <w:uiPriority w:val="0"/>
    <w:rPr>
      <w:color w:val="0000FF"/>
      <w:u w:val="single"/>
    </w:rPr>
  </w:style>
  <w:style w:type="character" w:styleId="39">
    <w:name w:val="annotation reference"/>
    <w:basedOn w:val="32"/>
    <w:qFormat/>
    <w:uiPriority w:val="0"/>
    <w:rPr>
      <w:sz w:val="21"/>
    </w:rPr>
  </w:style>
  <w:style w:type="character" w:styleId="40">
    <w:name w:val="footnote reference"/>
    <w:basedOn w:val="32"/>
    <w:qFormat/>
    <w:uiPriority w:val="0"/>
    <w:rPr>
      <w:vertAlign w:val="superscript"/>
    </w:rPr>
  </w:style>
  <w:style w:type="paragraph" w:customStyle="1" w:styleId="41">
    <w:name w:val="柴_公司名"/>
    <w:basedOn w:val="28"/>
    <w:qFormat/>
    <w:uiPriority w:val="0"/>
    <w:pPr>
      <w:spacing w:after="600" w:afterLines="600"/>
    </w:pPr>
    <w:rPr>
      <w:rFonts w:hint="eastAsia" w:ascii="宋体" w:hAnsi="宋体" w:eastAsia="宋体" w:cs="宋体"/>
      <w:bCs/>
      <w:spacing w:val="-6"/>
      <w:sz w:val="52"/>
      <w:szCs w:val="52"/>
    </w:rPr>
  </w:style>
  <w:style w:type="paragraph" w:customStyle="1" w:styleId="42">
    <w:name w:val="柴_文档名"/>
    <w:basedOn w:val="28"/>
    <w:qFormat/>
    <w:uiPriority w:val="0"/>
    <w:pPr>
      <w:spacing w:after="900" w:afterLines="900"/>
    </w:pPr>
    <w:rPr>
      <w:rFonts w:ascii="黑体" w:hAnsi="黑体" w:eastAsia="黑体" w:cs="黑体"/>
      <w:bCs/>
      <w:spacing w:val="-7"/>
      <w:sz w:val="52"/>
      <w:szCs w:val="52"/>
    </w:rPr>
  </w:style>
  <w:style w:type="table" w:customStyle="1" w:styleId="43">
    <w:name w:val="Table Normal_0"/>
    <w:semiHidden/>
    <w:unhideWhenUsed/>
    <w:qFormat/>
    <w:uiPriority w:val="0"/>
    <w:tblPr>
      <w:tblCellMar>
        <w:top w:w="0" w:type="dxa"/>
        <w:left w:w="0" w:type="dxa"/>
        <w:bottom w:w="0" w:type="dxa"/>
        <w:right w:w="0" w:type="dxa"/>
      </w:tblCellMar>
    </w:tblPr>
  </w:style>
  <w:style w:type="paragraph" w:customStyle="1" w:styleId="44">
    <w:name w:val="Table Text"/>
    <w:basedOn w:val="1"/>
    <w:semiHidden/>
    <w:qFormat/>
    <w:uiPriority w:val="0"/>
    <w:rPr>
      <w:rFonts w:ascii="宋体" w:hAnsi="宋体" w:eastAsia="宋体" w:cs="宋体"/>
      <w:sz w:val="21"/>
      <w:szCs w:val="21"/>
      <w:lang w:val="en-US" w:eastAsia="en-US" w:bidi="ar-SA"/>
    </w:rPr>
  </w:style>
  <w:style w:type="paragraph" w:customStyle="1" w:styleId="45">
    <w:name w:val="柴_标题1"/>
    <w:basedOn w:val="2"/>
    <w:next w:val="46"/>
    <w:link w:val="55"/>
    <w:qFormat/>
    <w:uiPriority w:val="0"/>
    <w:pPr>
      <w:spacing w:before="100" w:after="90" w:line="360" w:lineRule="auto"/>
    </w:pPr>
    <w:rPr>
      <w:rFonts w:ascii="Arial" w:hAnsi="Arial" w:eastAsia="宋体"/>
      <w:sz w:val="32"/>
    </w:rPr>
  </w:style>
  <w:style w:type="paragraph" w:customStyle="1" w:styleId="46">
    <w:name w:val="柴_正文"/>
    <w:basedOn w:val="14"/>
    <w:link w:val="58"/>
    <w:qFormat/>
    <w:uiPriority w:val="0"/>
    <w:pPr>
      <w:spacing w:line="360" w:lineRule="auto"/>
      <w:ind w:firstLine="470" w:firstLineChars="200"/>
    </w:pPr>
    <w:rPr>
      <w:rFonts w:ascii="Arial" w:hAnsi="Arial" w:eastAsia="宋体"/>
      <w:sz w:val="24"/>
      <w:lang w:eastAsia="zh-CN"/>
    </w:rPr>
  </w:style>
  <w:style w:type="paragraph" w:customStyle="1" w:styleId="47">
    <w:name w:val="柴_标题2"/>
    <w:basedOn w:val="3"/>
    <w:next w:val="46"/>
    <w:qFormat/>
    <w:uiPriority w:val="0"/>
    <w:pPr>
      <w:spacing w:line="360" w:lineRule="auto"/>
    </w:pPr>
    <w:rPr>
      <w:rFonts w:ascii="Arial" w:hAnsi="Arial" w:eastAsia="宋体"/>
      <w:sz w:val="28"/>
    </w:rPr>
  </w:style>
  <w:style w:type="paragraph" w:customStyle="1" w:styleId="48">
    <w:name w:val="柴_标题3"/>
    <w:basedOn w:val="4"/>
    <w:next w:val="46"/>
    <w:qFormat/>
    <w:uiPriority w:val="0"/>
    <w:pPr>
      <w:spacing w:line="360" w:lineRule="auto"/>
      <w:ind w:left="0" w:firstLine="472" w:firstLineChars="200"/>
    </w:pPr>
    <w:rPr>
      <w:rFonts w:ascii="宋体" w:hAnsi="宋体" w:eastAsia="宋体" w:cs="宋体"/>
      <w:spacing w:val="-2"/>
      <w:sz w:val="24"/>
      <w:szCs w:val="24"/>
    </w:rPr>
  </w:style>
  <w:style w:type="paragraph" w:customStyle="1" w:styleId="49">
    <w:name w:val="柴_目录"/>
    <w:basedOn w:val="1"/>
    <w:next w:val="14"/>
    <w:qFormat/>
    <w:uiPriority w:val="0"/>
    <w:pPr>
      <w:tabs>
        <w:tab w:val="right" w:leader="dot" w:pos="8442"/>
      </w:tabs>
      <w:ind w:left="0" w:leftChars="0"/>
    </w:pPr>
    <w:rPr>
      <w:rFonts w:ascii="Arial" w:hAnsi="Arial" w:eastAsia="Microsoft JhengHei"/>
      <w:sz w:val="24"/>
    </w:rPr>
  </w:style>
  <w:style w:type="paragraph" w:customStyle="1" w:styleId="50">
    <w:name w:val="WPSOffice手动目录 1"/>
    <w:qFormat/>
    <w:uiPriority w:val="0"/>
    <w:pPr>
      <w:ind w:leftChars="0"/>
    </w:pPr>
    <w:rPr>
      <w:rFonts w:ascii="Times New Roman" w:hAnsi="Times New Roman" w:eastAsia="宋体" w:cs="Times New Roman"/>
      <w:sz w:val="20"/>
      <w:szCs w:val="20"/>
    </w:rPr>
  </w:style>
  <w:style w:type="paragraph" w:customStyle="1" w:styleId="51">
    <w:name w:val="WPSOffice手动目录 2"/>
    <w:qFormat/>
    <w:uiPriority w:val="0"/>
    <w:pPr>
      <w:ind w:leftChars="200"/>
    </w:pPr>
    <w:rPr>
      <w:rFonts w:ascii="Times New Roman" w:hAnsi="Times New Roman" w:eastAsia="宋体" w:cs="Times New Roman"/>
      <w:sz w:val="20"/>
      <w:szCs w:val="20"/>
    </w:rPr>
  </w:style>
  <w:style w:type="paragraph" w:customStyle="1" w:styleId="52">
    <w:name w:val="WPSOffice手动目录 3"/>
    <w:qFormat/>
    <w:uiPriority w:val="0"/>
    <w:pPr>
      <w:ind w:leftChars="400"/>
    </w:pPr>
    <w:rPr>
      <w:rFonts w:ascii="Times New Roman" w:hAnsi="Times New Roman" w:eastAsia="宋体" w:cs="Times New Roman"/>
      <w:sz w:val="20"/>
      <w:szCs w:val="20"/>
    </w:rPr>
  </w:style>
  <w:style w:type="paragraph" w:customStyle="1" w:styleId="53">
    <w:name w:val="Compact"/>
    <w:basedOn w:val="14"/>
    <w:qFormat/>
    <w:uiPriority w:val="0"/>
    <w:pPr>
      <w:spacing w:before="36" w:after="36"/>
    </w:pPr>
  </w:style>
  <w:style w:type="table" w:customStyle="1" w:styleId="5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5">
    <w:name w:val="柴_标题1 Char"/>
    <w:link w:val="45"/>
    <w:qFormat/>
    <w:uiPriority w:val="0"/>
    <w:rPr>
      <w:rFonts w:ascii="Arial" w:hAnsi="Arial" w:eastAsia="宋体"/>
      <w:sz w:val="32"/>
    </w:rPr>
  </w:style>
  <w:style w:type="paragraph" w:customStyle="1" w:styleId="56">
    <w:name w:val="柴_正文_无缩进"/>
    <w:basedOn w:val="1"/>
    <w:qFormat/>
    <w:uiPriority w:val="0"/>
    <w:pPr>
      <w:ind w:firstLine="0" w:firstLineChars="0"/>
    </w:pPr>
    <w:rPr>
      <w:rFonts w:ascii="Arial" w:hAnsi="Arial"/>
      <w:sz w:val="24"/>
      <w:lang w:eastAsia="zh-CN"/>
    </w:rPr>
  </w:style>
  <w:style w:type="paragraph" w:customStyle="1" w:styleId="57">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58">
    <w:name w:val="柴_正文 Char"/>
    <w:link w:val="46"/>
    <w:qFormat/>
    <w:uiPriority w:val="0"/>
    <w:rPr>
      <w:rFonts w:ascii="Arial" w:hAnsi="Arial" w:eastAsia="宋体"/>
      <w:sz w:val="24"/>
      <w:lang w:eastAsia="zh-CN"/>
    </w:rPr>
  </w:style>
  <w:style w:type="table" w:customStyle="1" w:styleId="59">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12709</Words>
  <Characters>13148</Characters>
  <Lines>0</Lines>
  <Paragraphs>0</Paragraphs>
  <TotalTime>0</TotalTime>
  <ScaleCrop>false</ScaleCrop>
  <LinksUpToDate>false</LinksUpToDate>
  <CharactersWithSpaces>13405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2025-12-05T09:33:00Z</dcterms:created>
  <dc:creator>Apache POI</dc:creator>
  <cp:lastModifiedBy>郝宇</cp:lastModifiedBy>
  <dcterms:modified xsi:type="dcterms:W3CDTF">2026-03-04T19:04:50Z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84C208AEEF3F4E439854875A53C358DD_12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