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9004C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bookmarkStart w:id="0" w:name="_Toc340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586CEA4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16479"/>
      <w:r>
        <w:rPr>
          <w:rFonts w:hint="eastAsia"/>
          <w:lang w:val="en-US" w:eastAsia="zh-CN"/>
        </w:rPr>
        <w:t>曲靖供电局110kV变电站电力监控系统网络安全态势感知建设项目</w:t>
      </w:r>
      <w:bookmarkEnd w:id="1"/>
    </w:p>
    <w:p w14:paraId="018EEAC4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2" w:name="_Toc3456"/>
      <w:r>
        <w:rPr>
          <w:rFonts w:hint="eastAsia"/>
          <w:lang w:val="en-US" w:eastAsia="zh-CN"/>
        </w:rPr>
        <w:t>扩容方案</w:t>
      </w:r>
      <w:bookmarkEnd w:id="2"/>
    </w:p>
    <w:p w14:paraId="341F5400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3" w:name="_Toc15294"/>
      <w:r>
        <w:rPr>
          <w:rFonts w:hint="eastAsia"/>
          <w:lang w:val="en-US" w:eastAsia="zh-CN"/>
        </w:rPr>
        <w:t>（HXDL-ITSS-0612）</w:t>
      </w:r>
      <w:bookmarkEnd w:id="3"/>
    </w:p>
    <w:p w14:paraId="63C911CC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095"/>
      </w:tblGrid>
      <w:tr w14:paraId="6FB59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984" w:type="dxa"/>
          </w:tcPr>
          <w:p w14:paraId="4BA6E37A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095" w:type="dxa"/>
          </w:tcPr>
          <w:p w14:paraId="1CAE00DA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2025.08.07</w:t>
            </w:r>
          </w:p>
        </w:tc>
      </w:tr>
      <w:tr w14:paraId="7A3A5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984" w:type="dxa"/>
            <w:shd w:val="clear" w:color="auto" w:fill="auto"/>
          </w:tcPr>
          <w:p w14:paraId="6F764D19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095" w:type="dxa"/>
            <w:shd w:val="clear" w:color="auto" w:fill="auto"/>
          </w:tcPr>
          <w:p w14:paraId="732317B4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2025.08.07</w:t>
            </w:r>
          </w:p>
        </w:tc>
      </w:tr>
      <w:tr w14:paraId="05B4D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984" w:type="dxa"/>
          </w:tcPr>
          <w:p w14:paraId="6C3ED93E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095" w:type="dxa"/>
          </w:tcPr>
          <w:p w14:paraId="3903579D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2025.08.07</w:t>
            </w:r>
          </w:p>
        </w:tc>
      </w:tr>
    </w:tbl>
    <w:p w14:paraId="65F81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399951D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bookmarkStart w:id="4" w:name="_Toc22035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4"/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181745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7B9E74E1">
            <w:pPr>
              <w:spacing w:line="350" w:lineRule="auto"/>
              <w:rPr>
                <w:rFonts w:ascii="Arial"/>
                <w:sz w:val="21"/>
              </w:rPr>
            </w:pPr>
          </w:p>
          <w:p w14:paraId="664337D3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D3E5303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D025A61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46561416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1DFD3577">
            <w:pPr>
              <w:spacing w:line="350" w:lineRule="auto"/>
              <w:rPr>
                <w:rFonts w:ascii="Arial"/>
                <w:sz w:val="21"/>
              </w:rPr>
            </w:pPr>
          </w:p>
          <w:p w14:paraId="7B2BCDF6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24F90B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0ED7AC9F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74B98A4F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3AC28856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041922C0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54CFC651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010D0CC6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56870E4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7261272C">
            <w:pPr>
              <w:rPr>
                <w:rFonts w:ascii="Arial"/>
                <w:sz w:val="21"/>
              </w:rPr>
            </w:pPr>
          </w:p>
        </w:tc>
      </w:tr>
      <w:tr w14:paraId="4976C7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10D84563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0F029974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 w14:paraId="2128F3EA">
            <w:pPr>
              <w:pStyle w:val="27"/>
              <w:spacing w:before="230" w:line="237" w:lineRule="auto"/>
              <w:ind w:left="104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.7</w:t>
            </w:r>
          </w:p>
        </w:tc>
        <w:tc>
          <w:tcPr>
            <w:tcW w:w="957" w:type="dxa"/>
          </w:tcPr>
          <w:p w14:paraId="02DCAA5A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7993F1DA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.7</w:t>
            </w:r>
          </w:p>
        </w:tc>
        <w:tc>
          <w:tcPr>
            <w:tcW w:w="1017" w:type="dxa"/>
          </w:tcPr>
          <w:p w14:paraId="42F69441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 w14:paraId="44122AEF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7387BFBB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3243F0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26495C0C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24554624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1D6A6A2A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C075465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613CB8DC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3DFD2693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 w14:paraId="07C0CA2F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08E80E87">
            <w:pPr>
              <w:pStyle w:val="27"/>
              <w:spacing w:before="152" w:line="219" w:lineRule="auto"/>
              <w:ind w:left="436"/>
            </w:pPr>
          </w:p>
        </w:tc>
      </w:tr>
      <w:tr w14:paraId="206928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626AAE1C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52243594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205DCFA0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6F762F91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758D2377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3E8281C3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3AE2B7E9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6AEE7B01">
            <w:pPr>
              <w:pStyle w:val="27"/>
              <w:spacing w:before="157" w:line="219" w:lineRule="auto"/>
              <w:ind w:left="436"/>
            </w:pPr>
          </w:p>
        </w:tc>
      </w:tr>
    </w:tbl>
    <w:p w14:paraId="7CF20D9D"/>
    <w:p w14:paraId="6C764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9027"/>
        <w15:color w:val="DBDBDB"/>
        <w:docPartObj>
          <w:docPartGallery w:val="Table of Contents"/>
          <w:docPartUnique/>
        </w:docPartObj>
      </w:sdtPr>
      <w:sdtContent>
        <w:p w14:paraId="323A2B0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F834049">
          <w:pPr>
            <w:pStyle w:val="16"/>
            <w:tabs>
              <w:tab w:val="right" w:leader="dot" w:pos="8306"/>
            </w:tabs>
          </w:pPr>
          <w:bookmarkStart w:id="19" w:name="_GoBack"/>
          <w:bookmarkEnd w:id="19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_Toc3404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_Toc3404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3624C9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_Toc16479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曲靖供电局110kV变电站电力监控系统网络安全态势感知建设项目</w:t>
          </w:r>
          <w:r>
            <w:tab/>
          </w:r>
          <w:r>
            <w:fldChar w:fldCharType="begin"/>
          </w:r>
          <w:r>
            <w:instrText xml:space="preserve"> PAGEREF _Toc16479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DCB60B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_Toc3456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扩容方案</w:t>
          </w:r>
          <w:r>
            <w:tab/>
          </w:r>
          <w:r>
            <w:fldChar w:fldCharType="begin"/>
          </w:r>
          <w:r>
            <w:instrText xml:space="preserve"> PAGEREF _Toc3456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962FB0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_Toc15294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（HXDL-ITSS-0612）</w:t>
          </w:r>
          <w:r>
            <w:tab/>
          </w:r>
          <w:r>
            <w:fldChar w:fldCharType="begin"/>
          </w:r>
          <w:r>
            <w:instrText xml:space="preserve"> PAGEREF _Toc15294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89C0D1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_Toc22035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_Toc22035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C90E89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_Toc9753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扩容背景与需求分析</w:t>
          </w:r>
          <w:r>
            <w:tab/>
          </w:r>
          <w:r>
            <w:fldChar w:fldCharType="begin"/>
          </w:r>
          <w:r>
            <w:instrText xml:space="preserve"> PAGEREF _Toc9753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8FDA2C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_Toc28259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现状评估与扩容目标</w:t>
          </w:r>
          <w:r>
            <w:tab/>
          </w:r>
          <w:r>
            <w:fldChar w:fldCharType="begin"/>
          </w:r>
          <w:r>
            <w:instrText xml:space="preserve"> PAGEREF _Toc28259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A22246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_Toc27682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扩容技术方案建议</w:t>
          </w:r>
          <w:r>
            <w:tab/>
          </w:r>
          <w:r>
            <w:fldChar w:fldCharType="begin"/>
          </w:r>
          <w:r>
            <w:instrText xml:space="preserve"> PAGEREF _Toc27682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890A4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_Toc12291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深度评估与方案设计</w:t>
          </w:r>
          <w:r>
            <w:tab/>
          </w:r>
          <w:r>
            <w:fldChar w:fldCharType="begin"/>
          </w:r>
          <w:r>
            <w:instrText xml:space="preserve"> PAGEREF _Toc12291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0A33D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_Toc10806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设备采购与准备</w:t>
          </w:r>
          <w:r>
            <w:tab/>
          </w:r>
          <w:r>
            <w:fldChar w:fldCharType="begin"/>
          </w:r>
          <w:r>
            <w:instrText xml:space="preserve"> PAGEREF _Toc10806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3FFE9F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_Toc12935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安装、部署与集成实施</w:t>
          </w:r>
          <w:r>
            <w:tab/>
          </w:r>
          <w:r>
            <w:fldChar w:fldCharType="begin"/>
          </w:r>
          <w:r>
            <w:instrText xml:space="preserve"> PAGEREF _Toc12935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BB15DB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_Toc7046 </w:instrText>
          </w:r>
          <w: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测试、优化与交付</w:t>
          </w:r>
          <w:r>
            <w:tab/>
          </w:r>
          <w:r>
            <w:fldChar w:fldCharType="begin"/>
          </w:r>
          <w:r>
            <w:instrText xml:space="preserve"> PAGEREF _Toc7046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A631DB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_Toc26274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实施计划与工期</w:t>
          </w:r>
          <w:r>
            <w:tab/>
          </w:r>
          <w:r>
            <w:fldChar w:fldCharType="begin"/>
          </w:r>
          <w:r>
            <w:instrText xml:space="preserve"> PAGEREF _Toc26274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2C7E50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_Toc3891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双方责任与分工</w:t>
          </w:r>
          <w:r>
            <w:tab/>
          </w:r>
          <w:r>
            <w:fldChar w:fldCharType="begin"/>
          </w:r>
          <w:r>
            <w:instrText xml:space="preserve"> PAGEREF _Toc3891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2355FA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_Toc25411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</w:rPr>
            <w:t>甲方责任</w:t>
          </w:r>
          <w:r>
            <w:tab/>
          </w:r>
          <w:r>
            <w:fldChar w:fldCharType="begin"/>
          </w:r>
          <w:r>
            <w:instrText xml:space="preserve"> PAGEREF _Toc25411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9C6E8D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_Toc31609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rPr>
              <w:rFonts w:hint="eastAsia"/>
            </w:rPr>
            <w:t>乙方责任</w:t>
          </w:r>
          <w:r>
            <w:tab/>
          </w:r>
          <w:r>
            <w:fldChar w:fldCharType="begin"/>
          </w:r>
          <w:r>
            <w:instrText xml:space="preserve"> PAGEREF _Toc31609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F0099A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_Toc15511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验收标准</w:t>
          </w:r>
          <w:r>
            <w:tab/>
          </w:r>
          <w:r>
            <w:fldChar w:fldCharType="begin"/>
          </w:r>
          <w:r>
            <w:instrText xml:space="preserve"> PAGEREF _Toc15511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D1E172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_Toc18219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</w:rPr>
            <w:t>费用估算建议</w:t>
          </w:r>
          <w:r>
            <w:tab/>
          </w:r>
          <w:r>
            <w:fldChar w:fldCharType="begin"/>
          </w:r>
          <w:r>
            <w:instrText xml:space="preserve"> PAGEREF _Toc18219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19A5C2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_Toc15383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rPr>
              <w:rFonts w:hint="eastAsia"/>
            </w:rPr>
            <w:t>风险与应对</w:t>
          </w:r>
          <w:r>
            <w:tab/>
          </w:r>
          <w:r>
            <w:fldChar w:fldCharType="begin"/>
          </w:r>
          <w:r>
            <w:instrText xml:space="preserve"> PAGEREF _Toc15383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45F0ECE">
          <w:r>
            <w:fldChar w:fldCharType="end"/>
          </w:r>
        </w:p>
      </w:sdtContent>
    </w:sdt>
    <w:p w14:paraId="78510CF6"/>
    <w:p w14:paraId="25C76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129D287">
      <w:pPr>
        <w:rPr>
          <w:rFonts w:hint="default"/>
          <w:lang w:val="en-US" w:eastAsia="zh-CN"/>
        </w:rPr>
      </w:pPr>
    </w:p>
    <w:p w14:paraId="1AFE1BD9">
      <w:pPr>
        <w:pStyle w:val="29"/>
        <w:bidi w:val="0"/>
        <w:rPr>
          <w:rFonts w:hint="eastAsia"/>
        </w:rPr>
      </w:pPr>
      <w:bookmarkStart w:id="5" w:name="_Toc9753"/>
      <w:r>
        <w:rPr>
          <w:rFonts w:hint="eastAsia"/>
        </w:rPr>
        <w:t>扩容背景与需求分析</w:t>
      </w:r>
      <w:bookmarkEnd w:id="5"/>
    </w:p>
    <w:p w14:paraId="0D887618">
      <w:pPr>
        <w:pStyle w:val="30"/>
        <w:bidi w:val="0"/>
        <w:rPr>
          <w:rFonts w:hint="eastAsia"/>
        </w:rPr>
      </w:pPr>
      <w:r>
        <w:rPr>
          <w:rFonts w:hint="eastAsia"/>
        </w:rPr>
        <w:t>根据《技术服务合同》（合同编号参照原合同）及项目前期实施情况，为确保“曲靖供电局110kV变电站电力监控系统网络安全态势感知系统”的稳定、高效运行，满足海量安全数据采集、实时分析、长期存储及未来功能扩展的需求，经对现有部署环境的初步评估，现有服务器资源在计算性能、存储容量或高可用性方面已接近或达到瓶颈。为保障项目核心目标的达成及系统的可持续运营，特制定本服务器专项扩容技术方案。</w:t>
      </w:r>
    </w:p>
    <w:p w14:paraId="7DE9698A">
      <w:pPr>
        <w:pStyle w:val="30"/>
        <w:bidi w:val="0"/>
        <w:rPr>
          <w:rFonts w:hint="eastAsia"/>
        </w:rPr>
      </w:pPr>
      <w:r>
        <w:rPr>
          <w:rFonts w:hint="eastAsia"/>
        </w:rPr>
        <w:t>本方案旨在明确服务器扩容的技术要求、配置建议、实施计划及验收标准，作为原合同技术服务范围的有效延伸和补充。</w:t>
      </w:r>
    </w:p>
    <w:p w14:paraId="4DA3FEC5">
      <w:pPr>
        <w:pStyle w:val="29"/>
        <w:bidi w:val="0"/>
        <w:rPr>
          <w:rFonts w:hint="eastAsia"/>
        </w:rPr>
      </w:pPr>
      <w:bookmarkStart w:id="6" w:name="_Toc28259"/>
      <w:r>
        <w:rPr>
          <w:rFonts w:hint="eastAsia"/>
        </w:rPr>
        <w:t>现状评估与扩容目标</w:t>
      </w:r>
      <w:bookmarkEnd w:id="6"/>
    </w:p>
    <w:p w14:paraId="0B6FFE1D">
      <w:pPr>
        <w:pStyle w:val="30"/>
        <w:bidi w:val="0"/>
        <w:rPr>
          <w:rFonts w:hint="eastAsia"/>
        </w:rPr>
      </w:pPr>
      <w:r>
        <w:rPr>
          <w:rFonts w:hint="eastAsia"/>
        </w:rPr>
        <w:t>当前态势感知系统已部署初步的服务器集群，可能包含数据采集器、分析引擎、数据库服务器、展示平台等角色。</w:t>
      </w:r>
    </w:p>
    <w:p w14:paraId="4C9D7C18">
      <w:pPr>
        <w:pStyle w:val="30"/>
        <w:bidi w:val="0"/>
        <w:rPr>
          <w:rFonts w:hint="eastAsia"/>
        </w:rPr>
      </w:pPr>
      <w:r>
        <w:rPr>
          <w:rFonts w:hint="eastAsia"/>
        </w:rPr>
        <w:t>随着接入变电站节点数量的增加、监测日志颗粒度的细化、以及高级威胁分析模型的启用，现有服务器在CPU处理能力、内存容量、磁盘I/O及存储空间方面面临压力。</w:t>
      </w:r>
    </w:p>
    <w:p w14:paraId="46271221">
      <w:pPr>
        <w:pStyle w:val="30"/>
        <w:bidi w:val="0"/>
        <w:rPr>
          <w:rFonts w:hint="eastAsia"/>
        </w:rPr>
      </w:pPr>
      <w:r>
        <w:rPr>
          <w:rFonts w:hint="eastAsia"/>
        </w:rPr>
        <w:t>在系统可靠性方面，可能存在单点故障风险，需通过扩容提升高可用性。</w:t>
      </w:r>
    </w:p>
    <w:p w14:paraId="57263152">
      <w:pPr>
        <w:pStyle w:val="30"/>
        <w:bidi w:val="0"/>
        <w:rPr>
          <w:rFonts w:hint="eastAsia"/>
        </w:rPr>
      </w:pPr>
      <w:r>
        <w:rPr>
          <w:rFonts w:hint="eastAsia"/>
        </w:rPr>
        <w:t>扩容核心目标：</w:t>
      </w:r>
    </w:p>
    <w:p w14:paraId="545A9E60">
      <w:pPr>
        <w:pStyle w:val="30"/>
        <w:bidi w:val="0"/>
        <w:rPr>
          <w:rFonts w:hint="eastAsia"/>
        </w:rPr>
      </w:pPr>
      <w:r>
        <w:rPr>
          <w:rFonts w:hint="eastAsia"/>
        </w:rPr>
        <w:t>性能提升： 显著提高安全事件实时处理与分析能力，降低系统响应延迟。</w:t>
      </w:r>
    </w:p>
    <w:p w14:paraId="78278A7E">
      <w:pPr>
        <w:pStyle w:val="30"/>
        <w:bidi w:val="0"/>
        <w:rPr>
          <w:rFonts w:hint="eastAsia"/>
        </w:rPr>
      </w:pPr>
      <w:r>
        <w:rPr>
          <w:rFonts w:hint="eastAsia"/>
        </w:rPr>
        <w:t>容量扩展： 满足未来1-3年内安全日志与事件数据的存储需求。</w:t>
      </w:r>
    </w:p>
    <w:p w14:paraId="282210B9">
      <w:pPr>
        <w:pStyle w:val="30"/>
        <w:bidi w:val="0"/>
        <w:rPr>
          <w:rFonts w:hint="eastAsia"/>
        </w:rPr>
      </w:pPr>
      <w:r>
        <w:rPr>
          <w:rFonts w:hint="eastAsia"/>
        </w:rPr>
        <w:t>可靠性增强： 通过架构优化（如集群化、负载均衡、冗余部署），提升核心服务的可用性与容灾能力。</w:t>
      </w:r>
    </w:p>
    <w:p w14:paraId="47C7DF67">
      <w:pPr>
        <w:pStyle w:val="30"/>
        <w:bidi w:val="0"/>
        <w:rPr>
          <w:rFonts w:hint="eastAsia"/>
        </w:rPr>
      </w:pPr>
      <w:r>
        <w:rPr>
          <w:rFonts w:hint="eastAsia"/>
        </w:rPr>
        <w:t>平滑扩展： 确保扩容过程对现有业务的影响最小化，实现平滑过渡。</w:t>
      </w:r>
    </w:p>
    <w:p w14:paraId="4DB649C1">
      <w:pPr>
        <w:pStyle w:val="29"/>
        <w:bidi w:val="0"/>
        <w:rPr>
          <w:rFonts w:hint="eastAsia"/>
        </w:rPr>
      </w:pPr>
      <w:bookmarkStart w:id="7" w:name="_Toc27682"/>
      <w:r>
        <w:rPr>
          <w:rFonts w:hint="eastAsia"/>
        </w:rPr>
        <w:t>扩容技术方案建议</w:t>
      </w:r>
      <w:bookmarkEnd w:id="7"/>
    </w:p>
    <w:p w14:paraId="7ABD46B9">
      <w:pPr>
        <w:pStyle w:val="30"/>
        <w:bidi w:val="0"/>
        <w:rPr>
          <w:rFonts w:hint="eastAsia"/>
        </w:rPr>
      </w:pPr>
      <w:r>
        <w:rPr>
          <w:rFonts w:hint="eastAsia"/>
        </w:rPr>
        <w:t>建议采用“评估-设计-分阶段实施”的策略进行服务器扩容。</w:t>
      </w:r>
    </w:p>
    <w:p w14:paraId="4AABEB70">
      <w:pPr>
        <w:pStyle w:val="31"/>
        <w:bidi w:val="0"/>
        <w:rPr>
          <w:rFonts w:hint="eastAsia"/>
        </w:rPr>
      </w:pPr>
      <w:bookmarkStart w:id="8" w:name="_Toc12291"/>
      <w:r>
        <w:rPr>
          <w:rFonts w:hint="eastAsia"/>
        </w:rPr>
        <w:t>深度评估与方案设计</w:t>
      </w:r>
      <w:bookmarkEnd w:id="8"/>
    </w:p>
    <w:p w14:paraId="00D3E3A9">
      <w:pPr>
        <w:pStyle w:val="30"/>
        <w:bidi w:val="0"/>
        <w:rPr>
          <w:rFonts w:hint="eastAsia"/>
        </w:rPr>
      </w:pPr>
      <w:r>
        <w:rPr>
          <w:rFonts w:hint="eastAsia"/>
        </w:rPr>
        <w:t>资源瓶颈诊断： 乙方对现有服务器集群进行为期X天的性能监控与分析，出具《现有服务器资源评估报告》，明确CPU、内存、磁盘、网络等维度的瓶颈点。</w:t>
      </w:r>
    </w:p>
    <w:p w14:paraId="3F59F96F">
      <w:pPr>
        <w:pStyle w:val="30"/>
        <w:bidi w:val="0"/>
        <w:rPr>
          <w:rFonts w:hint="eastAsia"/>
        </w:rPr>
      </w:pPr>
      <w:r>
        <w:rPr>
          <w:rFonts w:hint="eastAsia"/>
        </w:rPr>
        <w:t>需求确认： 与甲方确认未来业务增长预测（如监测节点数、日志量、分析功能等）。</w:t>
      </w:r>
    </w:p>
    <w:p w14:paraId="39C86F7C">
      <w:pPr>
        <w:pStyle w:val="30"/>
        <w:bidi w:val="0"/>
        <w:rPr>
          <w:rFonts w:hint="eastAsia"/>
        </w:rPr>
      </w:pPr>
      <w:r>
        <w:rPr>
          <w:rFonts w:hint="eastAsia"/>
        </w:rPr>
        <w:t>方案设计： 乙方提交《服务器扩容详细设计说明书》，包括：</w:t>
      </w:r>
    </w:p>
    <w:p w14:paraId="09C0F2ED">
      <w:pPr>
        <w:pStyle w:val="30"/>
        <w:bidi w:val="0"/>
        <w:rPr>
          <w:rFonts w:hint="eastAsia"/>
        </w:rPr>
      </w:pPr>
      <w:r>
        <w:rPr>
          <w:rFonts w:hint="eastAsia"/>
        </w:rPr>
        <w:t>扩容架构图： 明确新增服务器角色（如增量分析节点、分布式存储节点、备库服务器等）及其与现有架构的集成方式。</w:t>
      </w:r>
    </w:p>
    <w:p w14:paraId="6432BE4F">
      <w:pPr>
        <w:pStyle w:val="30"/>
        <w:bidi w:val="0"/>
        <w:rPr>
          <w:rFonts w:hint="eastAsia"/>
        </w:rPr>
      </w:pPr>
      <w:r>
        <w:rPr>
          <w:rFonts w:hint="eastAsia"/>
        </w:rPr>
        <w:t>硬件配置清单： 推荐新增服务器的具体型号、CPU、内存、硬盘（SSD/HDD、RAID级别）、网卡等配置建议。</w:t>
      </w:r>
    </w:p>
    <w:p w14:paraId="0D35EE1D">
      <w:pPr>
        <w:pStyle w:val="30"/>
        <w:bidi w:val="0"/>
        <w:rPr>
          <w:rFonts w:hint="eastAsia"/>
        </w:rPr>
      </w:pPr>
      <w:r>
        <w:rPr>
          <w:rFonts w:hint="eastAsia"/>
        </w:rPr>
        <w:t>软件与许可： 列出所需的操作系统、虚拟化平台、集群软件等及相应许可建议。</w:t>
      </w:r>
    </w:p>
    <w:p w14:paraId="65764B98">
      <w:pPr>
        <w:pStyle w:val="30"/>
        <w:bidi w:val="0"/>
        <w:rPr>
          <w:rFonts w:hint="eastAsia"/>
        </w:rPr>
      </w:pPr>
      <w:r>
        <w:rPr>
          <w:rFonts w:hint="eastAsia"/>
        </w:rPr>
        <w:t>高可用方案： 针对关键服务（如数据库、分析引擎）提出具体的高可用或集群实施方案。</w:t>
      </w:r>
    </w:p>
    <w:p w14:paraId="1753D7E8">
      <w:pPr>
        <w:pStyle w:val="31"/>
        <w:bidi w:val="0"/>
        <w:rPr>
          <w:rFonts w:hint="eastAsia"/>
        </w:rPr>
      </w:pPr>
      <w:bookmarkStart w:id="9" w:name="_Toc10806"/>
      <w:r>
        <w:rPr>
          <w:rFonts w:hint="eastAsia"/>
        </w:rPr>
        <w:t>设备采购与准备</w:t>
      </w:r>
      <w:bookmarkEnd w:id="9"/>
    </w:p>
    <w:p w14:paraId="2F19BE8A">
      <w:pPr>
        <w:pStyle w:val="30"/>
        <w:bidi w:val="0"/>
        <w:rPr>
          <w:rFonts w:hint="eastAsia"/>
        </w:rPr>
      </w:pPr>
      <w:r>
        <w:rPr>
          <w:rFonts w:hint="eastAsia"/>
        </w:rPr>
        <w:t>由甲方或根据合同约定方负责按照双方确认的《硬件配置清单》进行采购。</w:t>
      </w:r>
    </w:p>
    <w:p w14:paraId="38F573BB">
      <w:pPr>
        <w:pStyle w:val="30"/>
        <w:bidi w:val="0"/>
        <w:rPr>
          <w:rFonts w:hint="eastAsia"/>
        </w:rPr>
      </w:pPr>
      <w:r>
        <w:rPr>
          <w:rFonts w:hint="eastAsia"/>
        </w:rPr>
        <w:t>乙方提供技术标准支持，并可协助到货验收。</w:t>
      </w:r>
    </w:p>
    <w:p w14:paraId="41B25538">
      <w:pPr>
        <w:pStyle w:val="31"/>
        <w:bidi w:val="0"/>
        <w:rPr>
          <w:rFonts w:hint="eastAsia"/>
        </w:rPr>
      </w:pPr>
      <w:bookmarkStart w:id="10" w:name="_Toc12935"/>
      <w:r>
        <w:rPr>
          <w:rFonts w:hint="eastAsia"/>
        </w:rPr>
        <w:t>安装、部署与集成实施</w:t>
      </w:r>
      <w:bookmarkEnd w:id="10"/>
    </w:p>
    <w:p w14:paraId="562CEA4C">
      <w:pPr>
        <w:pStyle w:val="30"/>
        <w:bidi w:val="0"/>
        <w:rPr>
          <w:rFonts w:hint="eastAsia"/>
        </w:rPr>
      </w:pPr>
      <w:r>
        <w:rPr>
          <w:rFonts w:hint="eastAsia"/>
        </w:rPr>
        <w:t>环境准备： 在甲方协调下，完成机房机柜空间、电力、网络布线等准备工作。</w:t>
      </w:r>
    </w:p>
    <w:p w14:paraId="10B239CE">
      <w:pPr>
        <w:pStyle w:val="30"/>
        <w:bidi w:val="0"/>
        <w:rPr>
          <w:rFonts w:hint="eastAsia"/>
        </w:rPr>
      </w:pPr>
      <w:r>
        <w:rPr>
          <w:rFonts w:hint="eastAsia"/>
        </w:rPr>
        <w:t>硬件上架与初始化： 乙方技术人员进行新增服务器的物理上架、硬件调试、固件升级、操作系统安装及基础网络配置。</w:t>
      </w:r>
    </w:p>
    <w:p w14:paraId="715E5B57">
      <w:pPr>
        <w:pStyle w:val="30"/>
        <w:bidi w:val="0"/>
        <w:rPr>
          <w:rFonts w:hint="eastAsia"/>
        </w:rPr>
      </w:pPr>
      <w:r>
        <w:rPr>
          <w:rFonts w:hint="eastAsia"/>
        </w:rPr>
        <w:t>软件部署与配置： 安装必要的系统软件、中间件及安全态势感知系统相关组件。按照设计方案配置集群、负载均衡、存储卷、备份策略等。</w:t>
      </w:r>
    </w:p>
    <w:p w14:paraId="17A48143">
      <w:pPr>
        <w:pStyle w:val="30"/>
        <w:bidi w:val="0"/>
        <w:rPr>
          <w:rFonts w:hint="eastAsia"/>
        </w:rPr>
      </w:pPr>
      <w:r>
        <w:rPr>
          <w:rFonts w:hint="eastAsia"/>
        </w:rPr>
        <w:t>数据迁移与系统割接（如涉及）： 制定周密的数据迁移或服务切换计划，在业务低峰期执行，确保数据完整性与服务连续性。准备完备的回退方案。</w:t>
      </w:r>
    </w:p>
    <w:p w14:paraId="4DE9C290">
      <w:pPr>
        <w:pStyle w:val="30"/>
        <w:bidi w:val="0"/>
        <w:rPr>
          <w:rFonts w:hint="eastAsia"/>
        </w:rPr>
      </w:pPr>
      <w:r>
        <w:rPr>
          <w:rFonts w:hint="eastAsia"/>
        </w:rPr>
        <w:t>系统联调与功能测试： 将扩容后的服务器集群与现有系统进行完整联调，验证性能提升效果、高可用切换功能及所有业务功能正常。</w:t>
      </w:r>
    </w:p>
    <w:p w14:paraId="2D1D67F6">
      <w:pPr>
        <w:pStyle w:val="31"/>
        <w:bidi w:val="0"/>
        <w:rPr>
          <w:rFonts w:hint="eastAsia"/>
        </w:rPr>
      </w:pPr>
      <w:bookmarkStart w:id="11" w:name="_Toc7046"/>
      <w:r>
        <w:rPr>
          <w:rFonts w:hint="eastAsia"/>
        </w:rPr>
        <w:t>测试、优化与交付</w:t>
      </w:r>
      <w:bookmarkEnd w:id="11"/>
    </w:p>
    <w:p w14:paraId="0A4896DE">
      <w:pPr>
        <w:pStyle w:val="30"/>
        <w:bidi w:val="0"/>
        <w:rPr>
          <w:rFonts w:hint="eastAsia"/>
        </w:rPr>
      </w:pPr>
      <w:r>
        <w:rPr>
          <w:rFonts w:hint="eastAsia"/>
        </w:rPr>
        <w:t>性能压力测试： 模拟比当前高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%的业务负载，验证扩容后系统的整体处理能力、响应时间及稳定性是否达到设计目标。</w:t>
      </w:r>
    </w:p>
    <w:p w14:paraId="32E79D49">
      <w:pPr>
        <w:pStyle w:val="30"/>
        <w:bidi w:val="0"/>
        <w:rPr>
          <w:rFonts w:hint="eastAsia"/>
        </w:rPr>
      </w:pPr>
      <w:r>
        <w:rPr>
          <w:rFonts w:hint="eastAsia"/>
        </w:rPr>
        <w:t>系统优化： 根据测试结果，对系统参数、配置进行微调，以达到最佳性能。</w:t>
      </w:r>
    </w:p>
    <w:p w14:paraId="0B03DF25">
      <w:pPr>
        <w:pStyle w:val="30"/>
        <w:bidi w:val="0"/>
        <w:rPr>
          <w:rFonts w:hint="eastAsia"/>
        </w:rPr>
      </w:pPr>
      <w:r>
        <w:rPr>
          <w:rFonts w:hint="eastAsia"/>
        </w:rPr>
        <w:t>文档交付： 乙方交付《服务器扩容实施报告》、《系统运维手册（更新版）》、《集群配置文档》等。</w:t>
      </w:r>
    </w:p>
    <w:p w14:paraId="71D48C87">
      <w:pPr>
        <w:pStyle w:val="30"/>
        <w:bidi w:val="0"/>
        <w:rPr>
          <w:rFonts w:hint="eastAsia"/>
        </w:rPr>
      </w:pPr>
      <w:r>
        <w:rPr>
          <w:rFonts w:hint="eastAsia"/>
        </w:rPr>
        <w:t>知识转移： 对甲方运维团队进行针对扩容后新架构、新功能的专项培训。</w:t>
      </w:r>
    </w:p>
    <w:p w14:paraId="78E5C6E4">
      <w:pPr>
        <w:pStyle w:val="29"/>
        <w:bidi w:val="0"/>
        <w:rPr>
          <w:rFonts w:hint="eastAsia"/>
        </w:rPr>
      </w:pPr>
      <w:bookmarkStart w:id="12" w:name="_Toc26274"/>
      <w:r>
        <w:rPr>
          <w:rFonts w:hint="eastAsia"/>
        </w:rPr>
        <w:t>实施计划与工期</w:t>
      </w:r>
      <w:bookmarkEnd w:id="12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752"/>
        <w:gridCol w:w="1308"/>
        <w:gridCol w:w="1380"/>
        <w:gridCol w:w="2953"/>
      </w:tblGrid>
      <w:tr w14:paraId="6DED1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6630FC5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阶段</w:t>
            </w:r>
          </w:p>
        </w:tc>
        <w:tc>
          <w:tcPr>
            <w:tcW w:w="1752" w:type="dxa"/>
          </w:tcPr>
          <w:p w14:paraId="49667B06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主要任务</w:t>
            </w:r>
          </w:p>
        </w:tc>
        <w:tc>
          <w:tcPr>
            <w:tcW w:w="1308" w:type="dxa"/>
          </w:tcPr>
          <w:p w14:paraId="7C34D3EA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预计工期</w:t>
            </w:r>
          </w:p>
        </w:tc>
        <w:tc>
          <w:tcPr>
            <w:tcW w:w="1380" w:type="dxa"/>
          </w:tcPr>
          <w:p w14:paraId="6B944CDE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责任方</w:t>
            </w:r>
          </w:p>
        </w:tc>
        <w:tc>
          <w:tcPr>
            <w:tcW w:w="2953" w:type="dxa"/>
          </w:tcPr>
          <w:p w14:paraId="04ECD43A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产出物</w:t>
            </w:r>
          </w:p>
        </w:tc>
      </w:tr>
      <w:tr w14:paraId="250E6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743A864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第一阶段</w:t>
            </w:r>
          </w:p>
        </w:tc>
        <w:tc>
          <w:tcPr>
            <w:tcW w:w="1752" w:type="dxa"/>
          </w:tcPr>
          <w:p w14:paraId="767691AC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评估与设计</w:t>
            </w:r>
          </w:p>
        </w:tc>
        <w:tc>
          <w:tcPr>
            <w:tcW w:w="1308" w:type="dxa"/>
          </w:tcPr>
          <w:p w14:paraId="602E6C61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10个工作日</w:t>
            </w:r>
          </w:p>
        </w:tc>
        <w:tc>
          <w:tcPr>
            <w:tcW w:w="1380" w:type="dxa"/>
          </w:tcPr>
          <w:p w14:paraId="130FB0E5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乙方</w:t>
            </w:r>
          </w:p>
        </w:tc>
        <w:tc>
          <w:tcPr>
            <w:tcW w:w="2953" w:type="dxa"/>
          </w:tcPr>
          <w:p w14:paraId="6A26BA53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《评估报告》、《详细设计说明书》</w:t>
            </w:r>
          </w:p>
        </w:tc>
      </w:tr>
      <w:tr w14:paraId="43366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8C719DD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二</w:t>
            </w:r>
            <w:r>
              <w:rPr>
                <w:rFonts w:hint="eastAsia"/>
              </w:rPr>
              <w:t>阶段</w:t>
            </w:r>
          </w:p>
        </w:tc>
        <w:tc>
          <w:tcPr>
            <w:tcW w:w="1752" w:type="dxa"/>
          </w:tcPr>
          <w:p w14:paraId="75CD1707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设备采购与到货</w:t>
            </w:r>
          </w:p>
        </w:tc>
        <w:tc>
          <w:tcPr>
            <w:tcW w:w="1308" w:type="dxa"/>
          </w:tcPr>
          <w:p w14:paraId="1A1F0151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4-6周</w:t>
            </w:r>
          </w:p>
        </w:tc>
        <w:tc>
          <w:tcPr>
            <w:tcW w:w="1380" w:type="dxa"/>
          </w:tcPr>
          <w:p w14:paraId="1CF9C096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甲方/约定方</w:t>
            </w:r>
          </w:p>
        </w:tc>
        <w:tc>
          <w:tcPr>
            <w:tcW w:w="2953" w:type="dxa"/>
          </w:tcPr>
          <w:p w14:paraId="2727BBBC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到货验收单</w:t>
            </w:r>
          </w:p>
        </w:tc>
      </w:tr>
      <w:tr w14:paraId="63B90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89C8412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hint="eastAsia"/>
              </w:rPr>
              <w:t>阶段</w:t>
            </w:r>
          </w:p>
        </w:tc>
        <w:tc>
          <w:tcPr>
            <w:tcW w:w="1752" w:type="dxa"/>
          </w:tcPr>
          <w:p w14:paraId="26C2FE7E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安装部署与集成</w:t>
            </w:r>
          </w:p>
        </w:tc>
        <w:tc>
          <w:tcPr>
            <w:tcW w:w="1308" w:type="dxa"/>
          </w:tcPr>
          <w:p w14:paraId="228A5275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15个工作日</w:t>
            </w:r>
          </w:p>
        </w:tc>
        <w:tc>
          <w:tcPr>
            <w:tcW w:w="1380" w:type="dxa"/>
          </w:tcPr>
          <w:p w14:paraId="5E62A1D1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乙方</w:t>
            </w:r>
          </w:p>
        </w:tc>
        <w:tc>
          <w:tcPr>
            <w:tcW w:w="2953" w:type="dxa"/>
          </w:tcPr>
          <w:p w14:paraId="415B094A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部署完成的系统</w:t>
            </w:r>
          </w:p>
        </w:tc>
      </w:tr>
      <w:tr w14:paraId="40AF8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FFAE6E6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四</w:t>
            </w:r>
            <w:r>
              <w:rPr>
                <w:rFonts w:hint="eastAsia"/>
              </w:rPr>
              <w:t>阶段</w:t>
            </w:r>
          </w:p>
        </w:tc>
        <w:tc>
          <w:tcPr>
            <w:tcW w:w="1752" w:type="dxa"/>
          </w:tcPr>
          <w:p w14:paraId="079102D9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测试优化与交付</w:t>
            </w:r>
          </w:p>
        </w:tc>
        <w:tc>
          <w:tcPr>
            <w:tcW w:w="1308" w:type="dxa"/>
          </w:tcPr>
          <w:p w14:paraId="41BD13D9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10个工作日</w:t>
            </w:r>
          </w:p>
        </w:tc>
        <w:tc>
          <w:tcPr>
            <w:tcW w:w="1380" w:type="dxa"/>
          </w:tcPr>
          <w:p w14:paraId="052DC9C8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乙方</w:t>
            </w:r>
          </w:p>
        </w:tc>
        <w:tc>
          <w:tcPr>
            <w:tcW w:w="2953" w:type="dxa"/>
          </w:tcPr>
          <w:p w14:paraId="2392E7FE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《测试报告》、《实施报告》、更新文档</w:t>
            </w:r>
          </w:p>
        </w:tc>
      </w:tr>
    </w:tbl>
    <w:p w14:paraId="66CA4656">
      <w:pPr>
        <w:rPr>
          <w:rFonts w:hint="eastAsia"/>
        </w:rPr>
      </w:pPr>
    </w:p>
    <w:p w14:paraId="70A9690E">
      <w:pPr>
        <w:pStyle w:val="29"/>
        <w:bidi w:val="0"/>
        <w:rPr>
          <w:rFonts w:hint="eastAsia"/>
        </w:rPr>
      </w:pPr>
      <w:bookmarkStart w:id="13" w:name="_Toc3891"/>
      <w:r>
        <w:rPr>
          <w:rFonts w:hint="eastAsia"/>
        </w:rPr>
        <w:t>双方责任与分工</w:t>
      </w:r>
      <w:bookmarkEnd w:id="13"/>
    </w:p>
    <w:p w14:paraId="26921B71">
      <w:pPr>
        <w:pStyle w:val="31"/>
        <w:bidi w:val="0"/>
        <w:rPr>
          <w:rFonts w:hint="eastAsia"/>
        </w:rPr>
      </w:pPr>
      <w:bookmarkStart w:id="14" w:name="_Toc25411"/>
      <w:r>
        <w:rPr>
          <w:rFonts w:hint="eastAsia"/>
        </w:rPr>
        <w:t>甲方责任</w:t>
      </w:r>
      <w:bookmarkEnd w:id="14"/>
    </w:p>
    <w:p w14:paraId="309345C6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提供扩容所需的机房环境、电力及网络条件。</w:t>
      </w:r>
    </w:p>
    <w:p w14:paraId="4695E701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负责或协调新增硬件设备的采购及到货。</w:t>
      </w:r>
    </w:p>
    <w:p w14:paraId="144657F9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指定项目协调人，配合乙方进行业务影响评估、割接窗口审批。</w:t>
      </w:r>
    </w:p>
    <w:p w14:paraId="797254AF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派员参与最终测试验收与培训。</w:t>
      </w:r>
    </w:p>
    <w:p w14:paraId="1FA0D909">
      <w:pPr>
        <w:pStyle w:val="31"/>
        <w:bidi w:val="0"/>
        <w:rPr>
          <w:rFonts w:hint="eastAsia"/>
        </w:rPr>
      </w:pPr>
      <w:bookmarkStart w:id="15" w:name="_Toc31609"/>
      <w:r>
        <w:rPr>
          <w:rFonts w:hint="eastAsia"/>
        </w:rPr>
        <w:t>乙方责任</w:t>
      </w:r>
      <w:bookmarkEnd w:id="15"/>
    </w:p>
    <w:p w14:paraId="261C58DF">
      <w:pPr>
        <w:pStyle w:val="40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完成全部技术评估、方案设计、安装部署、集成测试、文档编写及培训工作。</w:t>
      </w:r>
    </w:p>
    <w:p w14:paraId="11AC323E">
      <w:pPr>
        <w:pStyle w:val="40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提供详细的技术配置要求清单。</w:t>
      </w:r>
    </w:p>
    <w:p w14:paraId="5A8BE5A3">
      <w:pPr>
        <w:pStyle w:val="40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制定并严格执行安全的割接与回退方案，确保甲方业务不受重大影响。</w:t>
      </w:r>
    </w:p>
    <w:p w14:paraId="29E2AE7E">
      <w:pPr>
        <w:pStyle w:val="40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保证扩容实施符合原合同及行业相关技术标准。</w:t>
      </w:r>
    </w:p>
    <w:p w14:paraId="04AE816A">
      <w:pPr>
        <w:pStyle w:val="29"/>
        <w:bidi w:val="0"/>
        <w:rPr>
          <w:rFonts w:hint="eastAsia"/>
        </w:rPr>
      </w:pPr>
      <w:bookmarkStart w:id="16" w:name="_Toc15511"/>
      <w:r>
        <w:rPr>
          <w:rFonts w:hint="eastAsia"/>
        </w:rPr>
        <w:t>验收标准</w:t>
      </w:r>
      <w:bookmarkEnd w:id="16"/>
    </w:p>
    <w:p w14:paraId="3D274691">
      <w:pPr>
        <w:pStyle w:val="30"/>
        <w:bidi w:val="0"/>
        <w:rPr>
          <w:rFonts w:hint="eastAsia"/>
        </w:rPr>
      </w:pPr>
      <w:r>
        <w:rPr>
          <w:rFonts w:hint="eastAsia"/>
        </w:rPr>
        <w:t>设计评审通过： 《服务器扩容详细设计说明书》经甲方书面确认。</w:t>
      </w:r>
    </w:p>
    <w:p w14:paraId="561ADAFA">
      <w:pPr>
        <w:pStyle w:val="30"/>
        <w:bidi w:val="0"/>
        <w:rPr>
          <w:rFonts w:hint="eastAsia"/>
        </w:rPr>
      </w:pPr>
      <w:r>
        <w:rPr>
          <w:rFonts w:hint="eastAsia"/>
        </w:rPr>
        <w:t>实施完成确认： 所有硬件安装、软件部署、配置工作按设计方案完成。</w:t>
      </w:r>
    </w:p>
    <w:p w14:paraId="115B85E2">
      <w:pPr>
        <w:pStyle w:val="30"/>
        <w:bidi w:val="0"/>
        <w:rPr>
          <w:rFonts w:hint="eastAsia"/>
        </w:rPr>
      </w:pPr>
      <w:r>
        <w:rPr>
          <w:rFonts w:hint="eastAsia"/>
        </w:rPr>
        <w:t>性能达标： 通过压力测试，关键性能指标（如事件处理吞吐量、查询响应时间、存储IOPS等）达到或超过《详细设计说明书》中的承诺值。</w:t>
      </w:r>
    </w:p>
    <w:p w14:paraId="612805ED">
      <w:pPr>
        <w:pStyle w:val="30"/>
        <w:bidi w:val="0"/>
        <w:rPr>
          <w:rFonts w:hint="eastAsia"/>
        </w:rPr>
      </w:pPr>
      <w:r>
        <w:rPr>
          <w:rFonts w:hint="eastAsia"/>
        </w:rPr>
        <w:t>功能与高可用验证：所有原有及新增功能正常运行；高可用集群切换测试成功，切换时间满足约定要求（如RTO&lt;30分钟，RPO&lt;5分钟）。</w:t>
      </w:r>
    </w:p>
    <w:p w14:paraId="50F8DD11">
      <w:pPr>
        <w:pStyle w:val="30"/>
        <w:bidi w:val="0"/>
        <w:rPr>
          <w:rFonts w:hint="eastAsia"/>
        </w:rPr>
      </w:pPr>
      <w:r>
        <w:rPr>
          <w:rFonts w:hint="eastAsia"/>
        </w:rPr>
        <w:t>文档与培训完成： 全部约定文档交付齐全，甲方运维人员完成培训并具备基本操作能力。</w:t>
      </w:r>
    </w:p>
    <w:p w14:paraId="154CC0BC">
      <w:pPr>
        <w:pStyle w:val="29"/>
        <w:bidi w:val="0"/>
        <w:rPr>
          <w:rFonts w:hint="eastAsia"/>
        </w:rPr>
      </w:pPr>
      <w:bookmarkStart w:id="17" w:name="_Toc18219"/>
      <w:r>
        <w:rPr>
          <w:rFonts w:hint="eastAsia"/>
        </w:rPr>
        <w:t>费用估算建议</w:t>
      </w:r>
      <w:bookmarkEnd w:id="17"/>
    </w:p>
    <w:p w14:paraId="7236E25C">
      <w:pPr>
        <w:pStyle w:val="30"/>
        <w:bidi w:val="0"/>
        <w:rPr>
          <w:rFonts w:hint="eastAsia"/>
        </w:rPr>
      </w:pPr>
      <w:r>
        <w:rPr>
          <w:rFonts w:hint="eastAsia"/>
        </w:rPr>
        <w:t>服务器扩容项目费用建议分为两部分：</w:t>
      </w:r>
    </w:p>
    <w:p w14:paraId="5292BD5C">
      <w:pPr>
        <w:pStyle w:val="30"/>
        <w:bidi w:val="0"/>
        <w:rPr>
          <w:rFonts w:hint="eastAsia"/>
        </w:rPr>
      </w:pPr>
      <w:r>
        <w:rPr>
          <w:rFonts w:hint="eastAsia"/>
        </w:rPr>
        <w:t>硬件购置费： 根据最终确认的配置清单，由设备采购方承担。</w:t>
      </w:r>
    </w:p>
    <w:p w14:paraId="78DE5100">
      <w:pPr>
        <w:pStyle w:val="30"/>
        <w:bidi w:val="0"/>
        <w:rPr>
          <w:rFonts w:hint="eastAsia"/>
        </w:rPr>
      </w:pPr>
      <w:r>
        <w:rPr>
          <w:rFonts w:hint="eastAsia"/>
        </w:rPr>
        <w:t>技术服务费： 涵盖本方案中乙方承担的评估、设计、实施、测试、培训等全部技术服务。建议双方根据预估工作量（人天）及技术复杂度另行协商定价。</w:t>
      </w:r>
    </w:p>
    <w:p w14:paraId="57E8163C">
      <w:pPr>
        <w:pStyle w:val="29"/>
        <w:bidi w:val="0"/>
        <w:rPr>
          <w:rFonts w:hint="eastAsia"/>
        </w:rPr>
      </w:pPr>
      <w:bookmarkStart w:id="18" w:name="_Toc15383"/>
      <w:r>
        <w:rPr>
          <w:rFonts w:hint="eastAsia"/>
        </w:rPr>
        <w:t>风险与应对</w:t>
      </w:r>
      <w:bookmarkEnd w:id="18"/>
    </w:p>
    <w:p w14:paraId="55796922">
      <w:pPr>
        <w:pStyle w:val="30"/>
        <w:bidi w:val="0"/>
        <w:rPr>
          <w:rFonts w:hint="eastAsia"/>
        </w:rPr>
      </w:pPr>
      <w:r>
        <w:rPr>
          <w:rFonts w:hint="eastAsia"/>
        </w:rPr>
        <w:t>业务中断风险： 通过精细的割接计划、充分的预演及完备的回退方案控制。</w:t>
      </w:r>
    </w:p>
    <w:p w14:paraId="7B1228BC">
      <w:pPr>
        <w:pStyle w:val="30"/>
        <w:bidi w:val="0"/>
        <w:rPr>
          <w:rFonts w:hint="eastAsia"/>
        </w:rPr>
      </w:pPr>
      <w:r>
        <w:rPr>
          <w:rFonts w:hint="eastAsia"/>
        </w:rPr>
        <w:t>兼容性风险： 新老硬件、软件版本间的兼容性在方案设计阶段进行充分验证。</w:t>
      </w:r>
    </w:p>
    <w:p w14:paraId="3502148F">
      <w:pPr>
        <w:pStyle w:val="30"/>
        <w:bidi w:val="0"/>
        <w:rPr>
          <w:rFonts w:hint="eastAsia"/>
        </w:rPr>
      </w:pPr>
      <w:r>
        <w:rPr>
          <w:rFonts w:hint="eastAsia"/>
        </w:rPr>
        <w:t>性能不达预期风险： 通过前期严谨的评估、中期的压力测试及后期的调优来规避。</w:t>
      </w:r>
    </w:p>
    <w:p w14:paraId="478833EA">
      <w:pPr>
        <w:pStyle w:val="30"/>
        <w:bidi w:val="0"/>
      </w:pPr>
      <w:r>
        <w:rPr>
          <w:rFonts w:hint="eastAsia"/>
        </w:rPr>
        <w:t>本方案为技术建议文件，待双方对扩容范围、技术路径、分工、费用及工期达成一致后，可签订补充协议或新合同予以正式确认。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A1879A8"/>
    <w:multiLevelType w:val="singleLevel"/>
    <w:tmpl w:val="AA1879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BE14ED0"/>
    <w:multiLevelType w:val="singleLevel"/>
    <w:tmpl w:val="1BE14E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4EB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8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2376</Words>
  <Characters>2489</Characters>
  <Lines>0</Lines>
  <Paragraphs>0</Paragraphs>
  <TotalTime>0</TotalTime>
  <ScaleCrop>false</ScaleCrop>
  <LinksUpToDate>false</LinksUpToDate>
  <CharactersWithSpaces>2518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2026-03-04T19:11:49Z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