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AD15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3113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570B15A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6884"/>
      <w:r>
        <w:rPr>
          <w:rFonts w:hint="eastAsia"/>
          <w:lang w:val="en-US" w:eastAsia="zh-CN"/>
        </w:rPr>
        <w:t>供应商管理制度</w:t>
      </w:r>
      <w:bookmarkEnd w:id="1"/>
    </w:p>
    <w:p w14:paraId="394A9AD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3577"/>
      <w:r>
        <w:rPr>
          <w:rFonts w:hint="eastAsia"/>
          <w:lang w:val="en-US" w:eastAsia="zh-CN"/>
        </w:rPr>
        <w:t>（HXDL-ITSS-0800）</w:t>
      </w:r>
      <w:bookmarkEnd w:id="2"/>
    </w:p>
    <w:p w14:paraId="2DB1B1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1AC8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826E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055C64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6DE24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10E22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3E92DC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09CDE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3ADE2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013C45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39A904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87CF8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32574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3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24291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FD0E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502E52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0C210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ABF0D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78785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7B2A87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3CD5D2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1D497F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1CB80A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6DF6D3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516968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C13E4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2BE7E3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53EE81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7F07CB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7A8E7B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20F712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F94259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36F5E70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0C95A7E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3290F4F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0CA94F2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0735BD4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57818A3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6FD725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2D3B8E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5C3779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5815BF0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E534D9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  <w:bookmarkStart w:id="33" w:name="_GoBack"/>
            <w:bookmarkEnd w:id="33"/>
          </w:p>
        </w:tc>
        <w:tc>
          <w:tcPr>
            <w:tcW w:w="957" w:type="dxa"/>
          </w:tcPr>
          <w:p w14:paraId="1C58B34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2BD48D6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4CA09E1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567463B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9323AC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0A8B21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17576B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44D3E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00E1F40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394FD5F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41E64AA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DDAE16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3E812F6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0D7EB77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1652F4A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61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2BB72D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heading_2"/>
          <w:r>
            <w:rPr>
              <w:rFonts w:ascii="宋体" w:hAnsi="宋体" w:eastAsia="宋体"/>
              <w:sz w:val="21"/>
            </w:rPr>
            <w:t>目录</w:t>
          </w:r>
        </w:p>
        <w:p w14:paraId="0A6AC4B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_Toc31138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_Toc31138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A3E8E4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_Toc6884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备品备件管理制度</w:t>
          </w:r>
          <w:r>
            <w:tab/>
          </w:r>
          <w:r>
            <w:fldChar w:fldCharType="begin"/>
          </w:r>
          <w:r>
            <w:instrText xml:space="preserve"> PAGEREF _Toc6884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1F3310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（HXDL-ITSS-0807）</w:t>
          </w:r>
          <w:r>
            <w:tab/>
          </w:r>
          <w:r>
            <w:fldChar w:fldCharType="begin"/>
          </w:r>
          <w:r>
            <w:instrText xml:space="preserve"> PAGEREF _Toc23577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01756F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_Toc32574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_Toc32574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3A0F97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05B35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_Toc8204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93F9D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_Toc11781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58FBC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采购部经理</w:t>
          </w:r>
          <w:r>
            <w:tab/>
          </w:r>
          <w:r>
            <w:fldChar w:fldCharType="begin"/>
          </w:r>
          <w:r>
            <w:instrText xml:space="preserve"> PAGEREF _Toc31372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6554C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采购专员</w:t>
          </w:r>
          <w:r>
            <w:tab/>
          </w:r>
          <w:r>
            <w:fldChar w:fldCharType="begin"/>
          </w:r>
          <w:r>
            <w:instrText xml:space="preserve"> PAGEREF _Toc7059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C88E5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备件库</w:t>
          </w:r>
          <w:r>
            <w:tab/>
          </w:r>
          <w:r>
            <w:fldChar w:fldCharType="begin"/>
          </w:r>
          <w:r>
            <w:instrText xml:space="preserve"> PAGEREF _Toc9948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ECD38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运维部</w:t>
          </w:r>
          <w:r>
            <w:tab/>
          </w:r>
          <w:r>
            <w:fldChar w:fldCharType="begin"/>
          </w:r>
          <w:r>
            <w:instrText xml:space="preserve"> PAGEREF _Toc29522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13A2F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质量部</w:t>
          </w:r>
          <w:r>
            <w:tab/>
          </w:r>
          <w:r>
            <w:fldChar w:fldCharType="begin"/>
          </w:r>
          <w:r>
            <w:instrText xml:space="preserve"> PAGEREF _Toc22189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B16DA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副总经理</w:t>
          </w:r>
          <w:r>
            <w:tab/>
          </w:r>
          <w:r>
            <w:fldChar w:fldCharType="begin"/>
          </w:r>
          <w:r>
            <w:instrText xml:space="preserve"> PAGEREF _Toc22358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685EC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总经理</w:t>
          </w:r>
          <w:r>
            <w:tab/>
          </w:r>
          <w:r>
            <w:fldChar w:fldCharType="begin"/>
          </w:r>
          <w:r>
            <w:instrText xml:space="preserve"> PAGEREF _Toc1629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96C4C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供应商的分类和定义</w:t>
          </w:r>
          <w:r>
            <w:tab/>
          </w:r>
          <w:r>
            <w:fldChar w:fldCharType="begin"/>
          </w:r>
          <w:r>
            <w:instrText xml:space="preserve"> PAGEREF _Toc4789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26E1C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供应商准入管理</w:t>
          </w:r>
          <w:r>
            <w:tab/>
          </w:r>
          <w:r>
            <w:fldChar w:fldCharType="begin"/>
          </w:r>
          <w:r>
            <w:instrText xml:space="preserve"> PAGEREF _Toc23570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43808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准入基本条件</w:t>
          </w:r>
          <w:r>
            <w:tab/>
          </w:r>
          <w:r>
            <w:fldChar w:fldCharType="begin"/>
          </w:r>
          <w:r>
            <w:instrText xml:space="preserve"> PAGEREF _Toc17601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8EAEC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准入评估流程</w:t>
          </w:r>
          <w:r>
            <w:tab/>
          </w:r>
          <w:r>
            <w:fldChar w:fldCharType="begin"/>
          </w:r>
          <w:r>
            <w:instrText xml:space="preserve"> PAGEREF _Toc19600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8BFAB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供应商评估与分级</w:t>
          </w:r>
          <w:r>
            <w:tab/>
          </w:r>
          <w:r>
            <w:fldChar w:fldCharType="begin"/>
          </w:r>
          <w:r>
            <w:instrText xml:space="preserve"> PAGEREF _Toc32507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1C1FB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评估周期</w:t>
          </w:r>
          <w:r>
            <w:tab/>
          </w:r>
          <w:r>
            <w:fldChar w:fldCharType="begin"/>
          </w:r>
          <w:r>
            <w:instrText xml:space="preserve"> PAGEREF _Toc7137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34E234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评估维度与权重</w:t>
          </w:r>
          <w:r>
            <w:tab/>
          </w:r>
          <w:r>
            <w:fldChar w:fldCharType="begin"/>
          </w:r>
          <w:r>
            <w:instrText xml:space="preserve"> PAGEREF _Toc13228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3973D3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分级标准</w:t>
          </w:r>
          <w:r>
            <w:tab/>
          </w:r>
          <w:r>
            <w:fldChar w:fldCharType="begin"/>
          </w:r>
          <w:r>
            <w:instrText xml:space="preserve"> PAGEREF _Toc16387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99CB5D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供应商合作管理</w:t>
          </w:r>
          <w:r>
            <w:tab/>
          </w:r>
          <w:r>
            <w:fldChar w:fldCharType="begin"/>
          </w:r>
          <w:r>
            <w:instrText xml:space="preserve"> PAGEREF _Toc589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6C3DA6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框架协议管理</w:t>
          </w:r>
          <w:r>
            <w:tab/>
          </w:r>
          <w:r>
            <w:fldChar w:fldCharType="begin"/>
          </w:r>
          <w:r>
            <w:instrText xml:space="preserve"> PAGEREF _Toc7731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E4F277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订单与交付管理</w:t>
          </w:r>
          <w:r>
            <w:tab/>
          </w:r>
          <w:r>
            <w:fldChar w:fldCharType="begin"/>
          </w:r>
          <w:r>
            <w:instrText xml:space="preserve"> PAGEREF _Toc6177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7819C2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供应商档案管理</w:t>
          </w:r>
          <w:r>
            <w:tab/>
          </w:r>
          <w:r>
            <w:fldChar w:fldCharType="begin"/>
          </w:r>
          <w:r>
            <w:instrText xml:space="preserve"> PAGEREF _Toc8097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08B50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供应商退出管理</w:t>
          </w:r>
          <w:r>
            <w:tab/>
          </w:r>
          <w:r>
            <w:fldChar w:fldCharType="begin"/>
          </w:r>
          <w:r>
            <w:instrText xml:space="preserve"> PAGEREF _Toc20146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9A53CC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触发退出的情形</w:t>
          </w:r>
          <w:r>
            <w:tab/>
          </w:r>
          <w:r>
            <w:fldChar w:fldCharType="begin"/>
          </w:r>
          <w:r>
            <w:instrText xml:space="preserve"> PAGEREF _Toc16512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9C4050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退出流程</w:t>
          </w:r>
          <w:r>
            <w:tab/>
          </w:r>
          <w:r>
            <w:fldChar w:fldCharType="begin"/>
          </w:r>
          <w:r>
            <w:instrText xml:space="preserve"> PAGEREF _Toc16135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89A23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应急采购与特殊渠道管理</w:t>
          </w:r>
          <w:r>
            <w:tab/>
          </w:r>
          <w:r>
            <w:fldChar w:fldCharType="begin"/>
          </w:r>
          <w:r>
            <w:instrText xml:space="preserve"> PAGEREF _Toc5326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D6CBD4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应急采购触发条件</w:t>
          </w:r>
          <w:r>
            <w:tab/>
          </w:r>
          <w:r>
            <w:fldChar w:fldCharType="begin"/>
          </w:r>
          <w:r>
            <w:instrText xml:space="preserve"> PAGEREF _Toc30677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77D32F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应急采购流程</w:t>
          </w:r>
          <w:r>
            <w:tab/>
          </w:r>
          <w:r>
            <w:fldChar w:fldCharType="begin"/>
          </w:r>
          <w:r>
            <w:instrText xml:space="preserve"> PAGEREF _Toc22615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C0DE31">
          <w:r>
            <w:fldChar w:fldCharType="end"/>
          </w:r>
        </w:p>
      </w:sdtContent>
    </w:sdt>
    <w:p w14:paraId="17C99093">
      <w:r>
        <w:br w:type="page"/>
      </w:r>
    </w:p>
    <w:bookmarkEnd w:id="4"/>
    <w:p w14:paraId="06701BEF">
      <w:pPr>
        <w:pStyle w:val="29"/>
        <w:bidi w:val="0"/>
        <w:rPr>
          <w:rFonts w:hint="default"/>
          <w:lang w:val="en-US" w:eastAsia="zh-CN"/>
        </w:rPr>
      </w:pPr>
      <w:bookmarkStart w:id="5" w:name="_Toc8309"/>
      <w:r>
        <w:rPr>
          <w:rFonts w:hint="default"/>
          <w:lang w:val="en-US" w:eastAsia="zh-CN"/>
        </w:rPr>
        <w:t>目的</w:t>
      </w:r>
      <w:bookmarkEnd w:id="5"/>
    </w:p>
    <w:p w14:paraId="42A01FE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为规范公司供应商管理，建立稳定、可靠、优质的供应渠道，降低采购风险，提高供应链响应效率与服务质量，特制订本制度。</w:t>
      </w:r>
    </w:p>
    <w:p w14:paraId="788B3921">
      <w:pPr>
        <w:pStyle w:val="29"/>
        <w:bidi w:val="0"/>
        <w:rPr>
          <w:rFonts w:hint="default"/>
          <w:lang w:val="en-US" w:eastAsia="zh-CN"/>
        </w:rPr>
      </w:pPr>
      <w:bookmarkStart w:id="6" w:name="_Toc8204"/>
      <w:r>
        <w:rPr>
          <w:rFonts w:hint="default"/>
          <w:lang w:val="en-US" w:eastAsia="zh-CN"/>
        </w:rPr>
        <w:t>适用范围</w:t>
      </w:r>
      <w:bookmarkEnd w:id="6"/>
    </w:p>
    <w:p w14:paraId="3F784A4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本制度适用于公司所有物资采购、服务外包、设备维修等涉及供应商准入、评估、合作、退出的全过程管理。</w:t>
      </w:r>
    </w:p>
    <w:p w14:paraId="1F2BE9CE">
      <w:pPr>
        <w:pStyle w:val="29"/>
        <w:bidi w:val="0"/>
        <w:rPr>
          <w:rFonts w:hint="default"/>
          <w:lang w:val="en-US" w:eastAsia="zh-CN"/>
        </w:rPr>
      </w:pPr>
      <w:bookmarkStart w:id="7" w:name="_Toc11781"/>
      <w:r>
        <w:rPr>
          <w:rFonts w:hint="default"/>
          <w:lang w:val="en-US" w:eastAsia="zh-CN"/>
        </w:rPr>
        <w:t>职责</w:t>
      </w:r>
      <w:bookmarkEnd w:id="7"/>
    </w:p>
    <w:p w14:paraId="2EF652A4">
      <w:pPr>
        <w:pStyle w:val="31"/>
        <w:bidi w:val="0"/>
        <w:rPr>
          <w:rFonts w:hint="default"/>
          <w:lang w:val="en-US" w:eastAsia="zh-CN"/>
        </w:rPr>
      </w:pPr>
      <w:bookmarkStart w:id="8" w:name="_Toc31372"/>
      <w:r>
        <w:rPr>
          <w:rFonts w:hint="default"/>
          <w:lang w:val="en-US" w:eastAsia="zh-CN"/>
        </w:rPr>
        <w:t>采购部经理</w:t>
      </w:r>
      <w:bookmarkEnd w:id="8"/>
    </w:p>
    <w:p w14:paraId="4C50FA6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负责制定公司采购策略、政策与流程，确保采购活动合规、高效；</w:t>
      </w:r>
    </w:p>
    <w:p w14:paraId="1A12828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全面负责供应商开发、准入审核、年度评估及合作关系的统筹管理；</w:t>
      </w:r>
    </w:p>
    <w:p w14:paraId="6AE1A68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组织制定供应商分级标准与合作策略；</w:t>
      </w:r>
    </w:p>
    <w:p w14:paraId="36F9516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主导重要物资、设备及服务的采购谈判、合同签订与执行；</w:t>
      </w:r>
    </w:p>
    <w:p w14:paraId="4153836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对应急采购和特殊渠道采购进行审批与备案；</w:t>
      </w:r>
    </w:p>
    <w:p w14:paraId="0FE3D6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负责采购团队的日常管理、工作指导、绩效考核与专业能力建设；</w:t>
      </w:r>
    </w:p>
    <w:p w14:paraId="6C9E7E3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监控市场行情与供应链动态，进行采购成本分析与预测，提供决策支持。</w:t>
      </w:r>
    </w:p>
    <w:p w14:paraId="3B27EFE2">
      <w:pPr>
        <w:pStyle w:val="31"/>
        <w:bidi w:val="0"/>
        <w:rPr>
          <w:rFonts w:hint="default"/>
          <w:lang w:val="en-US" w:eastAsia="zh-CN"/>
        </w:rPr>
      </w:pPr>
      <w:bookmarkStart w:id="9" w:name="_Toc7059"/>
      <w:r>
        <w:rPr>
          <w:rFonts w:hint="default"/>
          <w:lang w:val="en-US" w:eastAsia="zh-CN"/>
        </w:rPr>
        <w:t>采购专员</w:t>
      </w:r>
      <w:bookmarkEnd w:id="9"/>
    </w:p>
    <w:p w14:paraId="2227001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负责供应商信息收集、资质初审、档案建立与维护；</w:t>
      </w:r>
    </w:p>
    <w:p w14:paraId="187AEE7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执行采购寻源、询价比价及初步议价工作；</w:t>
      </w:r>
    </w:p>
    <w:p w14:paraId="2C45CF2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负责采购订单的制作、下达、跟催与交付确认；</w:t>
      </w:r>
    </w:p>
    <w:p w14:paraId="60C8BCB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协助采购经理进行供应商日常沟通、资料收集与关系维护；</w:t>
      </w:r>
    </w:p>
    <w:p w14:paraId="0C5779E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负责采购合同、订单及相关文件的整理、归档与台账管理；</w:t>
      </w:r>
    </w:p>
    <w:p w14:paraId="4E360FF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协助处理到货验收异常、退换货及发票匹配等事宜；</w:t>
      </w:r>
    </w:p>
    <w:p w14:paraId="1F880BA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负责采购基础数据的录入与维护，确保ERP或采购系统信息的准确性；</w:t>
      </w:r>
    </w:p>
    <w:p w14:paraId="62DE5DE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严格遵守公司采购制度与流程，确保采购操作的合规性。</w:t>
      </w:r>
    </w:p>
    <w:p w14:paraId="7800273B">
      <w:pPr>
        <w:pStyle w:val="31"/>
        <w:bidi w:val="0"/>
        <w:rPr>
          <w:rFonts w:hint="default"/>
          <w:lang w:val="en-US" w:eastAsia="zh-CN"/>
        </w:rPr>
      </w:pPr>
      <w:bookmarkStart w:id="10" w:name="_Toc9948"/>
      <w:r>
        <w:rPr>
          <w:rFonts w:hint="default"/>
          <w:lang w:val="en-US" w:eastAsia="zh-CN"/>
        </w:rPr>
        <w:t>备件库</w:t>
      </w:r>
      <w:bookmarkEnd w:id="10"/>
    </w:p>
    <w:p w14:paraId="4521D96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参与供应商样品测试与试用评估；</w:t>
      </w:r>
    </w:p>
    <w:p w14:paraId="27A9DC4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反馈供应商供货质量、交付时效、售后配合等情况；</w:t>
      </w:r>
    </w:p>
    <w:p w14:paraId="2D7AA54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配合采购部完成供应商现场考察或远程评审；</w:t>
      </w:r>
    </w:p>
    <w:p w14:paraId="39E6E26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依据《备品备件管理制度》执行到货检验，提供检测记录；</w:t>
      </w:r>
    </w:p>
    <w:p w14:paraId="386AC54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定期汇总备件使用情况，为供应商评估提供数据支持。</w:t>
      </w:r>
    </w:p>
    <w:p w14:paraId="25515F5C">
      <w:pPr>
        <w:pStyle w:val="31"/>
        <w:bidi w:val="0"/>
        <w:rPr>
          <w:rFonts w:hint="default"/>
          <w:lang w:val="en-US" w:eastAsia="zh-CN"/>
        </w:rPr>
      </w:pPr>
      <w:bookmarkStart w:id="11" w:name="_Toc29522"/>
      <w:r>
        <w:rPr>
          <w:rFonts w:hint="default"/>
          <w:lang w:val="en-US" w:eastAsia="zh-CN"/>
        </w:rPr>
        <w:t>运维部</w:t>
      </w:r>
      <w:bookmarkEnd w:id="11"/>
    </w:p>
    <w:p w14:paraId="35B9293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对供应商提供的技术方案、产品兼容性、维修能力等提供专业意见；</w:t>
      </w:r>
    </w:p>
    <w:p w14:paraId="0C9C92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参与关键设备或服务类供应商的技术评审；</w:t>
      </w:r>
    </w:p>
    <w:p w14:paraId="0F26B98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反馈供应商在运维使用过程中的实际表现，包括稳定性、故障率等；</w:t>
      </w:r>
    </w:p>
    <w:p w14:paraId="34EAF44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配合质量部处理因供应商产品或服务引发的重大事件与根源分析。</w:t>
      </w:r>
    </w:p>
    <w:p w14:paraId="4C800DD3">
      <w:pPr>
        <w:pStyle w:val="31"/>
        <w:bidi w:val="0"/>
        <w:rPr>
          <w:rFonts w:hint="default"/>
          <w:lang w:val="en-US" w:eastAsia="zh-CN"/>
        </w:rPr>
      </w:pPr>
      <w:bookmarkStart w:id="12" w:name="_Toc22189"/>
      <w:r>
        <w:rPr>
          <w:rFonts w:hint="default"/>
          <w:lang w:val="en-US" w:eastAsia="zh-CN"/>
        </w:rPr>
        <w:t>质量部</w:t>
      </w:r>
      <w:bookmarkEnd w:id="12"/>
    </w:p>
    <w:p w14:paraId="7D7691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参与供应商质量管理体系的评估与审核；</w:t>
      </w:r>
    </w:p>
    <w:p w14:paraId="5D86275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协助处理因供应商质量问题引发的客户投诉与服务回溯；</w:t>
      </w:r>
    </w:p>
    <w:p w14:paraId="1F949C7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对供应商整改措施的落实情况进行监督与验证；</w:t>
      </w:r>
    </w:p>
    <w:p w14:paraId="5712283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参与供应商年度评估，对质量维度进行独立评价。</w:t>
      </w:r>
    </w:p>
    <w:p w14:paraId="08435946">
      <w:pPr>
        <w:pStyle w:val="31"/>
        <w:bidi w:val="0"/>
        <w:rPr>
          <w:rFonts w:hint="default"/>
          <w:lang w:val="en-US" w:eastAsia="zh-CN"/>
        </w:rPr>
      </w:pPr>
      <w:bookmarkStart w:id="13" w:name="_Toc22358"/>
      <w:r>
        <w:rPr>
          <w:rFonts w:hint="default"/>
          <w:lang w:val="en-US" w:eastAsia="zh-CN"/>
        </w:rPr>
        <w:t>副总经理</w:t>
      </w:r>
      <w:bookmarkEnd w:id="13"/>
    </w:p>
    <w:p w14:paraId="7B4B795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对重大采购项目、关键供应商准入与退出进行审批；</w:t>
      </w:r>
    </w:p>
    <w:p w14:paraId="743FCEC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统筹协调跨部门的供应商管理相关事项；</w:t>
      </w:r>
    </w:p>
    <w:p w14:paraId="3B7E3D2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对应急采购等特殊情况予以决策支持。</w:t>
      </w:r>
    </w:p>
    <w:p w14:paraId="3FC493B5">
      <w:pPr>
        <w:pStyle w:val="31"/>
        <w:bidi w:val="0"/>
        <w:rPr>
          <w:rFonts w:hint="default"/>
          <w:lang w:val="en-US" w:eastAsia="zh-CN"/>
        </w:rPr>
      </w:pPr>
      <w:bookmarkStart w:id="14" w:name="_Toc1629"/>
      <w:r>
        <w:rPr>
          <w:rFonts w:hint="default"/>
          <w:lang w:val="en-US" w:eastAsia="zh-CN"/>
        </w:rPr>
        <w:t>总经理</w:t>
      </w:r>
      <w:bookmarkEnd w:id="14"/>
    </w:p>
    <w:p w14:paraId="2D13402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审批公司采购战略与年度采购计划；</w:t>
      </w:r>
    </w:p>
    <w:p w14:paraId="311B27F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对超预算采购、重大合同变更等事项进行最终决策。</w:t>
      </w:r>
    </w:p>
    <w:p w14:paraId="3A455D4C">
      <w:pPr>
        <w:pStyle w:val="29"/>
        <w:bidi w:val="0"/>
        <w:rPr>
          <w:rFonts w:hint="default"/>
          <w:lang w:val="en-US" w:eastAsia="zh-CN"/>
        </w:rPr>
      </w:pPr>
      <w:bookmarkStart w:id="15" w:name="_Toc4789"/>
      <w:r>
        <w:rPr>
          <w:rFonts w:hint="default"/>
          <w:lang w:val="en-US" w:eastAsia="zh-CN"/>
        </w:rPr>
        <w:t>供应商的分类和定义</w:t>
      </w:r>
      <w:bookmarkEnd w:id="15"/>
    </w:p>
    <w:p w14:paraId="75ABF82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根据供应内容及合作方式，将供应商分为以下三类：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4488"/>
        <w:gridCol w:w="2306"/>
      </w:tblGrid>
      <w:tr w14:paraId="63868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1710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类别</w:t>
            </w:r>
          </w:p>
        </w:tc>
        <w:tc>
          <w:tcPr>
            <w:tcW w:w="44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228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定义</w:t>
            </w:r>
          </w:p>
        </w:tc>
        <w:tc>
          <w:tcPr>
            <w:tcW w:w="23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2E6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示例</w:t>
            </w:r>
          </w:p>
        </w:tc>
      </w:tr>
      <w:tr w14:paraId="4D395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A049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A类（核心供应商）</w:t>
            </w:r>
          </w:p>
        </w:tc>
        <w:tc>
          <w:tcPr>
            <w:tcW w:w="4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571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供应关键设备、核心软件或重要服务的供应商，合作关系紧密，替换成本高</w:t>
            </w:r>
          </w:p>
        </w:tc>
        <w:tc>
          <w:tcPr>
            <w:tcW w:w="2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2FDC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态势感知平台厂商、服务器品牌厂商</w:t>
            </w:r>
          </w:p>
        </w:tc>
      </w:tr>
      <w:tr w14:paraId="1C030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4586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B类（常规供应商）</w:t>
            </w:r>
          </w:p>
        </w:tc>
        <w:tc>
          <w:tcPr>
            <w:tcW w:w="44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870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供应常用备件、辅助设备或标准化服务的供应商，市场可选较多</w:t>
            </w:r>
          </w:p>
        </w:tc>
        <w:tc>
          <w:tcPr>
            <w:tcW w:w="2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AEA6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网线、光纤模块、通用硬盘供应商</w:t>
            </w:r>
          </w:p>
        </w:tc>
      </w:tr>
      <w:tr w14:paraId="47ADA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7087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C类（临时/专项供应商）</w:t>
            </w:r>
          </w:p>
        </w:tc>
        <w:tc>
          <w:tcPr>
            <w:tcW w:w="44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7C5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针对特定项目或一次性采购的供应商，合作周期短</w:t>
            </w:r>
          </w:p>
        </w:tc>
        <w:tc>
          <w:tcPr>
            <w:tcW w:w="23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A3343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展会采购、零星维修服务商</w:t>
            </w:r>
          </w:p>
        </w:tc>
      </w:tr>
    </w:tbl>
    <w:p w14:paraId="789EA834">
      <w:pPr>
        <w:pStyle w:val="29"/>
        <w:bidi w:val="0"/>
        <w:rPr>
          <w:rFonts w:hint="default"/>
          <w:lang w:val="en-US" w:eastAsia="zh-CN"/>
        </w:rPr>
      </w:pPr>
      <w:bookmarkStart w:id="16" w:name="_Toc23570"/>
      <w:r>
        <w:rPr>
          <w:rFonts w:hint="default"/>
          <w:lang w:val="en-US" w:eastAsia="zh-CN"/>
        </w:rPr>
        <w:t>供应商准入管理</w:t>
      </w:r>
      <w:bookmarkEnd w:id="16"/>
    </w:p>
    <w:p w14:paraId="11679149">
      <w:pPr>
        <w:pStyle w:val="31"/>
        <w:bidi w:val="0"/>
        <w:rPr>
          <w:rFonts w:hint="default"/>
          <w:lang w:val="en-US" w:eastAsia="zh-CN"/>
        </w:rPr>
      </w:pPr>
      <w:bookmarkStart w:id="17" w:name="_Toc17601"/>
      <w:r>
        <w:rPr>
          <w:rFonts w:hint="default"/>
          <w:lang w:val="en-US" w:eastAsia="zh-CN"/>
        </w:rPr>
        <w:t>准入基本条件</w:t>
      </w:r>
      <w:bookmarkEnd w:id="17"/>
    </w:p>
    <w:p w14:paraId="1C3D12E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供应商需同时满足以下基本条件方可进入准入评估流程：</w:t>
      </w:r>
    </w:p>
    <w:p w14:paraId="33DC4CD0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具有独立法人资格，营业执照、税务登记证等资质齐全且在有效期内；</w:t>
      </w:r>
    </w:p>
    <w:p w14:paraId="2410CE6E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具备相关产品的生产或销售授权（如为代理商）；</w:t>
      </w:r>
    </w:p>
    <w:p w14:paraId="7146857D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无重大违法失信记录，未被列入经营异常名录；</w:t>
      </w:r>
    </w:p>
    <w:p w14:paraId="56039473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能够提供符合国家或行业标准的产品或服务。</w:t>
      </w:r>
    </w:p>
    <w:p w14:paraId="490C7CEE">
      <w:pPr>
        <w:pStyle w:val="31"/>
        <w:bidi w:val="0"/>
        <w:rPr>
          <w:rFonts w:hint="default"/>
          <w:lang w:val="en-US" w:eastAsia="zh-CN"/>
        </w:rPr>
      </w:pPr>
      <w:bookmarkStart w:id="18" w:name="_Toc19600"/>
      <w:r>
        <w:rPr>
          <w:rFonts w:hint="default"/>
          <w:lang w:val="en-US" w:eastAsia="zh-CN"/>
        </w:rPr>
        <w:t>准入评估流程</w:t>
      </w:r>
      <w:bookmarkEnd w:id="18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9"/>
        <w:gridCol w:w="1408"/>
        <w:gridCol w:w="3662"/>
        <w:gridCol w:w="1753"/>
      </w:tblGrid>
      <w:tr w14:paraId="10CF6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0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59C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140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502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责任岗位</w:t>
            </w:r>
          </w:p>
        </w:tc>
        <w:tc>
          <w:tcPr>
            <w:tcW w:w="3662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7A2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工作内容</w:t>
            </w:r>
          </w:p>
        </w:tc>
        <w:tc>
          <w:tcPr>
            <w:tcW w:w="175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9D7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输出文档</w:t>
            </w:r>
          </w:p>
        </w:tc>
      </w:tr>
      <w:tr w14:paraId="2F637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F1D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1. 信息收集</w:t>
            </w:r>
          </w:p>
        </w:tc>
        <w:tc>
          <w:tcPr>
            <w:tcW w:w="1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0F4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采购专员</w:t>
            </w:r>
          </w:p>
        </w:tc>
        <w:tc>
          <w:tcPr>
            <w:tcW w:w="36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DCE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收集供应商营业执照、资质证书、产品目录、典型案例等</w:t>
            </w:r>
          </w:p>
        </w:tc>
        <w:tc>
          <w:tcPr>
            <w:tcW w:w="17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D777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《供应商基本信息登记表》</w:t>
            </w:r>
          </w:p>
        </w:tc>
      </w:tr>
      <w:tr w14:paraId="52CE9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A65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2. 资质初审</w:t>
            </w:r>
          </w:p>
        </w:tc>
        <w:tc>
          <w:tcPr>
            <w:tcW w:w="1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CAD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采购部经理</w:t>
            </w:r>
          </w:p>
        </w:tc>
        <w:tc>
          <w:tcPr>
            <w:tcW w:w="36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37F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审核资质完整性、合法性，初步评估供应能力</w:t>
            </w:r>
          </w:p>
        </w:tc>
        <w:tc>
          <w:tcPr>
            <w:tcW w:w="17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980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初审意见</w:t>
            </w:r>
          </w:p>
        </w:tc>
      </w:tr>
      <w:tr w14:paraId="3C7F5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A4B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3. 样品/试用评估</w:t>
            </w:r>
          </w:p>
        </w:tc>
        <w:tc>
          <w:tcPr>
            <w:tcW w:w="1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E9A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备件库/使用部门</w:t>
            </w:r>
          </w:p>
        </w:tc>
        <w:tc>
          <w:tcPr>
            <w:tcW w:w="36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BD9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对样品进行检测或试用，出具试用意见</w:t>
            </w:r>
          </w:p>
        </w:tc>
        <w:tc>
          <w:tcPr>
            <w:tcW w:w="17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DBA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《样品检测/试用评估表》</w:t>
            </w:r>
          </w:p>
        </w:tc>
      </w:tr>
      <w:tr w14:paraId="5F900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F6C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4. 现场/远程考察（可选）</w:t>
            </w:r>
          </w:p>
        </w:tc>
        <w:tc>
          <w:tcPr>
            <w:tcW w:w="1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E05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采购部+技术部门</w:t>
            </w:r>
          </w:p>
        </w:tc>
        <w:tc>
          <w:tcPr>
            <w:tcW w:w="36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E0E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对A类或关键供应商进行实地或视频考察</w:t>
            </w:r>
          </w:p>
        </w:tc>
        <w:tc>
          <w:tcPr>
            <w:tcW w:w="17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F1A2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《供应商现场考察记录表》</w:t>
            </w:r>
          </w:p>
        </w:tc>
      </w:tr>
      <w:tr w14:paraId="34AC8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308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5. 准入审批</w:t>
            </w:r>
          </w:p>
        </w:tc>
        <w:tc>
          <w:tcPr>
            <w:tcW w:w="1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693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副总经理/总经理</w:t>
            </w:r>
          </w:p>
        </w:tc>
        <w:tc>
          <w:tcPr>
            <w:tcW w:w="36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D0C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对通过评估的供应商进行最终审批（关键供应商报总经理审批）</w:t>
            </w:r>
          </w:p>
        </w:tc>
        <w:tc>
          <w:tcPr>
            <w:tcW w:w="17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9AC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审批意见</w:t>
            </w:r>
          </w:p>
        </w:tc>
      </w:tr>
      <w:tr w14:paraId="06348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E17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6. 建档入库</w:t>
            </w:r>
          </w:p>
        </w:tc>
        <w:tc>
          <w:tcPr>
            <w:tcW w:w="1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394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采购专员</w:t>
            </w:r>
          </w:p>
        </w:tc>
        <w:tc>
          <w:tcPr>
            <w:tcW w:w="36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CD9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建立供应商档案，录入合格供应商名录</w:t>
            </w:r>
          </w:p>
        </w:tc>
        <w:tc>
          <w:tcPr>
            <w:tcW w:w="17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A70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《合格供应商名录》</w:t>
            </w:r>
          </w:p>
        </w:tc>
      </w:tr>
    </w:tbl>
    <w:p w14:paraId="5B6A642F">
      <w:pPr>
        <w:pStyle w:val="29"/>
        <w:bidi w:val="0"/>
        <w:rPr>
          <w:rFonts w:hint="default"/>
          <w:lang w:val="en-US" w:eastAsia="zh-CN"/>
        </w:rPr>
      </w:pPr>
      <w:bookmarkStart w:id="19" w:name="_Toc32507"/>
      <w:r>
        <w:rPr>
          <w:rFonts w:hint="default"/>
          <w:lang w:val="en-US" w:eastAsia="zh-CN"/>
        </w:rPr>
        <w:t>供应商评估与分级</w:t>
      </w:r>
      <w:bookmarkEnd w:id="19"/>
    </w:p>
    <w:p w14:paraId="18F7773A">
      <w:pPr>
        <w:pStyle w:val="31"/>
        <w:bidi w:val="0"/>
        <w:rPr>
          <w:rFonts w:hint="default"/>
          <w:lang w:val="en-US" w:eastAsia="zh-CN"/>
        </w:rPr>
      </w:pPr>
      <w:bookmarkStart w:id="20" w:name="_Toc7137"/>
      <w:r>
        <w:rPr>
          <w:rFonts w:hint="default"/>
          <w:lang w:val="en-US" w:eastAsia="zh-CN"/>
        </w:rPr>
        <w:t>评估周期</w:t>
      </w:r>
      <w:bookmarkEnd w:id="20"/>
    </w:p>
    <w:p w14:paraId="2B4F72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A类供应商：每半年评估一次；</w:t>
      </w:r>
    </w:p>
    <w:p w14:paraId="408A6C3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B类供应商：每年评估一次；</w:t>
      </w:r>
    </w:p>
    <w:p w14:paraId="63CEF0D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C类供应商：合作结束后进行一次性评估。</w:t>
      </w:r>
    </w:p>
    <w:p w14:paraId="175141D2">
      <w:pPr>
        <w:pStyle w:val="31"/>
        <w:bidi w:val="0"/>
        <w:rPr>
          <w:rFonts w:hint="default"/>
          <w:lang w:val="en-US" w:eastAsia="zh-CN"/>
        </w:rPr>
      </w:pPr>
      <w:bookmarkStart w:id="21" w:name="_Toc13228"/>
      <w:r>
        <w:rPr>
          <w:rFonts w:hint="default"/>
          <w:lang w:val="en-US" w:eastAsia="zh-CN"/>
        </w:rPr>
        <w:t>评估维度与权重</w:t>
      </w:r>
      <w:bookmarkEnd w:id="21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2"/>
        <w:gridCol w:w="898"/>
        <w:gridCol w:w="3802"/>
        <w:gridCol w:w="2470"/>
      </w:tblGrid>
      <w:tr w14:paraId="1B164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5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561D4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评估维度</w:t>
            </w:r>
          </w:p>
        </w:tc>
        <w:tc>
          <w:tcPr>
            <w:tcW w:w="8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0D7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权重</w:t>
            </w:r>
          </w:p>
        </w:tc>
        <w:tc>
          <w:tcPr>
            <w:tcW w:w="38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187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评估内容</w:t>
            </w:r>
          </w:p>
        </w:tc>
        <w:tc>
          <w:tcPr>
            <w:tcW w:w="24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8D4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数据来源</w:t>
            </w:r>
          </w:p>
        </w:tc>
      </w:tr>
      <w:tr w14:paraId="514D2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EA89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产品质量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F55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30%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F65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到货合格率、故障率、样品一致性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65ED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备件库检测记录、运维部反馈</w:t>
            </w:r>
          </w:p>
        </w:tc>
      </w:tr>
      <w:tr w14:paraId="77652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4C56C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交付能力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78C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25%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936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交货准时率、应急响应速度、库存保障能力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7294B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采购到货记录、应急采购记录</w:t>
            </w:r>
          </w:p>
        </w:tc>
      </w:tr>
      <w:tr w14:paraId="14A8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1346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价格竞争力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A93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20%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CE3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报价合理性、价格稳定性、优惠支持力度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F518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采购合同、比价记录</w:t>
            </w:r>
          </w:p>
        </w:tc>
      </w:tr>
      <w:tr w14:paraId="7126C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4F7C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售后服务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4A8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15%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C0D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技术响应速度、退换货配合度、维修周期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DB80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服务台记录、运维部反馈</w:t>
            </w:r>
          </w:p>
        </w:tc>
      </w:tr>
      <w:tr w14:paraId="1F163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6B83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合作配合度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6CB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10%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938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沟通效率、资料提供及时性、合同履约配合度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2D0CC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采购部综合评分</w:t>
            </w:r>
          </w:p>
        </w:tc>
      </w:tr>
    </w:tbl>
    <w:p w14:paraId="3BF67018">
      <w:pPr>
        <w:pStyle w:val="31"/>
        <w:bidi w:val="0"/>
        <w:rPr>
          <w:rFonts w:hint="default"/>
          <w:lang w:val="en-US" w:eastAsia="zh-CN"/>
        </w:rPr>
      </w:pPr>
      <w:bookmarkStart w:id="22" w:name="_Toc16387"/>
      <w:r>
        <w:rPr>
          <w:rFonts w:hint="default"/>
          <w:lang w:val="en-US" w:eastAsia="zh-CN"/>
        </w:rPr>
        <w:t>分级标准</w:t>
      </w:r>
      <w:bookmarkEnd w:id="22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2090"/>
        <w:gridCol w:w="5131"/>
      </w:tblGrid>
      <w:tr w14:paraId="58D15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C158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评分区间</w:t>
            </w:r>
          </w:p>
        </w:tc>
        <w:tc>
          <w:tcPr>
            <w:tcW w:w="20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E74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等级</w:t>
            </w:r>
          </w:p>
        </w:tc>
        <w:tc>
          <w:tcPr>
            <w:tcW w:w="51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29BA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管理策略</w:t>
            </w:r>
          </w:p>
        </w:tc>
      </w:tr>
      <w:tr w14:paraId="39AC3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165D8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≥90分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47F1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优秀供应商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6B98B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优先合作、简化流程、可签署长期框架协议</w:t>
            </w:r>
          </w:p>
        </w:tc>
      </w:tr>
      <w:tr w14:paraId="1B6BB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C3068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75-89分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A24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合格供应商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45719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正常合作、定期跟踪、持续改进</w:t>
            </w:r>
          </w:p>
        </w:tc>
      </w:tr>
      <w:tr w14:paraId="30911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0276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60-74分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0B6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观察供应商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11B18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限制合作、限期整改、加强抽检</w:t>
            </w:r>
          </w:p>
        </w:tc>
      </w:tr>
      <w:tr w14:paraId="167B6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1081B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&lt;60分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487C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不合格供应商</w:t>
            </w:r>
          </w:p>
        </w:tc>
        <w:tc>
          <w:tcPr>
            <w:tcW w:w="51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BA2326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暂停合作、启动退出程序</w:t>
            </w:r>
          </w:p>
        </w:tc>
      </w:tr>
    </w:tbl>
    <w:p w14:paraId="66AE0641">
      <w:pPr>
        <w:pStyle w:val="29"/>
        <w:bidi w:val="0"/>
        <w:rPr>
          <w:rFonts w:hint="default"/>
          <w:lang w:val="en-US" w:eastAsia="zh-CN"/>
        </w:rPr>
      </w:pPr>
      <w:bookmarkStart w:id="23" w:name="_Toc589"/>
      <w:r>
        <w:rPr>
          <w:rFonts w:hint="default"/>
          <w:lang w:val="en-US" w:eastAsia="zh-CN"/>
        </w:rPr>
        <w:t>供应商合作管理</w:t>
      </w:r>
      <w:bookmarkEnd w:id="23"/>
    </w:p>
    <w:p w14:paraId="7CF33354">
      <w:pPr>
        <w:pStyle w:val="31"/>
        <w:bidi w:val="0"/>
        <w:rPr>
          <w:rFonts w:hint="default"/>
          <w:lang w:val="en-US" w:eastAsia="zh-CN"/>
        </w:rPr>
      </w:pPr>
      <w:bookmarkStart w:id="24" w:name="_Toc7731"/>
      <w:r>
        <w:rPr>
          <w:rFonts w:hint="default"/>
          <w:lang w:val="en-US" w:eastAsia="zh-CN"/>
        </w:rPr>
        <w:t>框架协议管理</w:t>
      </w:r>
      <w:bookmarkEnd w:id="24"/>
    </w:p>
    <w:p w14:paraId="47994B8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对A类及部分B类供应商，可签署年度或长期框架协议，明确：</w:t>
      </w:r>
    </w:p>
    <w:p w14:paraId="587ED0A5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供应范围、价格体系、结算方式；</w:t>
      </w:r>
    </w:p>
    <w:p w14:paraId="7A6736B0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交付时效要求、售后服务承诺；</w:t>
      </w:r>
    </w:p>
    <w:p w14:paraId="56C60FA1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质量保证、违约责任等条款。</w:t>
      </w:r>
    </w:p>
    <w:p w14:paraId="023B41B2">
      <w:pPr>
        <w:pStyle w:val="31"/>
        <w:bidi w:val="0"/>
        <w:rPr>
          <w:rFonts w:hint="default"/>
          <w:lang w:val="en-US" w:eastAsia="zh-CN"/>
        </w:rPr>
      </w:pPr>
      <w:bookmarkStart w:id="25" w:name="_Toc6177"/>
      <w:r>
        <w:rPr>
          <w:rFonts w:hint="default"/>
          <w:lang w:val="en-US" w:eastAsia="zh-CN"/>
        </w:rPr>
        <w:t>订单与交付管理</w:t>
      </w:r>
      <w:bookmarkEnd w:id="25"/>
    </w:p>
    <w:p w14:paraId="7BA8EC3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采购订单需明确物资名称、规格、数量、交付时间、验收标准；</w:t>
      </w:r>
    </w:p>
    <w:p w14:paraId="43A55FD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到货后由备件库专员按《备品备件管理制度》进行入库检验；</w:t>
      </w:r>
    </w:p>
    <w:p w14:paraId="6A711F0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对交付延迟、质量问题的供应商，按合同约定进行记录与追溯；</w:t>
      </w:r>
    </w:p>
    <w:p w14:paraId="6491645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涉及技术问题的，由运维部配合进行验证与反馈。</w:t>
      </w:r>
    </w:p>
    <w:p w14:paraId="4EB723CF">
      <w:pPr>
        <w:pStyle w:val="31"/>
        <w:bidi w:val="0"/>
        <w:rPr>
          <w:rFonts w:hint="default"/>
          <w:lang w:val="en-US" w:eastAsia="zh-CN"/>
        </w:rPr>
      </w:pPr>
      <w:bookmarkStart w:id="26" w:name="_Toc8097"/>
      <w:r>
        <w:rPr>
          <w:rFonts w:hint="default"/>
          <w:lang w:val="en-US" w:eastAsia="zh-CN"/>
        </w:rPr>
        <w:t>供应商档案管理</w:t>
      </w:r>
      <w:bookmarkEnd w:id="26"/>
    </w:p>
    <w:p w14:paraId="449A3CB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采购专员负责建立并维护《供应商档案》，包括：</w:t>
      </w:r>
    </w:p>
    <w:p w14:paraId="190C462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基本信息、资质文件；</w:t>
      </w:r>
    </w:p>
    <w:p w14:paraId="008A7F1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历次评估记录；</w:t>
      </w:r>
    </w:p>
    <w:p w14:paraId="4327C27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合同/订单履行记录；</w:t>
      </w:r>
    </w:p>
    <w:p w14:paraId="08B60FD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问题及整改记录；</w:t>
      </w:r>
    </w:p>
    <w:p w14:paraId="2A6CCAA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质量部、运维部等相关部门的反馈意见。</w:t>
      </w:r>
    </w:p>
    <w:p w14:paraId="049DFC75">
      <w:pPr>
        <w:pStyle w:val="29"/>
        <w:bidi w:val="0"/>
        <w:rPr>
          <w:rFonts w:hint="default"/>
          <w:lang w:val="en-US" w:eastAsia="zh-CN"/>
        </w:rPr>
      </w:pPr>
      <w:bookmarkStart w:id="27" w:name="_Toc20146"/>
      <w:r>
        <w:rPr>
          <w:rFonts w:hint="default"/>
          <w:lang w:val="en-US" w:eastAsia="zh-CN"/>
        </w:rPr>
        <w:t>供应商退出管理</w:t>
      </w:r>
      <w:bookmarkEnd w:id="27"/>
    </w:p>
    <w:p w14:paraId="2B10CC3E">
      <w:pPr>
        <w:pStyle w:val="31"/>
        <w:bidi w:val="0"/>
        <w:rPr>
          <w:rFonts w:hint="default"/>
          <w:lang w:val="en-US" w:eastAsia="zh-CN"/>
        </w:rPr>
      </w:pPr>
      <w:bookmarkStart w:id="28" w:name="_Toc16512"/>
      <w:r>
        <w:rPr>
          <w:rFonts w:hint="default"/>
          <w:lang w:val="en-US" w:eastAsia="zh-CN"/>
        </w:rPr>
        <w:t>触发退出的情形</w:t>
      </w:r>
      <w:bookmarkEnd w:id="28"/>
    </w:p>
    <w:p w14:paraId="0AA3F51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符合以下任一情形，启动供应商退出程序：</w:t>
      </w:r>
    </w:p>
    <w:p w14:paraId="406A3FF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连续两次评估不合格（&lt;60分）；</w:t>
      </w:r>
    </w:p>
    <w:p w14:paraId="17DE64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发生重大质量问题，造成客户投诉或经济损失；</w:t>
      </w:r>
    </w:p>
    <w:p w14:paraId="0ABF53C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严重违约，如交付假冒伪劣产品、恶意提价、泄露公司机密；</w:t>
      </w:r>
    </w:p>
    <w:p w14:paraId="17ABAB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供应商主动申请终止合作；</w:t>
      </w:r>
    </w:p>
    <w:p w14:paraId="3C6BDDB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供应商经营异常、破产、注销。</w:t>
      </w:r>
    </w:p>
    <w:p w14:paraId="346ED8C5">
      <w:pPr>
        <w:pStyle w:val="31"/>
        <w:bidi w:val="0"/>
        <w:rPr>
          <w:rFonts w:hint="default"/>
          <w:lang w:val="en-US" w:eastAsia="zh-CN"/>
        </w:rPr>
      </w:pPr>
      <w:bookmarkStart w:id="29" w:name="_Toc16135"/>
      <w:r>
        <w:rPr>
          <w:rFonts w:hint="default"/>
          <w:lang w:val="en-US" w:eastAsia="zh-CN"/>
        </w:rPr>
        <w:t>退出流程</w:t>
      </w:r>
      <w:bookmarkEnd w:id="2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1391"/>
        <w:gridCol w:w="4167"/>
        <w:gridCol w:w="1564"/>
      </w:tblGrid>
      <w:tr w14:paraId="6A31E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C8F3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1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E7E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责任岗位</w:t>
            </w:r>
          </w:p>
        </w:tc>
        <w:tc>
          <w:tcPr>
            <w:tcW w:w="41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27A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工作内容</w:t>
            </w:r>
          </w:p>
        </w:tc>
        <w:tc>
          <w:tcPr>
            <w:tcW w:w="156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9D0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输出文档</w:t>
            </w:r>
          </w:p>
        </w:tc>
      </w:tr>
      <w:tr w14:paraId="4AAF9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FF4F7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1. 退出评估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3FE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采购部经理</w:t>
            </w:r>
          </w:p>
        </w:tc>
        <w:tc>
          <w:tcPr>
            <w:tcW w:w="41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521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核实退出原因，评估对现有业务的影响，必要时征求运维部、质量部意见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B0A55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退出评估意见</w:t>
            </w:r>
          </w:p>
        </w:tc>
      </w:tr>
      <w:tr w14:paraId="72275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D47E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2. 审批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30B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副总经理/总经理</w:t>
            </w:r>
          </w:p>
        </w:tc>
        <w:tc>
          <w:tcPr>
            <w:tcW w:w="41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A21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对退出申请进行审批（关键供应商报总经理审批）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AB45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审批意见</w:t>
            </w:r>
          </w:p>
        </w:tc>
      </w:tr>
      <w:tr w14:paraId="17217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7D4E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3. 通知与交接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234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采购专员</w:t>
            </w:r>
          </w:p>
        </w:tc>
        <w:tc>
          <w:tcPr>
            <w:tcW w:w="41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9B8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书面通知供应商，完成未结订单/合同处理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0C9F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退出通知函</w:t>
            </w:r>
          </w:p>
        </w:tc>
      </w:tr>
      <w:tr w14:paraId="399C7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5260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4. 档案封存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0CE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采购专员</w:t>
            </w:r>
          </w:p>
        </w:tc>
        <w:tc>
          <w:tcPr>
            <w:tcW w:w="41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96A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在供应商名录中标注"已退出"，档案归档保存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EDA2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供应商档案（封存）</w:t>
            </w:r>
          </w:p>
        </w:tc>
      </w:tr>
    </w:tbl>
    <w:p w14:paraId="092871B8">
      <w:pPr>
        <w:pStyle w:val="29"/>
        <w:bidi w:val="0"/>
        <w:rPr>
          <w:rFonts w:hint="default"/>
          <w:lang w:val="en-US" w:eastAsia="zh-CN"/>
        </w:rPr>
      </w:pPr>
      <w:bookmarkStart w:id="30" w:name="_Toc5326"/>
      <w:r>
        <w:rPr>
          <w:rFonts w:hint="default"/>
          <w:lang w:val="en-US" w:eastAsia="zh-CN"/>
        </w:rPr>
        <w:t>应急采购与特殊渠道管理</w:t>
      </w:r>
      <w:bookmarkEnd w:id="30"/>
    </w:p>
    <w:p w14:paraId="0A07FBBC">
      <w:pPr>
        <w:pStyle w:val="31"/>
        <w:bidi w:val="0"/>
        <w:rPr>
          <w:rFonts w:hint="default"/>
          <w:lang w:val="en-US" w:eastAsia="zh-CN"/>
        </w:rPr>
      </w:pPr>
      <w:bookmarkStart w:id="31" w:name="_Toc30677"/>
      <w:r>
        <w:rPr>
          <w:rFonts w:hint="default"/>
          <w:lang w:val="en-US" w:eastAsia="zh-CN"/>
        </w:rPr>
        <w:t>应急采购触发条件</w:t>
      </w:r>
      <w:bookmarkEnd w:id="31"/>
    </w:p>
    <w:p w14:paraId="5895BD9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符合以下任一情形，可启动应急采购流程：</w:t>
      </w:r>
    </w:p>
    <w:p w14:paraId="3E5DD4B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发生一级或二级故障，现有合格供应商无法满足紧急需求；</w:t>
      </w:r>
    </w:p>
    <w:p w14:paraId="5284F73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项目现场突发需求，常规供应商交付周期无法满足；</w:t>
      </w:r>
    </w:p>
    <w:p w14:paraId="08EBCD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特殊设备或配件需从非合格供应商处临时采购；</w:t>
      </w:r>
    </w:p>
    <w:p w14:paraId="5969C21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经副总经理认定的其他紧急情况。</w:t>
      </w:r>
    </w:p>
    <w:p w14:paraId="3D5E731F">
      <w:pPr>
        <w:pStyle w:val="31"/>
        <w:bidi w:val="0"/>
        <w:rPr>
          <w:rFonts w:hint="default"/>
          <w:lang w:val="en-US" w:eastAsia="zh-CN"/>
        </w:rPr>
      </w:pPr>
      <w:bookmarkStart w:id="32" w:name="_Toc22615"/>
      <w:r>
        <w:rPr>
          <w:rFonts w:hint="default"/>
          <w:lang w:val="en-US" w:eastAsia="zh-CN"/>
        </w:rPr>
        <w:t>应急采购流程</w:t>
      </w:r>
      <w:bookmarkEnd w:id="32"/>
    </w:p>
    <w:p w14:paraId="70315C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参照《备品备件管理制度》中"应急采购"机制执行，并在采购完成后对供应商进行补充评估，决定是否纳入合格名录。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4251A13"/>
    <w:multiLevelType w:val="singleLevel"/>
    <w:tmpl w:val="B4251A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9E425A0"/>
    <w:multiLevelType w:val="singleLevel"/>
    <w:tmpl w:val="C9E425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891B53"/>
    <w:rsid w:val="025C1016"/>
    <w:rsid w:val="05002B6F"/>
    <w:rsid w:val="05CB7316"/>
    <w:rsid w:val="09E65669"/>
    <w:rsid w:val="0B661D0C"/>
    <w:rsid w:val="179E7583"/>
    <w:rsid w:val="1E944953"/>
    <w:rsid w:val="2F7C0313"/>
    <w:rsid w:val="36051F26"/>
    <w:rsid w:val="37A95DA4"/>
    <w:rsid w:val="37B5129E"/>
    <w:rsid w:val="37E33064"/>
    <w:rsid w:val="4FE24D46"/>
    <w:rsid w:val="544F3BE0"/>
    <w:rsid w:val="5A4237C2"/>
    <w:rsid w:val="5BD60666"/>
    <w:rsid w:val="5C9A78E6"/>
    <w:rsid w:val="5EF013ED"/>
    <w:rsid w:val="67145EBE"/>
    <w:rsid w:val="6828369A"/>
    <w:rsid w:val="68C006D4"/>
    <w:rsid w:val="75EB607D"/>
    <w:rsid w:val="77E837A3"/>
    <w:rsid w:val="7ABE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Emphasis"/>
    <w:basedOn w:val="22"/>
    <w:qFormat/>
    <w:uiPriority w:val="0"/>
    <w:rPr>
      <w:i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1980</Words>
  <Characters>2142</Characters>
  <Lines>0</Lines>
  <Paragraphs>0</Paragraphs>
  <TotalTime>0</TotalTime>
  <ScaleCrop>false</ScaleCrop>
  <LinksUpToDate>false</LinksUpToDate>
  <CharactersWithSpaces>2272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2026-03-04T21:04:19Z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