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682E5">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7965"/>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4CA1C142">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1" w:name="_Toc6561"/>
      <w:r>
        <w:rPr>
          <w:rFonts w:hint="eastAsia"/>
          <w:lang w:val="en-US" w:eastAsia="zh-CN"/>
        </w:rPr>
        <w:t>运维服务工具管理办法</w:t>
      </w:r>
      <w:bookmarkEnd w:id="1"/>
    </w:p>
    <w:p w14:paraId="701A323A">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10330"/>
      <w:r>
        <w:rPr>
          <w:rFonts w:hint="eastAsia"/>
          <w:lang w:val="en-US" w:eastAsia="zh-CN"/>
        </w:rPr>
        <w:t>（HXDL-ITSS-0801）</w:t>
      </w:r>
      <w:bookmarkEnd w:id="2"/>
    </w:p>
    <w:p w14:paraId="67DD185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28AF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BB14A1B">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566C91B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502D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34F55C9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68386D3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2B9E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126753B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06779C6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0547EAC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F23F295">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32532"/>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6C4586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59DB5F61">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F94EC3C">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0FE157E8">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2C8929B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9A22DFE">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33DFFA69">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242D1916">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2FA80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2CD1FB2D">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183B4396">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7EE0224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570322B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7466B83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02FF448F">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6CA5C81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12DC84B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2B0EF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966492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A7FBD2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2F95B6D1">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332FFAF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632EBDE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32B247E8">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6F7AC9C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75C30D71">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368FB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5D92509E">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0B36267F">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02BA733C">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0213C72D">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7727A1A2">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44D2DC4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0D01798E">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76959AFB">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339AC3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091C528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336BFEE9">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623C0A0C">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60CD0B47">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6388E244">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63C19A45">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14D3D427">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74E087B8">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3BDEF4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5772"/>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F1988DD">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bookmarkStart w:id="4" w:name="heading_2"/>
          <w:r>
            <w:rPr>
              <w:rFonts w:ascii="宋体" w:hAnsi="宋体" w:eastAsia="宋体"/>
              <w:sz w:val="21"/>
            </w:rPr>
            <w:t>目录</w:t>
          </w:r>
        </w:p>
        <w:p w14:paraId="44218DB7">
          <w:pPr>
            <w:pStyle w:val="16"/>
            <w:tabs>
              <w:tab w:val="right" w:leader="dot" w:pos="8306"/>
            </w:tabs>
          </w:pPr>
          <w:bookmarkStart w:id="34" w:name="_GoBack"/>
          <w:bookmarkEnd w:id="34"/>
          <w:r>
            <w:fldChar w:fldCharType="begin"/>
          </w:r>
          <w:r>
            <w:instrText xml:space="preserve">TOC \o "1-3" \h \u </w:instrText>
          </w:r>
          <w:r>
            <w:fldChar w:fldCharType="separate"/>
          </w:r>
          <w:r>
            <w:fldChar w:fldCharType="begin"/>
          </w:r>
          <w:r>
            <w:instrText xml:space="preserve"> HYPERLINK \l _Toc7965 </w:instrText>
          </w:r>
          <w:r>
            <w:fldChar w:fldCharType="separate"/>
          </w:r>
          <w:r>
            <w:rPr>
              <w:rFonts w:hint="eastAsia"/>
              <w:lang w:val="en-US" w:eastAsia="zh-CN"/>
            </w:rPr>
            <w:t>天津市华夏电缆有限公司</w:t>
          </w:r>
          <w:r>
            <w:tab/>
          </w:r>
          <w:r>
            <w:fldChar w:fldCharType="begin"/>
          </w:r>
          <w:r>
            <w:instrText xml:space="preserve"> PAGEREF _Toc7965 \h </w:instrText>
          </w:r>
          <w:r>
            <w:fldChar w:fldCharType="separate"/>
          </w:r>
          <w:r>
            <w:t>1</w:t>
          </w:r>
          <w:r>
            <w:fldChar w:fldCharType="end"/>
          </w:r>
          <w:r>
            <w:fldChar w:fldCharType="end"/>
          </w:r>
        </w:p>
        <w:p w14:paraId="5EAC6294">
          <w:pPr>
            <w:pStyle w:val="16"/>
            <w:tabs>
              <w:tab w:val="right" w:leader="dot" w:pos="8306"/>
            </w:tabs>
          </w:pPr>
          <w:r>
            <w:fldChar w:fldCharType="begin"/>
          </w:r>
          <w:r>
            <w:instrText xml:space="preserve"> HYPERLINK \l _Toc6561 </w:instrText>
          </w:r>
          <w:r>
            <w:fldChar w:fldCharType="separate"/>
          </w:r>
          <w:r>
            <w:rPr>
              <w:rFonts w:hint="eastAsia"/>
              <w:lang w:val="en-US" w:eastAsia="zh-CN"/>
            </w:rPr>
            <w:t>运维服务工具管理办法</w:t>
          </w:r>
          <w:r>
            <w:tab/>
          </w:r>
          <w:r>
            <w:fldChar w:fldCharType="begin"/>
          </w:r>
          <w:r>
            <w:instrText xml:space="preserve"> PAGEREF _Toc6561 \h </w:instrText>
          </w:r>
          <w:r>
            <w:fldChar w:fldCharType="separate"/>
          </w:r>
          <w:r>
            <w:t>1</w:t>
          </w:r>
          <w:r>
            <w:fldChar w:fldCharType="end"/>
          </w:r>
          <w:r>
            <w:fldChar w:fldCharType="end"/>
          </w:r>
        </w:p>
        <w:p w14:paraId="7A10E480">
          <w:pPr>
            <w:pStyle w:val="16"/>
            <w:tabs>
              <w:tab w:val="right" w:leader="dot" w:pos="8306"/>
            </w:tabs>
          </w:pPr>
          <w:r>
            <w:fldChar w:fldCharType="begin"/>
          </w:r>
          <w:r>
            <w:instrText xml:space="preserve"> HYPERLINK \l _Toc10330 </w:instrText>
          </w:r>
          <w:r>
            <w:fldChar w:fldCharType="separate"/>
          </w:r>
          <w:r>
            <w:rPr>
              <w:rFonts w:hint="eastAsia"/>
              <w:lang w:val="en-US" w:eastAsia="zh-CN"/>
            </w:rPr>
            <w:t>（HXDL-ITSS-0801）</w:t>
          </w:r>
          <w:r>
            <w:tab/>
          </w:r>
          <w:r>
            <w:fldChar w:fldCharType="begin"/>
          </w:r>
          <w:r>
            <w:instrText xml:space="preserve"> PAGEREF _Toc10330 \h </w:instrText>
          </w:r>
          <w:r>
            <w:fldChar w:fldCharType="separate"/>
          </w:r>
          <w:r>
            <w:t>1</w:t>
          </w:r>
          <w:r>
            <w:fldChar w:fldCharType="end"/>
          </w:r>
          <w:r>
            <w:fldChar w:fldCharType="end"/>
          </w:r>
        </w:p>
        <w:p w14:paraId="02BBE672">
          <w:pPr>
            <w:pStyle w:val="16"/>
            <w:tabs>
              <w:tab w:val="right" w:leader="dot" w:pos="8306"/>
            </w:tabs>
          </w:pPr>
          <w:r>
            <w:fldChar w:fldCharType="begin"/>
          </w:r>
          <w:r>
            <w:instrText xml:space="preserve"> HYPERLINK \l _Toc32532 </w:instrText>
          </w:r>
          <w:r>
            <w:fldChar w:fldCharType="separate"/>
          </w:r>
          <w:r>
            <w:rPr>
              <w:rFonts w:ascii="宋体" w:hAnsi="宋体" w:eastAsia="宋体" w:cs="宋体"/>
              <w:bCs/>
              <w:spacing w:val="-4"/>
              <w:szCs w:val="30"/>
            </w:rPr>
            <w:t>文件编制和变更履历</w:t>
          </w:r>
          <w:r>
            <w:tab/>
          </w:r>
          <w:r>
            <w:fldChar w:fldCharType="begin"/>
          </w:r>
          <w:r>
            <w:instrText xml:space="preserve"> PAGEREF _Toc32532 \h </w:instrText>
          </w:r>
          <w:r>
            <w:fldChar w:fldCharType="separate"/>
          </w:r>
          <w:r>
            <w:t>2</w:t>
          </w:r>
          <w:r>
            <w:fldChar w:fldCharType="end"/>
          </w:r>
          <w:r>
            <w:fldChar w:fldCharType="end"/>
          </w:r>
        </w:p>
        <w:p w14:paraId="2A11B248">
          <w:pPr>
            <w:pStyle w:val="16"/>
            <w:tabs>
              <w:tab w:val="right" w:leader="dot" w:pos="8306"/>
            </w:tabs>
          </w:pPr>
          <w:r>
            <w:fldChar w:fldCharType="begin"/>
          </w:r>
          <w:r>
            <w:instrText xml:space="preserve"> HYPERLINK \l _Toc14632 </w:instrText>
          </w:r>
          <w:r>
            <w:fldChar w:fldCharType="separate"/>
          </w:r>
          <w:r>
            <w:rPr>
              <w:rFonts w:hint="default"/>
            </w:rPr>
            <w:t xml:space="preserve">1. </w:t>
          </w:r>
          <w:r>
            <w:t>目的</w:t>
          </w:r>
          <w:r>
            <w:tab/>
          </w:r>
          <w:r>
            <w:fldChar w:fldCharType="begin"/>
          </w:r>
          <w:r>
            <w:instrText xml:space="preserve"> PAGEREF _Toc14632 \h </w:instrText>
          </w:r>
          <w:r>
            <w:fldChar w:fldCharType="separate"/>
          </w:r>
          <w:r>
            <w:t>4</w:t>
          </w:r>
          <w:r>
            <w:fldChar w:fldCharType="end"/>
          </w:r>
          <w:r>
            <w:fldChar w:fldCharType="end"/>
          </w:r>
        </w:p>
        <w:p w14:paraId="228F3726">
          <w:pPr>
            <w:pStyle w:val="16"/>
            <w:tabs>
              <w:tab w:val="right" w:leader="dot" w:pos="8306"/>
            </w:tabs>
          </w:pPr>
          <w:r>
            <w:fldChar w:fldCharType="begin"/>
          </w:r>
          <w:r>
            <w:instrText xml:space="preserve"> HYPERLINK \l _Toc15192 </w:instrText>
          </w:r>
          <w:r>
            <w:fldChar w:fldCharType="separate"/>
          </w:r>
          <w:r>
            <w:rPr>
              <w:rFonts w:hint="default"/>
            </w:rPr>
            <w:t xml:space="preserve">2. </w:t>
          </w:r>
          <w:r>
            <w:t>适用范围</w:t>
          </w:r>
          <w:r>
            <w:tab/>
          </w:r>
          <w:r>
            <w:fldChar w:fldCharType="begin"/>
          </w:r>
          <w:r>
            <w:instrText xml:space="preserve"> PAGEREF _Toc15192 \h </w:instrText>
          </w:r>
          <w:r>
            <w:fldChar w:fldCharType="separate"/>
          </w:r>
          <w:r>
            <w:t>4</w:t>
          </w:r>
          <w:r>
            <w:fldChar w:fldCharType="end"/>
          </w:r>
          <w:r>
            <w:fldChar w:fldCharType="end"/>
          </w:r>
        </w:p>
        <w:p w14:paraId="42CB7843">
          <w:pPr>
            <w:pStyle w:val="16"/>
            <w:tabs>
              <w:tab w:val="right" w:leader="dot" w:pos="8306"/>
            </w:tabs>
          </w:pPr>
          <w:r>
            <w:fldChar w:fldCharType="begin"/>
          </w:r>
          <w:r>
            <w:instrText xml:space="preserve"> HYPERLINK \l _Toc8688 </w:instrText>
          </w:r>
          <w:r>
            <w:fldChar w:fldCharType="separate"/>
          </w:r>
          <w:r>
            <w:rPr>
              <w:rFonts w:hint="default"/>
            </w:rPr>
            <w:t xml:space="preserve">3. </w:t>
          </w:r>
          <w:r>
            <w:t>角色职责</w:t>
          </w:r>
          <w:r>
            <w:tab/>
          </w:r>
          <w:r>
            <w:fldChar w:fldCharType="begin"/>
          </w:r>
          <w:r>
            <w:instrText xml:space="preserve"> PAGEREF _Toc8688 \h </w:instrText>
          </w:r>
          <w:r>
            <w:fldChar w:fldCharType="separate"/>
          </w:r>
          <w:r>
            <w:t>4</w:t>
          </w:r>
          <w:r>
            <w:fldChar w:fldCharType="end"/>
          </w:r>
          <w:r>
            <w:fldChar w:fldCharType="end"/>
          </w:r>
        </w:p>
        <w:p w14:paraId="49CAB126">
          <w:pPr>
            <w:pStyle w:val="17"/>
            <w:tabs>
              <w:tab w:val="right" w:leader="dot" w:pos="8306"/>
            </w:tabs>
          </w:pPr>
          <w:r>
            <w:fldChar w:fldCharType="begin"/>
          </w:r>
          <w:r>
            <w:instrText xml:space="preserve"> HYPERLINK \l _Toc27484 </w:instrText>
          </w:r>
          <w:r>
            <w:fldChar w:fldCharType="separate"/>
          </w:r>
          <w:r>
            <w:rPr>
              <w:rFonts w:hint="default"/>
            </w:rPr>
            <w:t xml:space="preserve">3.1. </w:t>
          </w:r>
          <w:r>
            <w:rPr>
              <w:rFonts w:hint="eastAsia"/>
              <w:lang w:val="en-US" w:eastAsia="zh-CN"/>
            </w:rPr>
            <w:t>运维部</w:t>
          </w:r>
          <w:r>
            <w:tab/>
          </w:r>
          <w:r>
            <w:fldChar w:fldCharType="begin"/>
          </w:r>
          <w:r>
            <w:instrText xml:space="preserve"> PAGEREF _Toc27484 \h </w:instrText>
          </w:r>
          <w:r>
            <w:fldChar w:fldCharType="separate"/>
          </w:r>
          <w:r>
            <w:t>4</w:t>
          </w:r>
          <w:r>
            <w:fldChar w:fldCharType="end"/>
          </w:r>
          <w:r>
            <w:fldChar w:fldCharType="end"/>
          </w:r>
        </w:p>
        <w:p w14:paraId="6236E56E">
          <w:pPr>
            <w:pStyle w:val="17"/>
            <w:tabs>
              <w:tab w:val="right" w:leader="dot" w:pos="8306"/>
            </w:tabs>
          </w:pPr>
          <w:r>
            <w:fldChar w:fldCharType="begin"/>
          </w:r>
          <w:r>
            <w:instrText xml:space="preserve"> HYPERLINK \l _Toc2413 </w:instrText>
          </w:r>
          <w:r>
            <w:fldChar w:fldCharType="separate"/>
          </w:r>
          <w:r>
            <w:rPr>
              <w:rFonts w:hint="default"/>
            </w:rPr>
            <w:t xml:space="preserve">3.2. </w:t>
          </w:r>
          <w:r>
            <w:t>研发部</w:t>
          </w:r>
          <w:r>
            <w:tab/>
          </w:r>
          <w:r>
            <w:fldChar w:fldCharType="begin"/>
          </w:r>
          <w:r>
            <w:instrText xml:space="preserve"> PAGEREF _Toc2413 \h </w:instrText>
          </w:r>
          <w:r>
            <w:fldChar w:fldCharType="separate"/>
          </w:r>
          <w:r>
            <w:t>4</w:t>
          </w:r>
          <w:r>
            <w:fldChar w:fldCharType="end"/>
          </w:r>
          <w:r>
            <w:fldChar w:fldCharType="end"/>
          </w:r>
        </w:p>
        <w:p w14:paraId="18631E2D">
          <w:pPr>
            <w:pStyle w:val="16"/>
            <w:tabs>
              <w:tab w:val="right" w:leader="dot" w:pos="8306"/>
            </w:tabs>
          </w:pPr>
          <w:r>
            <w:fldChar w:fldCharType="begin"/>
          </w:r>
          <w:r>
            <w:instrText xml:space="preserve"> HYPERLINK \l _Toc10861 </w:instrText>
          </w:r>
          <w:r>
            <w:fldChar w:fldCharType="separate"/>
          </w:r>
          <w:r>
            <w:rPr>
              <w:rFonts w:hint="default"/>
            </w:rPr>
            <w:t xml:space="preserve">4. </w:t>
          </w:r>
          <w:r>
            <w:t>运维服务工具管理</w:t>
          </w:r>
          <w:r>
            <w:tab/>
          </w:r>
          <w:r>
            <w:fldChar w:fldCharType="begin"/>
          </w:r>
          <w:r>
            <w:instrText xml:space="preserve"> PAGEREF _Toc10861 \h </w:instrText>
          </w:r>
          <w:r>
            <w:fldChar w:fldCharType="separate"/>
          </w:r>
          <w:r>
            <w:t>4</w:t>
          </w:r>
          <w:r>
            <w:fldChar w:fldCharType="end"/>
          </w:r>
          <w:r>
            <w:fldChar w:fldCharType="end"/>
          </w:r>
        </w:p>
        <w:p w14:paraId="2A506827">
          <w:pPr>
            <w:pStyle w:val="17"/>
            <w:tabs>
              <w:tab w:val="right" w:leader="dot" w:pos="8306"/>
            </w:tabs>
          </w:pPr>
          <w:r>
            <w:fldChar w:fldCharType="begin"/>
          </w:r>
          <w:r>
            <w:instrText xml:space="preserve"> HYPERLINK \l _Toc22344 </w:instrText>
          </w:r>
          <w:r>
            <w:fldChar w:fldCharType="separate"/>
          </w:r>
          <w:r>
            <w:rPr>
              <w:rFonts w:hint="default"/>
            </w:rPr>
            <w:t xml:space="preserve">4.1. </w:t>
          </w:r>
          <w:r>
            <w:t>管理要求</w:t>
          </w:r>
          <w:r>
            <w:tab/>
          </w:r>
          <w:r>
            <w:fldChar w:fldCharType="begin"/>
          </w:r>
          <w:r>
            <w:instrText xml:space="preserve"> PAGEREF _Toc22344 \h </w:instrText>
          </w:r>
          <w:r>
            <w:fldChar w:fldCharType="separate"/>
          </w:r>
          <w:r>
            <w:t>4</w:t>
          </w:r>
          <w:r>
            <w:fldChar w:fldCharType="end"/>
          </w:r>
          <w:r>
            <w:fldChar w:fldCharType="end"/>
          </w:r>
        </w:p>
        <w:p w14:paraId="6A684E96">
          <w:pPr>
            <w:pStyle w:val="17"/>
            <w:tabs>
              <w:tab w:val="right" w:leader="dot" w:pos="8306"/>
            </w:tabs>
          </w:pPr>
          <w:r>
            <w:fldChar w:fldCharType="begin"/>
          </w:r>
          <w:r>
            <w:instrText xml:space="preserve"> HYPERLINK \l _Toc23765 </w:instrText>
          </w:r>
          <w:r>
            <w:fldChar w:fldCharType="separate"/>
          </w:r>
          <w:r>
            <w:rPr>
              <w:rFonts w:hint="default"/>
            </w:rPr>
            <w:t xml:space="preserve">4.2. </w:t>
          </w:r>
          <w:r>
            <w:t>运维服务工具简介</w:t>
          </w:r>
          <w:r>
            <w:tab/>
          </w:r>
          <w:r>
            <w:fldChar w:fldCharType="begin"/>
          </w:r>
          <w:r>
            <w:instrText xml:space="preserve"> PAGEREF _Toc23765 \h </w:instrText>
          </w:r>
          <w:r>
            <w:fldChar w:fldCharType="separate"/>
          </w:r>
          <w:r>
            <w:t>5</w:t>
          </w:r>
          <w:r>
            <w:fldChar w:fldCharType="end"/>
          </w:r>
          <w:r>
            <w:fldChar w:fldCharType="end"/>
          </w:r>
        </w:p>
        <w:p w14:paraId="750C95C9">
          <w:pPr>
            <w:pStyle w:val="13"/>
            <w:tabs>
              <w:tab w:val="right" w:leader="dot" w:pos="8306"/>
            </w:tabs>
          </w:pPr>
          <w:r>
            <w:fldChar w:fldCharType="begin"/>
          </w:r>
          <w:r>
            <w:instrText xml:space="preserve"> HYPERLINK \l _Toc13506 </w:instrText>
          </w:r>
          <w:r>
            <w:fldChar w:fldCharType="separate"/>
          </w:r>
          <w:r>
            <w:rPr>
              <w:rFonts w:hint="default"/>
            </w:rPr>
            <w:t xml:space="preserve">4.2.1. </w:t>
          </w:r>
          <w:r>
            <w:t>过程管理工具</w:t>
          </w:r>
          <w:r>
            <w:tab/>
          </w:r>
          <w:r>
            <w:fldChar w:fldCharType="begin"/>
          </w:r>
          <w:r>
            <w:instrText xml:space="preserve"> PAGEREF _Toc13506 \h </w:instrText>
          </w:r>
          <w:r>
            <w:fldChar w:fldCharType="separate"/>
          </w:r>
          <w:r>
            <w:t>5</w:t>
          </w:r>
          <w:r>
            <w:fldChar w:fldCharType="end"/>
          </w:r>
          <w:r>
            <w:fldChar w:fldCharType="end"/>
          </w:r>
        </w:p>
        <w:p w14:paraId="7702E511">
          <w:pPr>
            <w:pStyle w:val="13"/>
            <w:tabs>
              <w:tab w:val="right" w:leader="dot" w:pos="8306"/>
            </w:tabs>
          </w:pPr>
          <w:r>
            <w:fldChar w:fldCharType="begin"/>
          </w:r>
          <w:r>
            <w:instrText xml:space="preserve"> HYPERLINK \l _Toc3181 </w:instrText>
          </w:r>
          <w:r>
            <w:fldChar w:fldCharType="separate"/>
          </w:r>
          <w:r>
            <w:rPr>
              <w:rFonts w:hint="default"/>
            </w:rPr>
            <w:t xml:space="preserve">4.2.2. </w:t>
          </w:r>
          <w:r>
            <w:t>监控管理工具</w:t>
          </w:r>
          <w:r>
            <w:tab/>
          </w:r>
          <w:r>
            <w:fldChar w:fldCharType="begin"/>
          </w:r>
          <w:r>
            <w:instrText xml:space="preserve"> PAGEREF _Toc3181 \h </w:instrText>
          </w:r>
          <w:r>
            <w:fldChar w:fldCharType="separate"/>
          </w:r>
          <w:r>
            <w:t>5</w:t>
          </w:r>
          <w:r>
            <w:fldChar w:fldCharType="end"/>
          </w:r>
          <w:r>
            <w:fldChar w:fldCharType="end"/>
          </w:r>
        </w:p>
        <w:p w14:paraId="79F06092">
          <w:pPr>
            <w:pStyle w:val="13"/>
            <w:tabs>
              <w:tab w:val="right" w:leader="dot" w:pos="8306"/>
            </w:tabs>
          </w:pPr>
          <w:r>
            <w:fldChar w:fldCharType="begin"/>
          </w:r>
          <w:r>
            <w:instrText xml:space="preserve"> HYPERLINK \l _Toc23429 </w:instrText>
          </w:r>
          <w:r>
            <w:fldChar w:fldCharType="separate"/>
          </w:r>
          <w:r>
            <w:rPr>
              <w:rFonts w:hint="default"/>
            </w:rPr>
            <w:t xml:space="preserve">4.2.3. </w:t>
          </w:r>
          <w:r>
            <w:t>专用工具</w:t>
          </w:r>
          <w:r>
            <w:tab/>
          </w:r>
          <w:r>
            <w:fldChar w:fldCharType="begin"/>
          </w:r>
          <w:r>
            <w:instrText xml:space="preserve"> PAGEREF _Toc23429 \h </w:instrText>
          </w:r>
          <w:r>
            <w:fldChar w:fldCharType="separate"/>
          </w:r>
          <w:r>
            <w:t>5</w:t>
          </w:r>
          <w:r>
            <w:fldChar w:fldCharType="end"/>
          </w:r>
          <w:r>
            <w:fldChar w:fldCharType="end"/>
          </w:r>
        </w:p>
        <w:p w14:paraId="70B5BECA">
          <w:pPr>
            <w:pStyle w:val="17"/>
            <w:tabs>
              <w:tab w:val="right" w:leader="dot" w:pos="8306"/>
            </w:tabs>
          </w:pPr>
          <w:r>
            <w:fldChar w:fldCharType="begin"/>
          </w:r>
          <w:r>
            <w:instrText xml:space="preserve"> HYPERLINK \l _Toc20130 </w:instrText>
          </w:r>
          <w:r>
            <w:fldChar w:fldCharType="separate"/>
          </w:r>
          <w:r>
            <w:rPr>
              <w:rFonts w:hint="default"/>
            </w:rPr>
            <w:t xml:space="preserve">4.3. </w:t>
          </w:r>
          <w:r>
            <w:t>运维服务工具的日常管理</w:t>
          </w:r>
          <w:r>
            <w:tab/>
          </w:r>
          <w:r>
            <w:fldChar w:fldCharType="begin"/>
          </w:r>
          <w:r>
            <w:instrText xml:space="preserve"> PAGEREF _Toc20130 \h </w:instrText>
          </w:r>
          <w:r>
            <w:fldChar w:fldCharType="separate"/>
          </w:r>
          <w:r>
            <w:t>5</w:t>
          </w:r>
          <w:r>
            <w:fldChar w:fldCharType="end"/>
          </w:r>
          <w:r>
            <w:fldChar w:fldCharType="end"/>
          </w:r>
        </w:p>
        <w:p w14:paraId="4FDF11B1">
          <w:pPr>
            <w:pStyle w:val="17"/>
            <w:tabs>
              <w:tab w:val="right" w:leader="dot" w:pos="8306"/>
            </w:tabs>
          </w:pPr>
          <w:r>
            <w:fldChar w:fldCharType="begin"/>
          </w:r>
          <w:r>
            <w:instrText xml:space="preserve"> HYPERLINK \l _Toc27659 </w:instrText>
          </w:r>
          <w:r>
            <w:fldChar w:fldCharType="separate"/>
          </w:r>
          <w:r>
            <w:rPr>
              <w:rFonts w:hint="default"/>
            </w:rPr>
            <w:t xml:space="preserve">4.4. </w:t>
          </w:r>
          <w:r>
            <w:t>运维服务工具使用的培训</w:t>
          </w:r>
          <w:r>
            <w:tab/>
          </w:r>
          <w:r>
            <w:fldChar w:fldCharType="begin"/>
          </w:r>
          <w:r>
            <w:instrText xml:space="preserve"> PAGEREF _Toc27659 \h </w:instrText>
          </w:r>
          <w:r>
            <w:fldChar w:fldCharType="separate"/>
          </w:r>
          <w:r>
            <w:t>5</w:t>
          </w:r>
          <w:r>
            <w:fldChar w:fldCharType="end"/>
          </w:r>
          <w:r>
            <w:fldChar w:fldCharType="end"/>
          </w:r>
        </w:p>
        <w:p w14:paraId="322348E5">
          <w:pPr>
            <w:pStyle w:val="16"/>
            <w:tabs>
              <w:tab w:val="right" w:leader="dot" w:pos="8306"/>
            </w:tabs>
          </w:pPr>
          <w:r>
            <w:fldChar w:fldCharType="begin"/>
          </w:r>
          <w:r>
            <w:instrText xml:space="preserve"> HYPERLINK \l _Toc10176 </w:instrText>
          </w:r>
          <w:r>
            <w:fldChar w:fldCharType="separate"/>
          </w:r>
          <w:r>
            <w:rPr>
              <w:rFonts w:hint="default"/>
            </w:rPr>
            <w:t xml:space="preserve">5. </w:t>
          </w:r>
          <w:r>
            <w:t>运维服务工具的评估和改进</w:t>
          </w:r>
          <w:r>
            <w:tab/>
          </w:r>
          <w:r>
            <w:fldChar w:fldCharType="begin"/>
          </w:r>
          <w:r>
            <w:instrText xml:space="preserve"> PAGEREF _Toc10176 \h </w:instrText>
          </w:r>
          <w:r>
            <w:fldChar w:fldCharType="separate"/>
          </w:r>
          <w:r>
            <w:t>5</w:t>
          </w:r>
          <w:r>
            <w:fldChar w:fldCharType="end"/>
          </w:r>
          <w:r>
            <w:fldChar w:fldCharType="end"/>
          </w:r>
        </w:p>
        <w:p w14:paraId="2DCD5533">
          <w:pPr>
            <w:pStyle w:val="16"/>
            <w:tabs>
              <w:tab w:val="right" w:leader="dot" w:pos="8306"/>
            </w:tabs>
          </w:pPr>
          <w:r>
            <w:fldChar w:fldCharType="begin"/>
          </w:r>
          <w:r>
            <w:instrText xml:space="preserve"> HYPERLINK \l _Toc4163 </w:instrText>
          </w:r>
          <w:r>
            <w:fldChar w:fldCharType="separate"/>
          </w:r>
          <w:r>
            <w:rPr>
              <w:rFonts w:hint="default"/>
            </w:rPr>
            <w:t xml:space="preserve">6. </w:t>
          </w:r>
          <w:r>
            <w:t>KPI 指标</w:t>
          </w:r>
          <w:r>
            <w:tab/>
          </w:r>
          <w:r>
            <w:fldChar w:fldCharType="begin"/>
          </w:r>
          <w:r>
            <w:instrText xml:space="preserve"> PAGEREF _Toc4163 \h </w:instrText>
          </w:r>
          <w:r>
            <w:fldChar w:fldCharType="separate"/>
          </w:r>
          <w:r>
            <w:t>6</w:t>
          </w:r>
          <w:r>
            <w:fldChar w:fldCharType="end"/>
          </w:r>
          <w:r>
            <w:fldChar w:fldCharType="end"/>
          </w:r>
        </w:p>
        <w:p w14:paraId="022345F4">
          <w:pPr>
            <w:pStyle w:val="16"/>
            <w:tabs>
              <w:tab w:val="right" w:leader="dot" w:pos="8306"/>
            </w:tabs>
          </w:pPr>
          <w:r>
            <w:fldChar w:fldCharType="begin"/>
          </w:r>
          <w:r>
            <w:instrText xml:space="preserve"> HYPERLINK \l _Toc15747 </w:instrText>
          </w:r>
          <w:r>
            <w:fldChar w:fldCharType="separate"/>
          </w:r>
          <w:r>
            <w:rPr>
              <w:rFonts w:hint="default"/>
            </w:rPr>
            <w:t xml:space="preserve">7. </w:t>
          </w:r>
          <w:r>
            <w:t>相关文件</w:t>
          </w:r>
          <w:r>
            <w:tab/>
          </w:r>
          <w:r>
            <w:fldChar w:fldCharType="begin"/>
          </w:r>
          <w:r>
            <w:instrText xml:space="preserve"> PAGEREF _Toc15747 \h </w:instrText>
          </w:r>
          <w:r>
            <w:fldChar w:fldCharType="separate"/>
          </w:r>
          <w:r>
            <w:t>6</w:t>
          </w:r>
          <w:r>
            <w:fldChar w:fldCharType="end"/>
          </w:r>
          <w:r>
            <w:fldChar w:fldCharType="end"/>
          </w:r>
        </w:p>
        <w:p w14:paraId="1A03FD9F">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6431F7B6">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25D98E2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17D229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14632"/>
      <w:r>
        <w:t>目的</w:t>
      </w:r>
      <w:bookmarkEnd w:id="4"/>
      <w:bookmarkEnd w:id="5"/>
    </w:p>
    <w:p w14:paraId="169F38C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本文件旨在加强公司运维服务工具管理，提高工具利用率，更好地支撑公司运维服务开展，特制定本管理办法。</w:t>
      </w:r>
    </w:p>
    <w:p w14:paraId="4698403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3"/>
      <w:bookmarkStart w:id="7" w:name="_Toc15192"/>
      <w:r>
        <w:t>适用范围</w:t>
      </w:r>
      <w:bookmarkEnd w:id="6"/>
      <w:bookmarkEnd w:id="7"/>
    </w:p>
    <w:p w14:paraId="1F94F5A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本办法适用于</w:t>
      </w:r>
      <w:r>
        <w:rPr>
          <w:rFonts w:hint="eastAsia"/>
          <w:lang w:val="en-US" w:eastAsia="zh-CN"/>
        </w:rPr>
        <w:t>天津市华夏电缆有限公司</w:t>
      </w:r>
      <w:r>
        <w:t>范围内所有与运维业务相关的工具。</w:t>
      </w:r>
    </w:p>
    <w:p w14:paraId="5D9C333C">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4"/>
      <w:bookmarkStart w:id="9" w:name="_Toc8688"/>
      <w:r>
        <w:t>角色职责</w:t>
      </w:r>
      <w:bookmarkEnd w:id="8"/>
      <w:bookmarkEnd w:id="9"/>
    </w:p>
    <w:p w14:paraId="79D2B25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27484"/>
      <w:r>
        <w:rPr>
          <w:rFonts w:hint="eastAsia"/>
          <w:lang w:val="en-US" w:eastAsia="zh-CN"/>
        </w:rPr>
        <w:t>运维部</w:t>
      </w:r>
      <w:bookmarkEnd w:id="10"/>
    </w:p>
    <w:p w14:paraId="3243CC2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pPr>
      <w:r>
        <w:t>负责管理公司所有与运维业务相关的工具。</w:t>
      </w:r>
    </w:p>
    <w:p w14:paraId="0484D86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2413"/>
      <w:r>
        <w:t>研发部</w:t>
      </w:r>
      <w:bookmarkEnd w:id="11"/>
    </w:p>
    <w:p w14:paraId="589E639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pPr>
      <w:r>
        <w:t>负责公司运维工具的研发工作。</w:t>
      </w:r>
    </w:p>
    <w:p w14:paraId="617AD584">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5"/>
      <w:bookmarkStart w:id="13" w:name="_Toc10861"/>
      <w:r>
        <w:t>运维服务工具管理</w:t>
      </w:r>
      <w:bookmarkEnd w:id="12"/>
      <w:bookmarkEnd w:id="13"/>
    </w:p>
    <w:p w14:paraId="1FDB64D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运维服务工具用于固化服务过程关键环节并留存痕迹，是运维服务过程的重要辅助支撑。IT运维服务实施能力体系的建设、实施与管理，离不开运维服务工具的支持。监控工具、过程管理工具等在运维工作中的应用，可显著提升运维工作的可视性、过程组织的有效性以及操作的便利性和安全性。</w:t>
      </w:r>
    </w:p>
    <w:p w14:paraId="3795576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6"/>
      <w:bookmarkStart w:id="15" w:name="_Toc22344"/>
      <w:r>
        <w:t>管理要求</w:t>
      </w:r>
      <w:bookmarkEnd w:id="14"/>
      <w:bookmarkEnd w:id="15"/>
    </w:p>
    <w:p w14:paraId="054770D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各部门应使用有效工具实施和管理运行维护服务，具体包括：</w:t>
      </w:r>
    </w:p>
    <w:p w14:paraId="62F67E4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监控工具：对运维服务对象进行数据采集和监控，评估可能导致服务对象故障的因素；</w:t>
      </w:r>
    </w:p>
    <w:p w14:paraId="3258A06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过程工具：按照商定的SLA（服务等级协议）管理运维服务交付过程，宜包含日常运维管理、记录、测量、监督和评估等功能；</w:t>
      </w:r>
    </w:p>
    <w:p w14:paraId="6A00AFB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专用工具：根据运维服务对象要求配备的安全工具及满足特殊需求的工具。</w:t>
      </w:r>
    </w:p>
    <w:p w14:paraId="2A344AE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所有运维服务工具均需配备与功能匹配的使用手册，确保工具被正确、合理使用。同时，运维服务工具需持续优化以满足不断变化的服务需求。</w:t>
      </w:r>
    </w:p>
    <w:p w14:paraId="7E12222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运维服务工具可通过自主研发或外部采购两种方式获取。</w:t>
      </w:r>
    </w:p>
    <w:p w14:paraId="67F9D1B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7"/>
      <w:bookmarkStart w:id="17" w:name="_Toc23765"/>
      <w:r>
        <w:t>运维服务工具简介</w:t>
      </w:r>
      <w:bookmarkEnd w:id="16"/>
      <w:bookmarkEnd w:id="17"/>
    </w:p>
    <w:p w14:paraId="3CCFCCE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8"/>
      <w:bookmarkStart w:id="19" w:name="_Toc13506"/>
      <w:r>
        <w:t>过程管理工具</w:t>
      </w:r>
      <w:bookmarkEnd w:id="18"/>
      <w:bookmarkEnd w:id="19"/>
    </w:p>
    <w:p w14:paraId="039FD11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过程管理工具的实施目的一是固化IT运维服务过程标准，二是提升组织的工作效率与服务能力。该工具可收集运维过程管理数据，并进行分析、整理和报告，通过合理方式展现结果，助力实现组织运维管理的自动化、标准化和规范化。</w:t>
      </w:r>
    </w:p>
    <w:p w14:paraId="66BD6E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heading_9"/>
      <w:bookmarkStart w:id="21" w:name="_Toc3181"/>
      <w:r>
        <w:t>监控管理工具</w:t>
      </w:r>
      <w:bookmarkEnd w:id="20"/>
      <w:bookmarkEnd w:id="21"/>
    </w:p>
    <w:p w14:paraId="7113872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核心功能为对运维服务对象进行数据采集和实时监控，精准评估可能导致服务对象发生故障的各类因素，为故障预防和及时处置提供数据支撑。</w:t>
      </w:r>
    </w:p>
    <w:p w14:paraId="31F6308F">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heading_10"/>
      <w:bookmarkStart w:id="23" w:name="_Toc23429"/>
      <w:r>
        <w:t>专用工具</w:t>
      </w:r>
      <w:bookmarkEnd w:id="22"/>
      <w:bookmarkEnd w:id="23"/>
    </w:p>
    <w:p w14:paraId="2365339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指根据特定服务要求配备的安全工具以及用于满足特殊运维场景需求的专用工具。</w:t>
      </w:r>
    </w:p>
    <w:p w14:paraId="5A73BFE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20130"/>
      <w:r>
        <w:t>运维服务工具的日常管理</w:t>
      </w:r>
      <w:bookmarkEnd w:id="24"/>
      <w:bookmarkEnd w:id="25"/>
    </w:p>
    <w:p w14:paraId="0D9E4DE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运维服务工具作为IT运维的重要对象，可通过工具自身实现自我管理。同时，为保障工具正常运行，组织需建立完善的日常管理机制：运维服务工具的操作手册需纳入公司知识库，确保工程师可随时获取；同时需对操作手册的版本更新进行动态维护，保障工程师使用的是最新版本。</w:t>
      </w:r>
    </w:p>
    <w:p w14:paraId="0A02DD1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26" w:name="heading_12"/>
      <w:bookmarkStart w:id="27" w:name="_Toc27659"/>
      <w:r>
        <w:t>运维服务工具使用的培训</w:t>
      </w:r>
      <w:bookmarkEnd w:id="26"/>
      <w:bookmarkEnd w:id="27"/>
    </w:p>
    <w:p w14:paraId="5BEEE4C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公司将运维服务工具的使用能力作为工程师的核心能力要求之一，专门设立运维服务工具使用培训课程，并定期组织考核，考核结果及相关记录需妥善留存。</w:t>
      </w:r>
    </w:p>
    <w:p w14:paraId="1E1D560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8" w:name="heading_13"/>
      <w:bookmarkStart w:id="29" w:name="_Toc10176"/>
      <w:r>
        <w:t>运维服务工具的评估和改进</w:t>
      </w:r>
      <w:bookmarkEnd w:id="28"/>
      <w:bookmarkEnd w:id="29"/>
    </w:p>
    <w:p w14:paraId="071BC9C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需在每年的年度管理评审会议中，汇报公司运维服务工具的使用情况。会议中，联合各相关部门负责人对工具使用效果进行评估，明确改进需求。针对会议确定的改进需求，需建立跟踪机制，按计划推进落实，并及时向相关部门负责人反馈执行情况。</w:t>
      </w:r>
    </w:p>
    <w:p w14:paraId="680D105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0" w:name="heading_14"/>
      <w:bookmarkStart w:id="31" w:name="_Toc4163"/>
      <w:r>
        <w:t>KPI 指标</w:t>
      </w:r>
      <w:bookmarkEnd w:id="30"/>
      <w:bookmarkEnd w:id="31"/>
    </w:p>
    <w:p w14:paraId="0A71567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工具管理KPI指标设置如下：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85"/>
        <w:gridCol w:w="2229"/>
        <w:gridCol w:w="2396"/>
        <w:gridCol w:w="2070"/>
      </w:tblGrid>
      <w:tr w14:paraId="6F93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5" w:type="dxa"/>
            <w:tcMar>
              <w:top w:w="60" w:type="dxa"/>
              <w:left w:w="120" w:type="dxa"/>
              <w:bottom w:w="30" w:type="dxa"/>
              <w:right w:w="120" w:type="dxa"/>
            </w:tcMar>
          </w:tcPr>
          <w:p w14:paraId="17C354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lang w:val="en-US" w:eastAsia="zh-CN"/>
              </w:rPr>
            </w:pPr>
            <w:r>
              <w:rPr>
                <w:rFonts w:ascii="Arial" w:hAnsi="Arial" w:eastAsia="等线" w:cs="Arial"/>
                <w:sz w:val="22"/>
              </w:rPr>
              <w:t>指标</w:t>
            </w:r>
            <w:r>
              <w:rPr>
                <w:rFonts w:hint="eastAsia" w:eastAsia="等线" w:cs="Arial"/>
                <w:sz w:val="22"/>
                <w:lang w:val="en-US" w:eastAsia="zh-CN"/>
              </w:rPr>
              <w:t>名称</w:t>
            </w:r>
          </w:p>
        </w:tc>
        <w:tc>
          <w:tcPr>
            <w:tcW w:w="2229" w:type="dxa"/>
            <w:tcMar>
              <w:top w:w="60" w:type="dxa"/>
              <w:left w:w="120" w:type="dxa"/>
              <w:bottom w:w="30" w:type="dxa"/>
              <w:right w:w="120" w:type="dxa"/>
            </w:tcMar>
          </w:tcPr>
          <w:p w14:paraId="489D0A5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val="en-US" w:eastAsia="zh-CN"/>
              </w:rPr>
              <w:t>计算方式</w:t>
            </w:r>
          </w:p>
        </w:tc>
        <w:tc>
          <w:tcPr>
            <w:tcW w:w="2396" w:type="dxa"/>
            <w:tcMar>
              <w:top w:w="60" w:type="dxa"/>
              <w:left w:w="120" w:type="dxa"/>
              <w:bottom w:w="30" w:type="dxa"/>
              <w:right w:w="120" w:type="dxa"/>
            </w:tcMar>
          </w:tcPr>
          <w:p w14:paraId="04C1FBA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val="en-US" w:eastAsia="zh-CN"/>
              </w:rPr>
              <w:t>目标值</w:t>
            </w:r>
          </w:p>
        </w:tc>
        <w:tc>
          <w:tcPr>
            <w:tcW w:w="2070" w:type="dxa"/>
            <w:tcMar>
              <w:top w:w="60" w:type="dxa"/>
              <w:left w:w="120" w:type="dxa"/>
              <w:bottom w:w="30" w:type="dxa"/>
              <w:right w:w="120" w:type="dxa"/>
            </w:tcMar>
          </w:tcPr>
          <w:p w14:paraId="1B783B2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考核频次</w:t>
            </w:r>
          </w:p>
        </w:tc>
      </w:tr>
      <w:tr w14:paraId="65D1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85" w:type="dxa"/>
            <w:shd w:val="clear" w:color="auto" w:fill="auto"/>
            <w:tcMar>
              <w:top w:w="60" w:type="dxa"/>
              <w:left w:w="120" w:type="dxa"/>
              <w:bottom w:w="30" w:type="dxa"/>
              <w:right w:w="120" w:type="dxa"/>
            </w:tcMar>
          </w:tcPr>
          <w:p w14:paraId="59E4BAFD">
            <w:pPr>
              <w:pStyle w:val="27"/>
              <w:keepNext w:val="0"/>
              <w:keepLines w:val="0"/>
              <w:pageBreakBefore w:val="0"/>
              <w:widowControl w:val="0"/>
              <w:kinsoku w:val="0"/>
              <w:wordWrap/>
              <w:overflowPunct/>
              <w:topLinePunct w:val="0"/>
              <w:autoSpaceDE w:val="0"/>
              <w:autoSpaceDN w:val="0"/>
              <w:bidi w:val="0"/>
              <w:adjustRightInd w:val="0"/>
              <w:snapToGrid w:val="0"/>
              <w:spacing w:before="235" w:line="218" w:lineRule="auto"/>
              <w:textAlignment w:val="baseline"/>
              <w:rPr>
                <w:rFonts w:hint="default" w:ascii="宋体" w:hAnsi="宋体" w:eastAsia="宋体" w:cs="宋体"/>
                <w:snapToGrid w:val="0"/>
                <w:color w:val="000000"/>
                <w:kern w:val="0"/>
                <w:sz w:val="24"/>
                <w:szCs w:val="24"/>
                <w:lang w:val="en-US" w:eastAsia="zh-CN" w:bidi="ar-SA"/>
              </w:rPr>
            </w:pPr>
            <w:r>
              <w:rPr>
                <w:rFonts w:hint="eastAsia"/>
                <w:sz w:val="24"/>
                <w:szCs w:val="24"/>
                <w:lang w:val="en-US" w:eastAsia="zh-CN"/>
              </w:rPr>
              <w:t>工具自评估次数</w:t>
            </w:r>
          </w:p>
        </w:tc>
        <w:tc>
          <w:tcPr>
            <w:tcW w:w="2229" w:type="dxa"/>
            <w:shd w:val="clear" w:color="auto" w:fill="auto"/>
            <w:tcMar>
              <w:top w:w="60" w:type="dxa"/>
              <w:left w:w="120" w:type="dxa"/>
              <w:bottom w:w="30" w:type="dxa"/>
              <w:right w:w="120" w:type="dxa"/>
            </w:tcMar>
          </w:tcPr>
          <w:p w14:paraId="395B8BEE">
            <w:pPr>
              <w:pStyle w:val="27"/>
              <w:keepNext w:val="0"/>
              <w:keepLines w:val="0"/>
              <w:pageBreakBefore w:val="0"/>
              <w:widowControl w:val="0"/>
              <w:kinsoku w:val="0"/>
              <w:wordWrap/>
              <w:overflowPunct/>
              <w:topLinePunct w:val="0"/>
              <w:autoSpaceDE w:val="0"/>
              <w:autoSpaceDN w:val="0"/>
              <w:bidi w:val="0"/>
              <w:adjustRightInd w:val="0"/>
              <w:snapToGrid w:val="0"/>
              <w:spacing w:before="235" w:line="218" w:lineRule="auto"/>
              <w:ind w:left="118" w:leftChars="0"/>
              <w:textAlignment w:val="baseline"/>
              <w:rPr>
                <w:rFonts w:hint="default" w:ascii="宋体" w:hAnsi="宋体" w:eastAsia="宋体" w:cs="宋体"/>
                <w:snapToGrid w:val="0"/>
                <w:color w:val="000000"/>
                <w:kern w:val="0"/>
                <w:sz w:val="24"/>
                <w:szCs w:val="24"/>
                <w:lang w:val="en-US" w:eastAsia="zh-CN" w:bidi="ar-SA"/>
              </w:rPr>
            </w:pPr>
            <w:r>
              <w:rPr>
                <w:rFonts w:hint="eastAsia"/>
                <w:spacing w:val="-1"/>
                <w:sz w:val="24"/>
                <w:szCs w:val="24"/>
                <w:lang w:val="en-US" w:eastAsia="zh-CN"/>
              </w:rPr>
              <w:t>次数，对工具进行自评估次数</w:t>
            </w:r>
          </w:p>
        </w:tc>
        <w:tc>
          <w:tcPr>
            <w:tcW w:w="2396" w:type="dxa"/>
            <w:shd w:val="clear" w:color="auto" w:fill="auto"/>
            <w:tcMar>
              <w:top w:w="60" w:type="dxa"/>
              <w:left w:w="120" w:type="dxa"/>
              <w:bottom w:w="30" w:type="dxa"/>
              <w:right w:w="120" w:type="dxa"/>
            </w:tcMar>
          </w:tcPr>
          <w:p w14:paraId="34BBEDBD">
            <w:pPr>
              <w:pStyle w:val="27"/>
              <w:keepNext w:val="0"/>
              <w:keepLines w:val="0"/>
              <w:pageBreakBefore w:val="0"/>
              <w:widowControl w:val="0"/>
              <w:kinsoku w:val="0"/>
              <w:wordWrap/>
              <w:overflowPunct/>
              <w:topLinePunct w:val="0"/>
              <w:autoSpaceDE w:val="0"/>
              <w:autoSpaceDN w:val="0"/>
              <w:bidi w:val="0"/>
              <w:adjustRightInd w:val="0"/>
              <w:snapToGrid w:val="0"/>
              <w:spacing w:before="235" w:line="237" w:lineRule="auto"/>
              <w:ind w:left="168" w:leftChars="0"/>
              <w:textAlignment w:val="baseline"/>
              <w:rPr>
                <w:rFonts w:hint="eastAsia" w:ascii="宋体" w:hAnsi="宋体" w:eastAsia="宋体" w:cs="宋体"/>
                <w:snapToGrid w:val="0"/>
                <w:color w:val="000000"/>
                <w:kern w:val="0"/>
                <w:sz w:val="24"/>
                <w:szCs w:val="24"/>
                <w:lang w:val="en-US" w:eastAsia="zh-CN" w:bidi="ar-SA"/>
              </w:rPr>
            </w:pPr>
            <w:r>
              <w:rPr>
                <w:spacing w:val="-9"/>
                <w:sz w:val="24"/>
                <w:szCs w:val="24"/>
              </w:rPr>
              <w:t>≥</w:t>
            </w:r>
            <w:r>
              <w:rPr>
                <w:rFonts w:hint="eastAsia"/>
                <w:spacing w:val="-9"/>
                <w:sz w:val="24"/>
                <w:szCs w:val="24"/>
                <w:lang w:val="en-US" w:eastAsia="zh-CN"/>
              </w:rPr>
              <w:t>1</w:t>
            </w:r>
          </w:p>
        </w:tc>
        <w:tc>
          <w:tcPr>
            <w:tcW w:w="2070" w:type="dxa"/>
            <w:shd w:val="clear" w:color="auto" w:fill="auto"/>
            <w:tcMar>
              <w:top w:w="60" w:type="dxa"/>
              <w:left w:w="120" w:type="dxa"/>
              <w:bottom w:w="30" w:type="dxa"/>
              <w:right w:w="120" w:type="dxa"/>
            </w:tcMar>
          </w:tcPr>
          <w:p w14:paraId="1781DBC5">
            <w:pPr>
              <w:pStyle w:val="27"/>
              <w:keepNext w:val="0"/>
              <w:keepLines w:val="0"/>
              <w:pageBreakBefore w:val="0"/>
              <w:widowControl w:val="0"/>
              <w:kinsoku w:val="0"/>
              <w:wordWrap/>
              <w:overflowPunct/>
              <w:topLinePunct w:val="0"/>
              <w:autoSpaceDE w:val="0"/>
              <w:autoSpaceDN w:val="0"/>
              <w:bidi w:val="0"/>
              <w:adjustRightInd w:val="0"/>
              <w:snapToGrid w:val="0"/>
              <w:spacing w:before="235" w:line="218" w:lineRule="auto"/>
              <w:ind w:left="162" w:leftChars="0"/>
              <w:textAlignment w:val="baseline"/>
              <w:rPr>
                <w:rFonts w:ascii="宋体" w:hAnsi="宋体" w:eastAsia="宋体" w:cs="宋体"/>
                <w:snapToGrid w:val="0"/>
                <w:color w:val="000000"/>
                <w:kern w:val="0"/>
                <w:sz w:val="24"/>
                <w:szCs w:val="24"/>
                <w:lang w:val="en-US" w:eastAsia="en-US" w:bidi="ar-SA"/>
              </w:rPr>
            </w:pPr>
            <w:r>
              <w:rPr>
                <w:spacing w:val="-6"/>
                <w:sz w:val="24"/>
                <w:szCs w:val="24"/>
              </w:rPr>
              <w:t>年度</w:t>
            </w:r>
          </w:p>
        </w:tc>
      </w:tr>
    </w:tbl>
    <w:p w14:paraId="57E92D3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2" w:name="heading_15"/>
      <w:bookmarkStart w:id="33" w:name="_Toc15747"/>
      <w:r>
        <w:t>相关文件</w:t>
      </w:r>
      <w:bookmarkEnd w:id="32"/>
      <w:bookmarkEnd w:id="33"/>
    </w:p>
    <w:p w14:paraId="733CC2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《运维服务工具使用情况说明及效果自评估报告》</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FE2410A"/>
    <w:multiLevelType w:val="singleLevel"/>
    <w:tmpl w:val="DFE2410A"/>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A44D39"/>
    <w:rsid w:val="24933097"/>
    <w:rsid w:val="262B46D7"/>
    <w:rsid w:val="6A725483"/>
    <w:rsid w:val="6F0D6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1435</Words>
  <Characters>1566</Characters>
  <Lines>0</Lines>
  <Paragraphs>0</Paragraphs>
  <TotalTime>0</TotalTime>
  <ScaleCrop>false</ScaleCrop>
  <LinksUpToDate>false</LinksUpToDate>
  <CharactersWithSpaces>1644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2026-03-04T20:36:31Z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