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8ED3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7294180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运维工具自评估报告</w:t>
      </w:r>
    </w:p>
    <w:p w14:paraId="282D012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（HXDL-ITSS-0808）</w:t>
      </w:r>
    </w:p>
    <w:p w14:paraId="176BCD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9D8B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1F7579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33962B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2026.1.20</w:t>
            </w:r>
          </w:p>
        </w:tc>
      </w:tr>
      <w:tr w14:paraId="76176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603832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0D6F5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2026.1.20</w:t>
            </w:r>
          </w:p>
        </w:tc>
      </w:tr>
      <w:tr w14:paraId="2B2AE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35EFA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C6A7D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2026.1.20</w:t>
            </w:r>
          </w:p>
        </w:tc>
      </w:tr>
    </w:tbl>
    <w:p w14:paraId="642D39D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CB1A7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0351B3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3E2D2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0BB13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58D34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6EBB3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E4C9F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07732B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6D60CF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B6B9E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3C219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35BA3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28FDEA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4A3EF9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29B6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554079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517991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55773D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14D9C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7E55C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ED515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1E8EBC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  <w:tc>
          <w:tcPr>
            <w:tcW w:w="957" w:type="dxa"/>
          </w:tcPr>
          <w:p w14:paraId="5D43A2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2FD5CC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  <w:tc>
          <w:tcPr>
            <w:tcW w:w="1017" w:type="dxa"/>
          </w:tcPr>
          <w:p w14:paraId="282B7B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20523A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59395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47EF2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7D7BC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1F3757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533E60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6A8882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64C4E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14060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598E06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19D84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04E900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9F64F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C9647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66D3DE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0D771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5B1E9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56C9D7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068B86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5739C8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2259FF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B66E7C">
      <w:pPr>
        <w:bidi w:val="0"/>
        <w:rPr>
          <w:rFonts w:hint="default"/>
          <w:lang w:val="en-US" w:eastAsia="zh-CN"/>
        </w:rPr>
      </w:pPr>
    </w:p>
    <w:tbl>
      <w:tblPr>
        <w:tblStyle w:val="42"/>
        <w:tblpPr w:leftFromText="180" w:rightFromText="180" w:vertAnchor="text" w:horzAnchor="page" w:tblpX="1426" w:tblpY="455"/>
        <w:tblOverlap w:val="never"/>
        <w:tblW w:w="1452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31"/>
        <w:gridCol w:w="3480"/>
        <w:gridCol w:w="1705"/>
        <w:gridCol w:w="3196"/>
        <w:gridCol w:w="1343"/>
      </w:tblGrid>
      <w:tr w14:paraId="7F9E72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522E0EE0">
            <w:pPr>
              <w:spacing w:before="215" w:line="289" w:lineRule="auto"/>
              <w:ind w:left="538" w:right="110" w:hanging="42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1"/>
                <w:szCs w:val="21"/>
              </w:rPr>
              <w:t>运维工具分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1"/>
                <w:szCs w:val="21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151F9632">
            <w:pPr>
              <w:pStyle w:val="27"/>
              <w:spacing w:line="303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E0A0B04">
            <w:pPr>
              <w:spacing w:before="65" w:line="229" w:lineRule="auto"/>
              <w:ind w:left="23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5"/>
                <w:sz w:val="21"/>
                <w:szCs w:val="21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495EA3EB">
            <w:pPr>
              <w:spacing w:before="214" w:line="229" w:lineRule="auto"/>
              <w:ind w:left="52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1"/>
                <w:szCs w:val="21"/>
              </w:rPr>
              <w:t>主要功能</w:t>
            </w:r>
          </w:p>
          <w:p w14:paraId="0930D25D">
            <w:pPr>
              <w:spacing w:before="63" w:line="228" w:lineRule="auto"/>
              <w:ind w:left="12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21"/>
                <w:szCs w:val="21"/>
              </w:rPr>
              <w:t>（关键功能说明）</w:t>
            </w:r>
          </w:p>
        </w:tc>
        <w:tc>
          <w:tcPr>
            <w:tcW w:w="3811" w:type="dxa"/>
            <w:gridSpan w:val="2"/>
            <w:shd w:val="clear" w:color="auto" w:fill="E5E5E5"/>
          </w:tcPr>
          <w:p w14:paraId="4A1D0C91">
            <w:pPr>
              <w:spacing w:before="214" w:line="228" w:lineRule="auto"/>
              <w:ind w:left="113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1"/>
                <w:szCs w:val="21"/>
              </w:rPr>
              <w:t>使用情况说明</w:t>
            </w:r>
          </w:p>
          <w:p w14:paraId="3F8BBEFE">
            <w:pPr>
              <w:spacing w:before="64" w:line="228" w:lineRule="auto"/>
              <w:ind w:left="51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6"/>
                <w:sz w:val="21"/>
                <w:szCs w:val="21"/>
              </w:rPr>
              <w:t>（工具使用的客户及项目）</w:t>
            </w:r>
          </w:p>
        </w:tc>
        <w:tc>
          <w:tcPr>
            <w:tcW w:w="1705" w:type="dxa"/>
            <w:shd w:val="clear" w:color="auto" w:fill="E5E5E5"/>
          </w:tcPr>
          <w:p w14:paraId="14F6BF03">
            <w:pPr>
              <w:spacing w:before="58" w:line="228" w:lineRule="auto"/>
              <w:ind w:left="5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5"/>
                <w:sz w:val="21"/>
                <w:szCs w:val="21"/>
              </w:rPr>
              <w:t>工具来源</w:t>
            </w:r>
          </w:p>
          <w:p w14:paraId="6C6886A6">
            <w:pPr>
              <w:spacing w:before="66" w:line="263" w:lineRule="auto"/>
              <w:ind w:left="113" w:right="18" w:firstLine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1"/>
                <w:szCs w:val="21"/>
              </w:rPr>
              <w:t>（开源工具、</w:t>
            </w:r>
            <w:r>
              <w:rPr>
                <w:rFonts w:hint="eastAsia"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sz w:val="21"/>
                <w:szCs w:val="21"/>
              </w:rPr>
              <w:t>自主</w:t>
            </w:r>
            <w:r>
              <w:rPr>
                <w:rFonts w:hint="eastAsia" w:ascii="宋体" w:hAnsi="宋体" w:eastAsia="宋体" w:cs="宋体"/>
                <w:b/>
                <w:bCs/>
                <w:spacing w:val="3"/>
                <w:sz w:val="21"/>
                <w:szCs w:val="21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37FC4BCB">
            <w:pPr>
              <w:pStyle w:val="27"/>
              <w:spacing w:line="303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35D8820">
            <w:pPr>
              <w:spacing w:before="65" w:line="226" w:lineRule="auto"/>
              <w:ind w:left="76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7"/>
                <w:sz w:val="21"/>
                <w:szCs w:val="21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BC05026">
            <w:pPr>
              <w:spacing w:before="215" w:line="290" w:lineRule="auto"/>
              <w:ind w:left="476" w:right="302" w:hanging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4"/>
                <w:sz w:val="21"/>
                <w:szCs w:val="21"/>
              </w:rPr>
              <w:t>评价人/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sz w:val="21"/>
                <w:szCs w:val="21"/>
              </w:rPr>
              <w:t>时间</w:t>
            </w:r>
          </w:p>
        </w:tc>
      </w:tr>
      <w:tr w14:paraId="4ED4C2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4C504D63">
            <w:pPr>
              <w:pStyle w:val="27"/>
              <w:spacing w:line="26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BBB6CE5">
            <w:pPr>
              <w:pStyle w:val="27"/>
              <w:spacing w:line="26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7A0497A">
            <w:pPr>
              <w:pStyle w:val="27"/>
              <w:spacing w:line="26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7275A76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9EB376C">
            <w:pPr>
              <w:spacing w:before="78" w:line="243" w:lineRule="auto"/>
              <w:ind w:left="404" w:right="154" w:hanging="2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1"/>
                <w:szCs w:val="21"/>
              </w:rPr>
              <w:t>过程管理</w:t>
            </w:r>
            <w:r>
              <w:rPr>
                <w:rFonts w:hint="eastAsia" w:ascii="宋体" w:hAnsi="宋体" w:eastAsia="宋体" w:cs="宋体"/>
                <w:b/>
                <w:bCs/>
                <w:spacing w:val="-9"/>
                <w:sz w:val="21"/>
                <w:szCs w:val="21"/>
              </w:rPr>
              <w:t>工具</w:t>
            </w:r>
          </w:p>
        </w:tc>
        <w:tc>
          <w:tcPr>
            <w:tcW w:w="1307" w:type="dxa"/>
          </w:tcPr>
          <w:p w14:paraId="4F434E97">
            <w:pPr>
              <w:pStyle w:val="27"/>
              <w:spacing w:line="29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55C163B">
            <w:pPr>
              <w:pStyle w:val="27"/>
              <w:spacing w:line="297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BB71634">
            <w:pPr>
              <w:pStyle w:val="27"/>
              <w:spacing w:line="297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E776787">
            <w:pPr>
              <w:spacing w:line="219" w:lineRule="auto"/>
              <w:ind w:left="184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智能一体化运维支撑平台 SG-I6000</w:t>
            </w:r>
          </w:p>
        </w:tc>
        <w:tc>
          <w:tcPr>
            <w:tcW w:w="1887" w:type="dxa"/>
          </w:tcPr>
          <w:p w14:paraId="50707791">
            <w:pPr>
              <w:spacing w:before="39" w:line="236" w:lineRule="auto"/>
              <w:ind w:left="111" w:right="103" w:firstLine="2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集产品管理、项目管理、质量管理、文档管理、组织管理和事务管理于一体，是一款功能完备的项目管理软件</w:t>
            </w:r>
          </w:p>
        </w:tc>
        <w:tc>
          <w:tcPr>
            <w:tcW w:w="3811" w:type="dxa"/>
            <w:gridSpan w:val="2"/>
          </w:tcPr>
          <w:p w14:paraId="0F3D82BD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2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  <w:lang w:val="en-US" w:eastAsia="zh-CN"/>
              </w:rPr>
              <w:t>项目</w:t>
            </w:r>
          </w:p>
          <w:p w14:paraId="01E59929">
            <w:pPr>
              <w:spacing w:before="14" w:line="236" w:lineRule="auto"/>
              <w:ind w:left="580" w:right="107" w:hanging="455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四川射洪35kV香山等15座变电站技术服务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  <w:lang w:val="en-US" w:eastAsia="zh-CN"/>
              </w:rPr>
              <w:t>项目</w:t>
            </w:r>
          </w:p>
          <w:p w14:paraId="154F3568">
            <w:pPr>
              <w:spacing w:before="10" w:line="235" w:lineRule="auto"/>
              <w:ind w:left="538" w:right="107" w:hanging="413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6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海南华能东方戈枕电厂项目</w:t>
            </w:r>
          </w:p>
        </w:tc>
        <w:tc>
          <w:tcPr>
            <w:tcW w:w="1705" w:type="dxa"/>
          </w:tcPr>
          <w:p w14:paraId="1CB2C030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3FBF1DB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A19CC57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11C2DDF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67E4C65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1E7D2C">
            <w:pPr>
              <w:spacing w:before="78" w:line="220" w:lineRule="auto"/>
              <w:ind w:left="56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6628FEE3">
            <w:pPr>
              <w:spacing w:before="40" w:line="237" w:lineRule="auto"/>
              <w:ind w:right="103"/>
              <w:jc w:val="both"/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通过使用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智能一体化运维支撑平台 SG-I6000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的工单模块和任务模块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实现了任务从创建、派发、处理到闭环的全流程数字化管理。通过可视化的流转看板与自动化规则，显著提升了协同效率，并确保每项运维任务可跟踪、可量化、可追溯。</w:t>
            </w:r>
          </w:p>
        </w:tc>
        <w:tc>
          <w:tcPr>
            <w:tcW w:w="1343" w:type="dxa"/>
          </w:tcPr>
          <w:p w14:paraId="323564D0">
            <w:pPr>
              <w:pStyle w:val="27"/>
              <w:spacing w:line="261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</w:p>
          <w:p w14:paraId="75ECB455">
            <w:pPr>
              <w:pStyle w:val="27"/>
              <w:spacing w:line="261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</w:p>
          <w:p w14:paraId="5BD5C4EC">
            <w:pPr>
              <w:pStyle w:val="27"/>
              <w:spacing w:line="262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</w:p>
          <w:p w14:paraId="6FC117B5">
            <w:pPr>
              <w:pStyle w:val="27"/>
              <w:spacing w:line="262" w:lineRule="auto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</w:p>
          <w:p w14:paraId="2BCFAE11">
            <w:pPr>
              <w:spacing w:before="26" w:line="239" w:lineRule="auto"/>
              <w:ind w:left="120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en-US" w:bidi="ar-SA"/>
              </w:rPr>
              <w:t>赵川华</w:t>
            </w:r>
            <w:r>
              <w:rPr>
                <w:rFonts w:hint="eastAsia" w:ascii="宋体" w:hAnsi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zh-CN" w:bidi="ar-SA"/>
              </w:rPr>
              <w:t>2026.01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en-US" w:bidi="ar-SA"/>
              </w:rPr>
              <w:t>.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lang w:val="en-US" w:eastAsia="zh-CN" w:bidi="ar-SA"/>
              </w:rPr>
              <w:t>20</w:t>
            </w:r>
          </w:p>
        </w:tc>
      </w:tr>
      <w:tr w14:paraId="21BD4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27CF8C27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BB5A91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C5610FF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4579796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5ED0D22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FFC1FAE">
            <w:pPr>
              <w:spacing w:before="78" w:line="220" w:lineRule="auto"/>
              <w:ind w:left="1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1"/>
                <w:szCs w:val="21"/>
              </w:rPr>
              <w:t>监控工具</w:t>
            </w:r>
          </w:p>
        </w:tc>
        <w:tc>
          <w:tcPr>
            <w:tcW w:w="1307" w:type="dxa"/>
          </w:tcPr>
          <w:p w14:paraId="66C9A9BF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6B304C2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297A82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2AE1D2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48E32C0">
            <w:pPr>
              <w:spacing w:before="78" w:line="242" w:lineRule="auto"/>
              <w:ind w:left="179" w:right="119" w:hanging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信息系统性能监控工具</w:t>
            </w:r>
          </w:p>
        </w:tc>
        <w:tc>
          <w:tcPr>
            <w:tcW w:w="1887" w:type="dxa"/>
          </w:tcPr>
          <w:p w14:paraId="2A248534">
            <w:pPr>
              <w:spacing w:before="39" w:line="236" w:lineRule="auto"/>
              <w:ind w:right="103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3811" w:type="dxa"/>
            <w:gridSpan w:val="2"/>
          </w:tcPr>
          <w:p w14:paraId="4C8D21CB">
            <w:pPr>
              <w:pStyle w:val="27"/>
              <w:spacing w:line="41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7D8EA12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  <w:lang w:val="en-US" w:eastAsia="zh-CN"/>
              </w:rPr>
              <w:t>项目</w:t>
            </w:r>
          </w:p>
          <w:p w14:paraId="0564D3A8">
            <w:pPr>
              <w:spacing w:before="14" w:line="236" w:lineRule="auto"/>
              <w:ind w:left="580" w:right="107" w:hanging="455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四川射洪35kV香山等15座变电站技术服务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  <w:lang w:val="en-US" w:eastAsia="zh-CN"/>
              </w:rPr>
              <w:t>项目</w:t>
            </w:r>
          </w:p>
          <w:p w14:paraId="4DB9C043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4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海南华能东方戈枕电厂项目</w:t>
            </w:r>
          </w:p>
        </w:tc>
        <w:tc>
          <w:tcPr>
            <w:tcW w:w="1705" w:type="dxa"/>
          </w:tcPr>
          <w:p w14:paraId="0C0C3941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EE9056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50AC30B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94704A9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CB13425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FA24196">
            <w:pPr>
              <w:spacing w:before="78" w:line="221" w:lineRule="auto"/>
              <w:ind w:left="521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开源工具</w:t>
            </w:r>
          </w:p>
        </w:tc>
        <w:tc>
          <w:tcPr>
            <w:tcW w:w="3196" w:type="dxa"/>
          </w:tcPr>
          <w:p w14:paraId="0968706D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通过系统监控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工具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hint="eastAsia" w:ascii="宋体" w:hAnsi="宋体" w:eastAsia="宋体" w:cs="宋体"/>
                <w:spacing w:val="30"/>
                <w:sz w:val="21"/>
                <w:szCs w:val="21"/>
              </w:rPr>
              <w:t>缩短了系统故障发生的时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601EE9C4">
            <w:pPr>
              <w:pStyle w:val="27"/>
              <w:spacing w:line="26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6FB5BEE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0D3C5B9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772BADB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D9F7096">
            <w:pPr>
              <w:spacing w:before="26" w:line="239" w:lineRule="auto"/>
              <w:ind w:left="12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赵川华</w:t>
            </w:r>
            <w:r>
              <w:rPr>
                <w:rFonts w:hint="eastAsia" w:ascii="宋体" w:hAnsi="宋体" w:cs="宋体"/>
                <w:spacing w:val="-2"/>
                <w:sz w:val="21"/>
                <w:szCs w:val="21"/>
                <w:lang w:eastAsia="zh-CN"/>
              </w:rPr>
              <w:t>2026.01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20</w:t>
            </w:r>
          </w:p>
        </w:tc>
      </w:tr>
      <w:tr w14:paraId="34956C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  <w:shd w:val="clear" w:color="auto" w:fill="auto"/>
          </w:tcPr>
          <w:p w14:paraId="1F396EA9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7CB0EB0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D28335D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FD133A5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524802B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7746011">
            <w:pPr>
              <w:spacing w:before="78" w:line="220" w:lineRule="auto"/>
              <w:ind w:left="163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1"/>
                <w:szCs w:val="21"/>
              </w:rPr>
              <w:t>监控工具</w:t>
            </w:r>
          </w:p>
        </w:tc>
        <w:tc>
          <w:tcPr>
            <w:tcW w:w="1307" w:type="dxa"/>
            <w:shd w:val="clear" w:color="auto" w:fill="auto"/>
          </w:tcPr>
          <w:p w14:paraId="0A1CE7B8">
            <w:pPr>
              <w:spacing w:before="78" w:line="242" w:lineRule="auto"/>
              <w:ind w:left="179" w:right="119" w:hanging="73"/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物管平台-物联标志系统</w:t>
            </w:r>
          </w:p>
        </w:tc>
        <w:tc>
          <w:tcPr>
            <w:tcW w:w="2218" w:type="dxa"/>
            <w:gridSpan w:val="2"/>
            <w:shd w:val="clear" w:color="auto" w:fill="auto"/>
          </w:tcPr>
          <w:p w14:paraId="7FE78DA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核心模块包括标识管理、标识数据统计、数据同步、系统管理（用户/组织/菜单/角色管理）及移动应用，实现物联网设备全生命周期管理与数据服务</w:t>
            </w:r>
          </w:p>
        </w:tc>
        <w:tc>
          <w:tcPr>
            <w:tcW w:w="3480" w:type="dxa"/>
            <w:shd w:val="clear" w:color="auto" w:fill="auto"/>
          </w:tcPr>
          <w:p w14:paraId="6019D10C">
            <w:pPr>
              <w:pStyle w:val="27"/>
              <w:spacing w:line="41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07E5605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1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  <w:lang w:val="en-US" w:eastAsia="zh-CN"/>
              </w:rPr>
              <w:t>项目</w:t>
            </w:r>
          </w:p>
        </w:tc>
        <w:tc>
          <w:tcPr>
            <w:tcW w:w="1705" w:type="dxa"/>
            <w:shd w:val="clear" w:color="auto" w:fill="auto"/>
          </w:tcPr>
          <w:p w14:paraId="72F8FEEB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BF0C995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FB63BF4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69F5DA6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7AF8BA5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4108CA7">
            <w:pPr>
              <w:spacing w:before="78" w:line="221" w:lineRule="auto"/>
              <w:ind w:left="52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3196" w:type="dxa"/>
            <w:shd w:val="clear" w:color="auto" w:fill="auto"/>
          </w:tcPr>
          <w:p w14:paraId="012DB2AA">
            <w:pPr>
              <w:pStyle w:val="29"/>
              <w:bidi w:val="0"/>
              <w:ind w:left="0" w:leftChars="0" w:firstLine="0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通过使用物管平台-物联标志系统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依托云平台与数据中台，强化物联平台服务能力；以服务、运维及数据可视化技术驱动业务，支撑各业务系统与物联平台对接，提升终端运维管理效率。</w:t>
            </w:r>
          </w:p>
        </w:tc>
        <w:tc>
          <w:tcPr>
            <w:tcW w:w="1343" w:type="dxa"/>
            <w:shd w:val="clear" w:color="auto" w:fill="auto"/>
          </w:tcPr>
          <w:p w14:paraId="5A50D1DE">
            <w:pPr>
              <w:pStyle w:val="27"/>
              <w:spacing w:line="26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B145745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AD8F1F1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2F3255D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6534C10">
            <w:pPr>
              <w:spacing w:before="26" w:line="239" w:lineRule="auto"/>
              <w:ind w:left="12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赵川华</w:t>
            </w:r>
            <w:r>
              <w:rPr>
                <w:rFonts w:hint="eastAsia" w:ascii="宋体" w:hAnsi="宋体" w:cs="宋体"/>
                <w:spacing w:val="-2"/>
                <w:sz w:val="21"/>
                <w:szCs w:val="21"/>
                <w:lang w:eastAsia="zh-CN"/>
              </w:rPr>
              <w:t>2026.01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20</w:t>
            </w:r>
          </w:p>
        </w:tc>
      </w:tr>
      <w:tr w14:paraId="5C2DF4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  <w:shd w:val="clear" w:color="auto" w:fill="auto"/>
          </w:tcPr>
          <w:p w14:paraId="09DED6F4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E1D3CA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0DCDF3E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D6850C0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18F329A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D5C8059">
            <w:pPr>
              <w:spacing w:before="78" w:line="220" w:lineRule="auto"/>
              <w:ind w:left="16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1"/>
                <w:szCs w:val="21"/>
              </w:rPr>
              <w:t>监控工具</w:t>
            </w:r>
          </w:p>
        </w:tc>
        <w:tc>
          <w:tcPr>
            <w:tcW w:w="1307" w:type="dxa"/>
            <w:shd w:val="clear" w:color="auto" w:fill="auto"/>
          </w:tcPr>
          <w:p w14:paraId="1260FE12">
            <w:pPr>
              <w:spacing w:before="78" w:line="242" w:lineRule="auto"/>
              <w:ind w:left="179" w:right="119" w:hanging="73"/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隔离装置监控处置工具</w:t>
            </w:r>
          </w:p>
        </w:tc>
        <w:tc>
          <w:tcPr>
            <w:tcW w:w="2218" w:type="dxa"/>
            <w:gridSpan w:val="2"/>
            <w:shd w:val="clear" w:color="auto" w:fill="auto"/>
          </w:tcPr>
          <w:p w14:paraId="48292BA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实现隔离装置代理数据库可用性探测</w:t>
            </w:r>
          </w:p>
          <w:p w14:paraId="4D72B65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对探测失败的隔离装置代理进程自动重启</w:t>
            </w:r>
          </w:p>
          <w:p w14:paraId="78CAD8F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记录并在监控页面展示探测失败日志</w:t>
            </w:r>
          </w:p>
          <w:p w14:paraId="1094BFA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支持短信及邮件告警功能，及时推送故障信息</w:t>
            </w:r>
          </w:p>
          <w:p w14:paraId="5E5E24B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具备日志审计能力，确保所有操作可追溯</w:t>
            </w:r>
          </w:p>
        </w:tc>
        <w:tc>
          <w:tcPr>
            <w:tcW w:w="3480" w:type="dxa"/>
            <w:shd w:val="clear" w:color="auto" w:fill="auto"/>
          </w:tcPr>
          <w:p w14:paraId="03A9E343">
            <w:pPr>
              <w:pStyle w:val="27"/>
              <w:spacing w:line="41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415BA84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122555" cy="168275"/>
                  <wp:effectExtent l="0" t="0" r="14605" b="14605"/>
                  <wp:docPr id="17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  <w:lang w:val="en-US" w:eastAsia="zh-CN"/>
              </w:rPr>
              <w:t>项目</w:t>
            </w:r>
            <w:bookmarkStart w:id="0" w:name="_GoBack"/>
            <w:bookmarkEnd w:id="0"/>
          </w:p>
        </w:tc>
        <w:tc>
          <w:tcPr>
            <w:tcW w:w="1705" w:type="dxa"/>
            <w:shd w:val="clear" w:color="auto" w:fill="auto"/>
          </w:tcPr>
          <w:p w14:paraId="7146B55F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8B7F02F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B397644">
            <w:pPr>
              <w:pStyle w:val="27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4A4827B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AD844A7">
            <w:pPr>
              <w:pStyle w:val="27"/>
              <w:spacing w:line="2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97D1A2E">
            <w:pPr>
              <w:spacing w:before="78" w:line="221" w:lineRule="auto"/>
              <w:ind w:left="52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3196" w:type="dxa"/>
            <w:shd w:val="clear" w:color="auto" w:fill="auto"/>
          </w:tcPr>
          <w:p w14:paraId="72917FC9">
            <w:pPr>
              <w:pStyle w:val="29"/>
              <w:bidi w:val="0"/>
              <w:ind w:left="0" w:leftChars="0" w:firstLine="0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      </w:r>
          </w:p>
        </w:tc>
        <w:tc>
          <w:tcPr>
            <w:tcW w:w="1343" w:type="dxa"/>
            <w:shd w:val="clear" w:color="auto" w:fill="auto"/>
          </w:tcPr>
          <w:p w14:paraId="67A61717">
            <w:pPr>
              <w:pStyle w:val="27"/>
              <w:spacing w:line="26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B812B11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1200B35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802744C">
            <w:pPr>
              <w:pStyle w:val="27"/>
              <w:spacing w:line="262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FB881A4">
            <w:pPr>
              <w:spacing w:before="26" w:line="239" w:lineRule="auto"/>
              <w:ind w:left="12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赵川华</w:t>
            </w:r>
            <w:r>
              <w:rPr>
                <w:rFonts w:hint="eastAsia" w:ascii="宋体" w:hAnsi="宋体" w:cs="宋体"/>
                <w:spacing w:val="-2"/>
                <w:sz w:val="21"/>
                <w:szCs w:val="21"/>
                <w:lang w:eastAsia="zh-CN"/>
              </w:rPr>
              <w:t>2026.01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20</w:t>
            </w:r>
          </w:p>
        </w:tc>
      </w:tr>
    </w:tbl>
    <w:p w14:paraId="633F8BE1">
      <w:pPr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0411F6"/>
    <w:rsid w:val="1F3A4035"/>
    <w:rsid w:val="25400E2A"/>
    <w:rsid w:val="2E8B0F17"/>
    <w:rsid w:val="2F452CAE"/>
    <w:rsid w:val="731127E5"/>
    <w:rsid w:val="74DF0134"/>
    <w:rsid w:val="7E02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1160</Words>
  <Characters>1322</Characters>
  <Lines>0</Lines>
  <Paragraphs>0</Paragraphs>
  <TotalTime>0</TotalTime>
  <ScaleCrop>false</ScaleCrop>
  <LinksUpToDate>false</LinksUpToDate>
  <CharactersWithSpaces>1325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2026-03-04T21:09:42Z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07FC051D12264F59A680B8B22651162F_13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