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EEEF3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154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01C0402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79"/>
      <w:r>
        <w:rPr>
          <w:rFonts w:hint="eastAsia"/>
          <w:lang w:val="en-US" w:eastAsia="zh-CN"/>
        </w:rPr>
        <w:t>运维工具应用情况说明</w:t>
      </w:r>
      <w:bookmarkEnd w:id="1"/>
    </w:p>
    <w:p w14:paraId="272C074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2235"/>
      <w:r>
        <w:rPr>
          <w:rFonts w:hint="eastAsia"/>
          <w:lang w:val="en-US" w:eastAsia="zh-CN"/>
        </w:rPr>
        <w:t>（HXDL-ITSS-0809）</w:t>
      </w:r>
      <w:bookmarkEnd w:id="2"/>
    </w:p>
    <w:p w14:paraId="44D1688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242D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0BA58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122FF4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  <w:tr w14:paraId="5591C2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3A0FB4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DF9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  <w:tr w14:paraId="2B382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2C713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72C2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2026.1.30</w:t>
            </w:r>
          </w:p>
        </w:tc>
      </w:tr>
    </w:tbl>
    <w:p w14:paraId="7B899D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37C57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249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577392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B09E4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FF2C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AF6F1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BCB8E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11405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18944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220E2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1BF20E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4A6F8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E25D3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5F910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6D720D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5ED42E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5126A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6918E5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6CA102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4B80A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A34E9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66945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5C9A8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31798B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BCE5C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26CF9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2A8858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36A14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B8501D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EED47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2DFCD0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192853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217D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66AA7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39C85F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4A112A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04D365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F4F5B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04DA99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617F1C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7F7412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C0563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0A318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BA7A9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67814E0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478EE3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354E69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05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45B394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4" w:name="_Toc4505"/>
          <w:r>
            <w:rPr>
              <w:rFonts w:ascii="宋体" w:hAnsi="宋体" w:eastAsia="宋体"/>
              <w:sz w:val="21"/>
            </w:rPr>
            <w:t>目录</w:t>
          </w:r>
        </w:p>
        <w:p w14:paraId="4D354F2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_Toc31545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_Toc31545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B2124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运维工具应用情况说明</w:t>
          </w:r>
          <w:r>
            <w:tab/>
          </w:r>
          <w:r>
            <w:fldChar w:fldCharType="begin"/>
          </w:r>
          <w:r>
            <w:instrText xml:space="preserve"> PAGEREF _Toc79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47DA00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_Toc12235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（HXDL-ITSS-0809）</w:t>
          </w:r>
          <w:r>
            <w:tab/>
          </w:r>
          <w:r>
            <w:fldChar w:fldCharType="begin"/>
          </w:r>
          <w:r>
            <w:instrText xml:space="preserve"> PAGEREF _Toc12235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B50634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_Toc12490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_Toc12490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7F220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运维工具列表</w:t>
          </w:r>
          <w:r>
            <w:tab/>
          </w:r>
          <w:r>
            <w:fldChar w:fldCharType="begin"/>
          </w:r>
          <w:r>
            <w:instrText xml:space="preserve"> PAGEREF _Toc23654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9EE63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运维工具应用情况</w:t>
          </w:r>
          <w:r>
            <w:tab/>
          </w:r>
          <w:r>
            <w:fldChar w:fldCharType="begin"/>
          </w:r>
          <w:r>
            <w:instrText xml:space="preserve"> PAGEREF _Toc30456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8A625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过程管理工具-</w:t>
          </w:r>
          <w:r>
            <w:t>智能一体化运维支撑平台 SG-I6000</w:t>
          </w:r>
          <w:r>
            <w:tab/>
          </w:r>
          <w:r>
            <w:fldChar w:fldCharType="begin"/>
          </w:r>
          <w:r>
            <w:instrText xml:space="preserve"> PAGEREF _Toc4991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D42B73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_Toc27621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D1711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_Toc16566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C36C1D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_Toc12389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E7C9B5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_Toc15968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D3E0B3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_Toc18186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9B383C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监控工具-信息系统性能监控工具</w:t>
          </w:r>
          <w:r>
            <w:tab/>
          </w:r>
          <w:r>
            <w:fldChar w:fldCharType="begin"/>
          </w:r>
          <w:r>
            <w:instrText xml:space="preserve"> PAGEREF _Toc30762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B51045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_Toc6820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014FCD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_Toc3091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CF4F6A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_Toc32225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A7B72E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_Toc9239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_Toc9239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E9CB29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_Toc5317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A3D693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监控工具-物管平台-物联标志系统</w:t>
          </w:r>
          <w:r>
            <w:tab/>
          </w:r>
          <w:r>
            <w:fldChar w:fldCharType="begin"/>
          </w:r>
          <w:r>
            <w:instrText xml:space="preserve"> PAGEREF _Toc22072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9A04B6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_Toc24342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DFA90F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_Toc1483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4B827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_Toc4845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8B6967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_Toc22580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1F36BE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_Toc12554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7B2D63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监控工具-隔离装置监控处置工具</w:t>
          </w:r>
          <w:r>
            <w:tab/>
          </w:r>
          <w:r>
            <w:fldChar w:fldCharType="begin"/>
          </w:r>
          <w:r>
            <w:instrText xml:space="preserve"> PAGEREF _Toc8307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DAB65B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_Toc18598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1D823C6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_Toc52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A49A73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_Toc20169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CB0035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_Toc12861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D3FB66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_Toc19833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95BFE1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_Toc20847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30EC19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运维工具改进</w:t>
          </w:r>
          <w:r>
            <w:tab/>
          </w:r>
          <w:r>
            <w:fldChar w:fldCharType="begin"/>
          </w:r>
          <w:r>
            <w:instrText xml:space="preserve"> PAGEREF _Toc4413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78B508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05215C2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3654"/>
      <w:r>
        <w:rPr>
          <w:rFonts w:hint="eastAsia"/>
          <w:lang w:val="en-US" w:eastAsia="zh-CN"/>
        </w:rPr>
        <w:t>运维工具列表</w:t>
      </w:r>
      <w:bookmarkEnd w:id="5"/>
    </w:p>
    <w:tbl>
      <w:tblPr>
        <w:tblStyle w:val="20"/>
        <w:tblW w:w="130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764"/>
        <w:gridCol w:w="3600"/>
        <w:gridCol w:w="1272"/>
        <w:gridCol w:w="5596"/>
      </w:tblGrid>
      <w:tr w14:paraId="30C21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F807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5B05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工具类别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10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3F9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工具来源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165A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应用情况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说明</w:t>
            </w:r>
          </w:p>
        </w:tc>
      </w:tr>
      <w:tr w14:paraId="4DF72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B3D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EBB7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运维过程管理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FE5EC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Cs w:val="21"/>
              </w:rPr>
            </w:pPr>
            <w:r>
              <w:t>智能一体化运维支撑平台SG-I6000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DFF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BD65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</w:tr>
      <w:tr w14:paraId="38015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94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877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67A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9A1E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DA0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</w:tr>
      <w:tr w14:paraId="14CE7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318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25E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D1E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8B0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B5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</w:tr>
      <w:tr w14:paraId="1B5CD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E3D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60A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C8F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E1F7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897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</w:tr>
    </w:tbl>
    <w:p w14:paraId="37FBD95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br w:type="page"/>
      </w:r>
    </w:p>
    <w:p w14:paraId="1CA77B3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456"/>
      <w:r>
        <w:rPr>
          <w:rFonts w:hint="eastAsia"/>
          <w:lang w:val="en-US" w:eastAsia="zh-CN"/>
        </w:rPr>
        <w:t>运维工具应用情况</w:t>
      </w:r>
      <w:bookmarkEnd w:id="4"/>
      <w:bookmarkEnd w:id="6"/>
    </w:p>
    <w:p w14:paraId="022BC0A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165"/>
      <w:bookmarkStart w:id="8" w:name="_Toc4991"/>
      <w:r>
        <w:rPr>
          <w:rFonts w:hint="eastAsia"/>
          <w:lang w:val="en-US" w:eastAsia="zh-CN"/>
        </w:rPr>
        <w:t>过程管理工具</w:t>
      </w:r>
      <w:bookmarkEnd w:id="7"/>
      <w:r>
        <w:rPr>
          <w:rFonts w:hint="eastAsia"/>
          <w:lang w:val="en-US" w:eastAsia="zh-CN"/>
        </w:rPr>
        <w:t>-</w:t>
      </w:r>
      <w:r>
        <w:t>智能一体化运维支撑平台 SG-I6000</w:t>
      </w:r>
      <w:bookmarkEnd w:id="8"/>
    </w:p>
    <w:p w14:paraId="4585D61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8958"/>
      <w:bookmarkStart w:id="10" w:name="_Toc27621"/>
      <w:r>
        <w:rPr>
          <w:rFonts w:hint="eastAsia"/>
          <w:lang w:val="en-US" w:eastAsia="zh-CN"/>
        </w:rPr>
        <w:t>名称</w:t>
      </w:r>
      <w:bookmarkEnd w:id="9"/>
      <w:bookmarkEnd w:id="10"/>
    </w:p>
    <w:p w14:paraId="2B2C5FFB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智能一体化运维支撑平台 SG-I6000</w:t>
      </w:r>
    </w:p>
    <w:p w14:paraId="4AE7B49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9703"/>
      <w:bookmarkStart w:id="12" w:name="_Toc16566"/>
      <w:r>
        <w:rPr>
          <w:rFonts w:hint="eastAsia"/>
          <w:lang w:val="en-US" w:eastAsia="zh-CN"/>
        </w:rPr>
        <w:t>来源</w:t>
      </w:r>
      <w:bookmarkEnd w:id="11"/>
      <w:bookmarkEnd w:id="12"/>
    </w:p>
    <w:p w14:paraId="6F041F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5E0625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722"/>
      <w:bookmarkStart w:id="14" w:name="_Toc12389"/>
      <w:r>
        <w:rPr>
          <w:rFonts w:hint="eastAsia"/>
          <w:lang w:val="en-US" w:eastAsia="zh-CN"/>
        </w:rPr>
        <w:t>软件特色</w:t>
      </w:r>
      <w:bookmarkEnd w:id="13"/>
      <w:bookmarkEnd w:id="14"/>
    </w:p>
    <w:p w14:paraId="76A9A6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本智能一体化运维支撑平台以“集成化、流程化、知识化”为设计核心，突破传统运维工具条块分割的局限，构建起事件、工单、知识三大管理流程无缝衔接的一体化运维协作体系</w:t>
      </w:r>
    </w:p>
    <w:p w14:paraId="5485C0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6071"/>
      <w:bookmarkStart w:id="16" w:name="_Toc15968"/>
      <w:r>
        <w:rPr>
          <w:rFonts w:hint="eastAsia"/>
          <w:lang w:val="en-US" w:eastAsia="zh-CN"/>
        </w:rPr>
        <w:t>应用情况说明</w:t>
      </w:r>
      <w:bookmarkEnd w:id="15"/>
      <w:bookmarkEnd w:id="16"/>
    </w:p>
    <w:p w14:paraId="3506E214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智能一体化运维支撑平台 SG-I6000</w:t>
      </w:r>
      <w:r>
        <w:rPr>
          <w:rFonts w:hint="eastAsia"/>
          <w:lang w:val="en-US" w:eastAsia="zh-CN"/>
        </w:rPr>
        <w:t>，应用的主要项目有：</w:t>
      </w:r>
    </w:p>
    <w:p w14:paraId="7A62581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0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6E74CB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</w:t>
      </w:r>
      <w:r>
        <w:t>智能一体化运维支撑平台 SG-I6000</w:t>
      </w:r>
      <w:r>
        <w:rPr>
          <w:rFonts w:hint="eastAsia"/>
          <w:lang w:val="en-US" w:eastAsia="zh-CN"/>
        </w:rPr>
        <w:t>的工单模块和任务模块</w:t>
      </w:r>
      <w:r>
        <w:t>实现了任务从创建、派发、处理到闭环的全流程数字化管理。通过可视化的流转看板与自动化规则，显著提升了协同效率，并确保每项运维任务可跟踪、可量化、可追溯。</w:t>
      </w:r>
    </w:p>
    <w:p w14:paraId="361676D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8186"/>
      <w:r>
        <w:rPr>
          <w:rFonts w:hint="eastAsia"/>
          <w:lang w:val="en-US" w:eastAsia="zh-CN"/>
        </w:rPr>
        <w:t>主要功能</w:t>
      </w:r>
      <w:bookmarkEnd w:id="17"/>
    </w:p>
    <w:p w14:paraId="2D1D610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0459"/>
      <w:r>
        <w:rPr>
          <w:rFonts w:hint="eastAsia"/>
          <w:lang w:val="en-US" w:eastAsia="zh-CN"/>
        </w:rPr>
        <w:t>服务台</w:t>
      </w:r>
      <w:bookmarkEnd w:id="18"/>
    </w:p>
    <w:p w14:paraId="334CB96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sz w:val="24"/>
          <w:szCs w:val="24"/>
        </w:rPr>
      </w:pPr>
      <w:r>
        <w:drawing>
          <wp:inline distT="0" distB="0" distL="114300" distR="114300">
            <wp:extent cx="4653280" cy="2230755"/>
            <wp:effectExtent l="0" t="0" r="10160" b="9525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8E1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作为信息部门和服务客户之间的唯一联系点，提供了一个化被动管理为主动管理的有效工具，它既可以响应客户的询问和请求，也可以解决客户的故障和疑问，对事件的处理过程进行全面监控，提高事件的处理效率和客户的满意度。</w:t>
      </w:r>
    </w:p>
    <w:p w14:paraId="347E0A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提供受理服务请求的功能，基于客户提交的服务请求，依据统一的紧急度、影响度、优先级判断标准，将服务请求转化为事件工单，并按匹配的服务目录分配给运维团队支持。对于处理中的事件工单，服务台支持跟踪工单处理过程，支持按需进行干预（如更换处理人、强制接管、强制完成）或挂起（主要针对因客观原因无法继续处理的工单），确保服务质量。</w:t>
      </w:r>
    </w:p>
    <w:p w14:paraId="54C5D7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cs="宋体"/>
          <w:szCs w:val="24"/>
        </w:rPr>
      </w:pPr>
      <w:r>
        <w:rPr>
          <w:rFonts w:hint="eastAsia"/>
        </w:rPr>
        <w:t>服务台目的是为了加强客户与IT服务管理之间的联系，并作为IT服务部门与客户之间的连接点。服务台可以根据客户的简单查询需求调用IT服务管理系统中已有资源或解决方案，为客户提供自助服务并自我解决部分事件；同时，服务台亦承担收集并记录客户提交的服务请求，创建并维护与事件或服务请求相关的针对性记录，并由此启动“事件管理流程”。</w:t>
      </w:r>
    </w:p>
    <w:p w14:paraId="2D6E52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4137660" cy="1477645"/>
            <wp:effectExtent l="0" t="0" r="7620" b="635"/>
            <wp:docPr id="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ECE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填写故障单</w:t>
      </w:r>
    </w:p>
    <w:p w14:paraId="2CABA345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7078EDCE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03220"/>
            <wp:effectExtent l="0" t="0" r="2540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976A6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14650"/>
            <wp:effectExtent l="0" t="0" r="2540" b="1143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D002A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sz w:val="24"/>
          <w:szCs w:val="24"/>
        </w:rPr>
      </w:pPr>
      <w:r>
        <w:rPr>
          <w:rFonts w:hint="eastAsia"/>
        </w:rPr>
        <w:t>填写故障内容，处理完成</w:t>
      </w:r>
    </w:p>
    <w:p w14:paraId="37C34B0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5561"/>
      <w:r>
        <w:rPr>
          <w:rFonts w:hint="eastAsia"/>
          <w:lang w:val="en-US" w:eastAsia="zh-CN"/>
        </w:rPr>
        <w:t>服务</w:t>
      </w:r>
      <w:bookmarkEnd w:id="19"/>
      <w:r>
        <w:rPr>
          <w:rFonts w:hint="eastAsia"/>
          <w:lang w:val="en-US" w:eastAsia="zh-CN"/>
        </w:rPr>
        <w:t>管理</w:t>
      </w:r>
    </w:p>
    <w:p w14:paraId="19F17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服务管理包含我的待办、我的跟进、事件管理、问题管理、变更管理、任务管理等模块。以下是任务管理中的日巡检和周巡检的流程。</w:t>
      </w:r>
    </w:p>
    <w:p w14:paraId="403C475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</w:pPr>
      <w:r>
        <w:drawing>
          <wp:inline distT="0" distB="0" distL="114300" distR="114300">
            <wp:extent cx="4587240" cy="2210435"/>
            <wp:effectExtent l="0" t="0" r="0" b="14605"/>
            <wp:docPr id="4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7240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2ED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选择填写巡检项</w:t>
      </w:r>
    </w:p>
    <w:p w14:paraId="326DE1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73040" cy="3244850"/>
            <wp:effectExtent l="0" t="0" r="0" b="1270"/>
            <wp:docPr id="4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BD4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</w:pPr>
      <w:r>
        <w:rPr>
          <w:rFonts w:hint="eastAsia"/>
        </w:rPr>
        <w:t>日巡检内容信息</w:t>
      </w:r>
    </w:p>
    <w:p w14:paraId="2F78EB85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3040" cy="3268980"/>
            <wp:effectExtent l="0" t="0" r="0" b="7620"/>
            <wp:docPr id="4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0880D">
      <w:pPr>
        <w:keepNext w:val="0"/>
        <w:keepLines w:val="0"/>
        <w:pageBreakBefore w:val="0"/>
        <w:widowControl w:val="0"/>
        <w:tabs>
          <w:tab w:val="left" w:pos="628"/>
          <w:tab w:val="left" w:pos="15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日巡检内容信息</w:t>
      </w:r>
    </w:p>
    <w:p w14:paraId="23254567">
      <w:pPr>
        <w:keepNext w:val="0"/>
        <w:keepLines w:val="0"/>
        <w:pageBreakBefore w:val="0"/>
        <w:widowControl w:val="0"/>
        <w:tabs>
          <w:tab w:val="left" w:pos="628"/>
          <w:tab w:val="left" w:pos="15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  <w:r>
        <w:drawing>
          <wp:inline distT="0" distB="0" distL="114300" distR="114300">
            <wp:extent cx="5270500" cy="2893695"/>
            <wp:effectExtent l="0" t="0" r="2540" b="1905"/>
            <wp:docPr id="4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2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02F9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填写巡检项内容然后提交</w:t>
      </w:r>
    </w:p>
    <w:p w14:paraId="7FBFDA67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38728AB4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1135" cy="2701290"/>
            <wp:effectExtent l="0" t="0" r="1905" b="11430"/>
            <wp:docPr id="5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2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57FB0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发起任务，选择巡检维护项目</w:t>
      </w:r>
    </w:p>
    <w:p w14:paraId="2624A36F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7325" cy="2684145"/>
            <wp:effectExtent l="0" t="0" r="5715" b="13335"/>
            <wp:docPr id="5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2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22755">
      <w:pPr>
        <w:keepNext w:val="0"/>
        <w:keepLines w:val="0"/>
        <w:pageBreakBefore w:val="0"/>
        <w:widowControl w:val="0"/>
        <w:tabs>
          <w:tab w:val="left" w:pos="228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76FDF7FB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1610" cy="2406650"/>
            <wp:effectExtent l="0" t="0" r="11430" b="1270"/>
            <wp:docPr id="5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2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0D386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468CAE2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21BEFF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面向运行维护的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作为IT服务管理的知识核心，提供了各个层面的知识管理，协同解决知识共享和再利用的问题。将IT运行管理提高过程建立在知识积累和共享的过程之上，将知识管理作为IT监控和管理的指导核心，并针对行业性知识和规范提供支持。</w:t>
      </w:r>
    </w:p>
    <w:p w14:paraId="60CFED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用户权限可以分为三类，</w:t>
      </w:r>
    </w:p>
    <w:p w14:paraId="79A0B4D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运维部经理</w:t>
      </w:r>
      <w:r>
        <w:rPr>
          <w:rFonts w:hint="eastAsia"/>
          <w:sz w:val="24"/>
          <w:szCs w:val="24"/>
        </w:rPr>
        <w:t>可以管理定制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，包括新建和修改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类别等维护工作；</w:t>
      </w:r>
    </w:p>
    <w:p w14:paraId="261C497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知识审批人员可以审批知识变更、发布草稿为正式知识，废弃知识、重新启用知识等；</w:t>
      </w:r>
    </w:p>
    <w:p w14:paraId="7052DFE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普通用户可以查询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、发起知识修改、评论知识等，但是不能参与知识的审批、发布和管理。</w:t>
      </w:r>
    </w:p>
    <w:p w14:paraId="10ECE6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eastAsia="宋体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可以包括以下知识</w:t>
      </w:r>
      <w:r>
        <w:rPr>
          <w:rFonts w:hint="eastAsia"/>
          <w:sz w:val="24"/>
          <w:szCs w:val="24"/>
          <w:lang w:eastAsia="zh-CN"/>
        </w:rPr>
        <w:t>：</w:t>
      </w:r>
    </w:p>
    <w:p w14:paraId="0A4B5BF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采集知识：为数据采集的指标和阀值提供模板和建议；</w:t>
      </w:r>
    </w:p>
    <w:p w14:paraId="1C8AA887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分析知识：提供事件分析、关联、根源的知识策略；</w:t>
      </w:r>
    </w:p>
    <w:p w14:paraId="69A4480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行业知识：提供企业部门标准、指标、规范性指导，以及诊断的知识信息；</w:t>
      </w:r>
    </w:p>
    <w:p w14:paraId="2CD1D73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信息知识：提供各类信息的帮助知识，例如：典型安全告警的帮助和解决知识；</w:t>
      </w:r>
    </w:p>
    <w:p w14:paraId="776E469C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业务知识：提供各类业务应用系统日常使用的帮助知识。</w:t>
      </w:r>
    </w:p>
    <w:p w14:paraId="525C44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/>
          <w:sz w:val="24"/>
          <w:szCs w:val="24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-118110</wp:posOffset>
            </wp:positionH>
            <wp:positionV relativeFrom="paragraph">
              <wp:posOffset>988695</wp:posOffset>
            </wp:positionV>
            <wp:extent cx="5481955" cy="2100580"/>
            <wp:effectExtent l="0" t="0" r="4445" b="2540"/>
            <wp:wrapTopAndBottom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10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4"/>
        </w:rPr>
        <w:t>所有用户都可以通过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页面查询知识，也可以在工单处理中引用知识或将解决方案转化成知识，同时支持知识的不断更新细化，真正的将知识和实用联动起来，以知识推动处理效率，并在处理过程中不断的优化知识。</w:t>
      </w:r>
    </w:p>
    <w:p w14:paraId="0D1F32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知识发布页</w:t>
      </w:r>
    </w:p>
    <w:p w14:paraId="24FA11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182245</wp:posOffset>
            </wp:positionV>
            <wp:extent cx="5488305" cy="2724785"/>
            <wp:effectExtent l="0" t="0" r="13335" b="3175"/>
            <wp:wrapTopAndBottom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知识审核页</w:t>
      </w:r>
    </w:p>
    <w:p w14:paraId="070635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</w:p>
    <w:p w14:paraId="5F2B604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453640"/>
            <wp:effectExtent l="0" t="0" r="14605" b="0"/>
            <wp:docPr id="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2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B254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30762"/>
      <w:r>
        <w:rPr>
          <w:rFonts w:hint="eastAsia"/>
          <w:lang w:val="en-US" w:eastAsia="zh-CN"/>
        </w:rPr>
        <w:t>监控工具-信息系统性能监控工具</w:t>
      </w:r>
      <w:bookmarkEnd w:id="20"/>
    </w:p>
    <w:p w14:paraId="547EB7C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6820"/>
      <w:r>
        <w:rPr>
          <w:rFonts w:hint="eastAsia"/>
          <w:lang w:val="en-US" w:eastAsia="zh-CN"/>
        </w:rPr>
        <w:t>名称</w:t>
      </w:r>
      <w:bookmarkEnd w:id="21"/>
    </w:p>
    <w:p w14:paraId="56DF4C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信息系统性能监控工具</w:t>
      </w:r>
    </w:p>
    <w:p w14:paraId="06B3632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3091"/>
      <w:r>
        <w:rPr>
          <w:rFonts w:hint="eastAsia"/>
          <w:lang w:val="en-US" w:eastAsia="zh-CN"/>
        </w:rPr>
        <w:t>来源</w:t>
      </w:r>
      <w:bookmarkEnd w:id="22"/>
    </w:p>
    <w:p w14:paraId="20CFAE3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57197B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32225"/>
      <w:r>
        <w:rPr>
          <w:rFonts w:hint="eastAsia"/>
          <w:lang w:val="en-US" w:eastAsia="zh-CN"/>
        </w:rPr>
        <w:t>软件特色</w:t>
      </w:r>
      <w:bookmarkEnd w:id="23"/>
    </w:p>
    <w:p w14:paraId="09F230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核心特色在于其强大而灵活的数据可视化能力，能够将来自多种数据源的监控指标转化为直观的</w:t>
      </w:r>
      <w:r>
        <w:rPr>
          <w:rFonts w:hint="eastAsia"/>
          <w:lang w:val="en-US" w:eastAsia="zh-CN"/>
        </w:rPr>
        <w:t>资源集数据</w:t>
      </w:r>
      <w:r>
        <w:t>。它支持实时监控和告警，使您能够一眼洞察系统状态并快速响应问题。</w:t>
      </w:r>
    </w:p>
    <w:p w14:paraId="11D3C2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9239"/>
      <w:r>
        <w:rPr>
          <w:rFonts w:hint="eastAsia"/>
          <w:lang w:val="en-US" w:eastAsia="zh-CN"/>
        </w:rPr>
        <w:t>应用情况说明</w:t>
      </w:r>
      <w:bookmarkEnd w:id="24"/>
    </w:p>
    <w:p w14:paraId="792BE677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34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4AD75A32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5354C41C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海南华能东方戈枕电厂项目</w:t>
      </w:r>
    </w:p>
    <w:p w14:paraId="34E0E8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</w:rPr>
        <w:t>通过系统监控</w:t>
      </w:r>
      <w:r>
        <w:rPr>
          <w:rFonts w:hint="eastAsia"/>
          <w:lang w:val="en-US" w:eastAsia="zh-CN"/>
        </w:rPr>
        <w:t>工具</w:t>
      </w:r>
      <w:r>
        <w:rPr>
          <w:rFonts w:hint="eastAsia"/>
        </w:rPr>
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</w:r>
      <w:r>
        <w:rPr>
          <w:rFonts w:hint="eastAsia"/>
          <w:lang w:val="en-US" w:eastAsia="zh-CN"/>
        </w:rPr>
        <w:t>处置</w:t>
      </w:r>
    </w:p>
    <w:p w14:paraId="328A84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6093"/>
      <w:bookmarkStart w:id="26" w:name="_Toc5317"/>
      <w:r>
        <w:rPr>
          <w:rFonts w:hint="eastAsia"/>
          <w:lang w:val="en-US" w:eastAsia="zh-CN"/>
        </w:rPr>
        <w:t>主要功能</w:t>
      </w:r>
      <w:bookmarkEnd w:id="25"/>
      <w:bookmarkEnd w:id="26"/>
    </w:p>
    <w:p w14:paraId="1589A0E3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资源集</w:t>
      </w:r>
    </w:p>
    <w:p w14:paraId="6F6E57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资源集用于查看总资源数、进行中资源、异常资源及资源利用率等信息。</w:t>
      </w:r>
    </w:p>
    <w:p w14:paraId="1FDDD7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列表可用于查看各类数据库状态，如下图</w:t>
      </w:r>
    </w:p>
    <w:p w14:paraId="29F45F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资源集</w:t>
      </w:r>
    </w:p>
    <w:p w14:paraId="39883D3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2445385"/>
            <wp:effectExtent l="0" t="0" r="10160" b="825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44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2B3F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应用系统监控</w:t>
      </w:r>
    </w:p>
    <w:p w14:paraId="5D8348B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应用监控系统用于监控各在运行的系统的状态，总体包括总应用数、正常运行数量、警告状态数量、异常状态数量。应用列表用于监控各类应用系统的状态，如下图</w:t>
      </w:r>
    </w:p>
    <w:p w14:paraId="538F9A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应用监控系统</w:t>
      </w:r>
    </w:p>
    <w:p w14:paraId="6C129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055" cy="2905125"/>
            <wp:effectExtent l="0" t="0" r="10795" b="9525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AFC4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中间件监控</w:t>
      </w:r>
    </w:p>
    <w:p w14:paraId="72F3B19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中间件监控主要用于tomcat、weblogic、nginx的状态，如下图</w:t>
      </w:r>
    </w:p>
    <w:p w14:paraId="582E34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中间件监控</w:t>
      </w:r>
    </w:p>
    <w:p w14:paraId="08AAA1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both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0975" cy="2407285"/>
            <wp:effectExtent l="0" t="0" r="12065" b="6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C4D9F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</w:t>
      </w:r>
    </w:p>
    <w:p w14:paraId="0C480B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网络设备监控主要用于监控负载服务器、路由器及交换机等设备的工作状态，如下图</w:t>
      </w:r>
    </w:p>
    <w:p w14:paraId="4695F3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网络设备监控</w:t>
      </w:r>
    </w:p>
    <w:p w14:paraId="527AAE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0500" cy="1978025"/>
            <wp:effectExtent l="0" t="0" r="2540" b="317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74D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3177540"/>
            <wp:effectExtent l="0" t="0" r="0" b="7620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3685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存储设备监控</w:t>
      </w:r>
    </w:p>
    <w:p w14:paraId="1786CE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存储设备监控主要用于监控文件服务器的使用趋势、存储设备列表、设备数、存储总量等</w:t>
      </w:r>
    </w:p>
    <w:p w14:paraId="47AF13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存储设备监控</w:t>
      </w:r>
    </w:p>
    <w:p w14:paraId="45C384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3515" cy="1920240"/>
            <wp:effectExtent l="0" t="0" r="9525" b="0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BEA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1691640"/>
            <wp:effectExtent l="0" t="0" r="10160" b="0"/>
            <wp:docPr id="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AF263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安全设备监控</w:t>
      </w:r>
    </w:p>
    <w:p w14:paraId="0907CC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安全设备监控主要用于防火墙、VPN、应用防火墙等监控</w:t>
      </w:r>
    </w:p>
    <w:p w14:paraId="184F16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安全设备监控</w:t>
      </w:r>
    </w:p>
    <w:p w14:paraId="791D58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1770" cy="2536825"/>
            <wp:effectExtent l="0" t="0" r="5080" b="1587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E17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22072"/>
      <w:r>
        <w:rPr>
          <w:rFonts w:hint="eastAsia"/>
          <w:lang w:val="en-US" w:eastAsia="zh-CN"/>
        </w:rPr>
        <w:t>监控工具-物管平台-物联标志系统</w:t>
      </w:r>
      <w:bookmarkEnd w:id="27"/>
    </w:p>
    <w:p w14:paraId="1FF4F55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4342"/>
      <w:r>
        <w:rPr>
          <w:rFonts w:hint="eastAsia"/>
          <w:lang w:val="en-US" w:eastAsia="zh-CN"/>
        </w:rPr>
        <w:t>名称</w:t>
      </w:r>
      <w:bookmarkEnd w:id="28"/>
    </w:p>
    <w:p w14:paraId="7E0BBF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物管平台-物联标志系统</w:t>
      </w:r>
    </w:p>
    <w:p w14:paraId="78627C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483"/>
      <w:r>
        <w:rPr>
          <w:rFonts w:hint="eastAsia"/>
          <w:lang w:val="en-US" w:eastAsia="zh-CN"/>
        </w:rPr>
        <w:t>来源</w:t>
      </w:r>
      <w:bookmarkEnd w:id="29"/>
    </w:p>
    <w:p w14:paraId="4E5AF3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4EB55A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4845"/>
      <w:r>
        <w:rPr>
          <w:rFonts w:hint="eastAsia"/>
          <w:lang w:val="en-US" w:eastAsia="zh-CN"/>
        </w:rPr>
        <w:t>软件特色</w:t>
      </w:r>
      <w:bookmarkEnd w:id="30"/>
    </w:p>
    <w:p w14:paraId="491926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基于物联网技术的物联标识系统，实现物联网设备的注册、审核、解析、标识管理，深化物联网设备信息应用；</w:t>
      </w:r>
    </w:p>
    <w:p w14:paraId="12D778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打造统一设备标识管理体系，为设备新增、应用深化、数据共享及与业务系统深度融合提供技术基础</w:t>
      </w:r>
    </w:p>
    <w:p w14:paraId="358592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22580"/>
      <w:r>
        <w:rPr>
          <w:rFonts w:hint="eastAsia"/>
          <w:lang w:val="en-US" w:eastAsia="zh-CN"/>
        </w:rPr>
        <w:t>应用情况说明</w:t>
      </w:r>
      <w:bookmarkEnd w:id="31"/>
    </w:p>
    <w:p w14:paraId="722988FE">
      <w:pPr>
        <w:pStyle w:val="39"/>
        <w:numPr>
          <w:ilvl w:val="0"/>
          <w:numId w:val="7"/>
        </w:numPr>
        <w:bidi w:val="0"/>
        <w:rPr>
          <w:rFonts w:hint="eastAsia"/>
          <w:lang w:val="en-US" w:eastAsia="zh-CN"/>
        </w:rPr>
      </w:pPr>
      <w:r>
        <w:rPr>
          <w:rFonts w:hint="eastAsia"/>
        </w:rPr>
        <w:t>四川射洪35kV香山等15座变电站技术服务</w:t>
      </w:r>
      <w:r>
        <w:rPr>
          <w:rFonts w:hint="eastAsia"/>
          <w:lang w:val="en-US" w:eastAsia="zh-CN"/>
        </w:rPr>
        <w:t>项目</w:t>
      </w:r>
    </w:p>
    <w:p w14:paraId="17211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通过使用物管平台-物联标志系统</w:t>
      </w:r>
      <w:r>
        <w:rPr>
          <w:rFonts w:hint="eastAsia"/>
        </w:rPr>
        <w:t>依托云平台与数据中台，强化物联平台服务能力；以服务、运维及数据可视化技术驱动业务，支撑各业务系统与物联平台对接，提升终端运维管理效率。</w:t>
      </w:r>
    </w:p>
    <w:p w14:paraId="54CCAEB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12554"/>
      <w:r>
        <w:rPr>
          <w:rFonts w:hint="eastAsia"/>
          <w:lang w:val="en-US" w:eastAsia="zh-CN"/>
        </w:rPr>
        <w:t>主要功能</w:t>
      </w:r>
      <w:bookmarkEnd w:id="32"/>
    </w:p>
    <w:p w14:paraId="3EEF7F0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系统概览</w:t>
      </w:r>
    </w:p>
    <w:p w14:paraId="6A2120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核心模块包括标识管理、标识数据统计、数据同步、系统管理（用户/组织/菜单/角色管理）及移动应用，实现物联网设备全生命周期管理与数据服务</w:t>
      </w:r>
    </w:p>
    <w:p w14:paraId="7D6D8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DC57B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2BEB7AB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360" w:lineRule="auto"/>
        <w:ind w:firstLine="480" w:firstLineChars="200"/>
        <w:jc w:val="left"/>
        <w:textAlignment w:val="baseline"/>
      </w:pPr>
      <w:r>
        <w:rPr>
          <w:rStyle w:val="41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EB21B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C3FB8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0B967AA6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A0A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307A18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47BDA4B9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9964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6B956419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F38AD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F05DE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设备管理功能</w:t>
      </w:r>
    </w:p>
    <w:p w14:paraId="713AB86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EDE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8307"/>
      <w:r>
        <w:rPr>
          <w:rFonts w:hint="eastAsia"/>
          <w:lang w:val="en-US" w:eastAsia="zh-CN"/>
        </w:rPr>
        <w:t>监控工具-隔离装置监控处置工具</w:t>
      </w:r>
      <w:bookmarkEnd w:id="33"/>
    </w:p>
    <w:p w14:paraId="50ED6D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18598"/>
      <w:r>
        <w:rPr>
          <w:rFonts w:hint="eastAsia"/>
          <w:lang w:val="en-US" w:eastAsia="zh-CN"/>
        </w:rPr>
        <w:t>名称</w:t>
      </w:r>
      <w:bookmarkEnd w:id="34"/>
    </w:p>
    <w:p w14:paraId="2F8BEE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隔离装置监控处置工具</w:t>
      </w:r>
    </w:p>
    <w:p w14:paraId="7E3428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52"/>
      <w:r>
        <w:rPr>
          <w:rFonts w:hint="eastAsia"/>
          <w:lang w:val="en-US" w:eastAsia="zh-CN"/>
        </w:rPr>
        <w:t>来源</w:t>
      </w:r>
      <w:bookmarkEnd w:id="35"/>
    </w:p>
    <w:p w14:paraId="383863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241DF4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20169"/>
      <w:r>
        <w:rPr>
          <w:rFonts w:hint="eastAsia"/>
          <w:lang w:val="en-US" w:eastAsia="zh-CN"/>
        </w:rPr>
        <w:t>软件特色</w:t>
      </w:r>
      <w:bookmarkEnd w:id="36"/>
    </w:p>
    <w:p w14:paraId="1D99DA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自动监测处置工具，在不影响业务运行的前提下，通过实时监测与故障处理功能，5分钟内完成自动故障处置，提升外网业务系统运行稳定性。</w:t>
      </w:r>
    </w:p>
    <w:p w14:paraId="0A9153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12861"/>
      <w:r>
        <w:rPr>
          <w:rFonts w:hint="eastAsia"/>
          <w:lang w:val="en-US" w:eastAsia="zh-CN"/>
        </w:rPr>
        <w:t>应用情况说明</w:t>
      </w:r>
      <w:bookmarkEnd w:id="37"/>
    </w:p>
    <w:p w14:paraId="7710E800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rightChars="0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106200D4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海南华能东方戈枕电厂项目</w:t>
      </w:r>
    </w:p>
    <w:p w14:paraId="068FC3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50C07C5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19833"/>
      <w:r>
        <w:rPr>
          <w:rFonts w:hint="eastAsia"/>
          <w:lang w:val="en-US" w:eastAsia="zh-CN"/>
        </w:rPr>
        <w:t>主要功能</w:t>
      </w:r>
      <w:bookmarkEnd w:id="38"/>
    </w:p>
    <w:p w14:paraId="0F1F06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功能构建了一套完整的端到端自动化监控与故障处置体系，能够实时探测隔离装置代理数据库的可用性，并在探测失败时自动重启代理进程；同时自动记录探测失败日志、在监控页面集中展示，支持短信及邮件告警推送，并具备完整的日志审计能力，确保所有操作可追溯。</w:t>
      </w:r>
    </w:p>
    <w:p w14:paraId="5ACE92E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监控与处置</w:t>
      </w:r>
    </w:p>
    <w:p w14:paraId="4C61B6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D8376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日志记录</w:t>
      </w:r>
    </w:p>
    <w:p w14:paraId="12E44A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540013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20381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短信邮件告警</w:t>
      </w:r>
    </w:p>
    <w:p w14:paraId="5C5341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07DB80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D0B1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</w:t>
      </w:r>
    </w:p>
    <w:p w14:paraId="0BC203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890E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3729"/>
      <w:bookmarkStart w:id="40" w:name="_Toc20847"/>
      <w:r>
        <w:rPr>
          <w:rFonts w:hint="eastAsia"/>
          <w:lang w:val="en-US" w:eastAsia="zh-CN"/>
        </w:rPr>
        <w:t>指标完成情况</w:t>
      </w:r>
      <w:bookmarkEnd w:id="39"/>
      <w:bookmarkEnd w:id="40"/>
    </w:p>
    <w:p w14:paraId="1D2009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1" w:lineRule="auto"/>
        <w:ind w:left="21" w:right="61" w:firstLine="241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运维服务能力指标体系中要求</w:t>
      </w:r>
      <w:r>
        <w:rPr>
          <w:rFonts w:ascii="宋体" w:hAnsi="宋体" w:eastAsia="宋体" w:cs="宋体"/>
          <w:spacing w:val="-4"/>
          <w:sz w:val="24"/>
          <w:szCs w:val="24"/>
        </w:rPr>
        <w:t>工具使用自评估数≥1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次，因为相关人员对T/CE</w:t>
      </w:r>
      <w:r>
        <w:rPr>
          <w:rFonts w:ascii="宋体" w:hAnsi="宋体" w:eastAsia="宋体" w:cs="宋体"/>
          <w:spacing w:val="-5"/>
          <w:sz w:val="24"/>
          <w:szCs w:val="24"/>
        </w:rPr>
        <w:t>SA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1299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—2023  7.6.1  运维工具 c)条款内容理</w:t>
      </w:r>
      <w:r>
        <w:rPr>
          <w:rFonts w:ascii="宋体" w:hAnsi="宋体" w:eastAsia="宋体" w:cs="宋体"/>
          <w:spacing w:val="-3"/>
          <w:sz w:val="24"/>
          <w:szCs w:val="24"/>
        </w:rPr>
        <w:t>解不够</w:t>
      </w:r>
      <w:r>
        <w:rPr>
          <w:rFonts w:hint="eastAsia" w:ascii="宋体" w:hAnsi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没有编制《运维工具使用效果自</w:t>
      </w:r>
      <w:r>
        <w:rPr>
          <w:rFonts w:ascii="宋体" w:hAnsi="宋体" w:eastAsia="宋体" w:cs="宋体"/>
          <w:spacing w:val="4"/>
          <w:sz w:val="24"/>
          <w:szCs w:val="24"/>
        </w:rPr>
        <w:t>评估报告》的模板，内审时未见运维工具效果</w:t>
      </w:r>
      <w:r>
        <w:rPr>
          <w:rFonts w:ascii="宋体" w:hAnsi="宋体" w:eastAsia="宋体" w:cs="宋体"/>
          <w:spacing w:val="3"/>
          <w:sz w:val="24"/>
          <w:szCs w:val="24"/>
        </w:rPr>
        <w:t>的自评估记录信息。202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6年1月</w:t>
      </w:r>
      <w:r>
        <w:rPr>
          <w:rFonts w:ascii="宋体" w:hAnsi="宋体" w:eastAsia="宋体" w:cs="宋体"/>
          <w:spacing w:val="3"/>
          <w:sz w:val="24"/>
          <w:szCs w:val="24"/>
        </w:rPr>
        <w:t>16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日</w:t>
      </w:r>
      <w:r>
        <w:rPr>
          <w:rFonts w:ascii="宋体" w:hAnsi="宋体" w:eastAsia="宋体" w:cs="宋体"/>
          <w:spacing w:val="-3"/>
          <w:sz w:val="24"/>
          <w:szCs w:val="24"/>
        </w:rPr>
        <w:t>运维部人员补充对运维工具的自评估记录，见《运维工具自评估报</w:t>
      </w:r>
      <w:r>
        <w:rPr>
          <w:rFonts w:ascii="宋体" w:hAnsi="宋体" w:eastAsia="宋体" w:cs="宋体"/>
          <w:spacing w:val="1"/>
          <w:sz w:val="24"/>
          <w:szCs w:val="24"/>
        </w:rPr>
        <w:t>告》。202</w:t>
      </w:r>
      <w:r>
        <w:rPr>
          <w:rFonts w:hint="eastAsia" w:ascii="宋体" w:hAnsi="宋体" w:cs="宋体"/>
          <w:spacing w:val="1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pacing w:val="1"/>
          <w:sz w:val="24"/>
          <w:szCs w:val="24"/>
        </w:rPr>
        <w:t>年</w:t>
      </w:r>
      <w:r>
        <w:rPr>
          <w:rFonts w:hint="eastAsia" w:ascii="宋体" w:hAnsi="宋体" w:cs="宋体"/>
          <w:spacing w:val="1"/>
          <w:sz w:val="24"/>
          <w:szCs w:val="24"/>
          <w:lang w:val="en-US" w:eastAsia="zh-CN"/>
        </w:rPr>
        <w:t>1</w:t>
      </w:r>
      <w:bookmarkStart w:id="43" w:name="_GoBack"/>
      <w:bookmarkEnd w:id="43"/>
      <w:r>
        <w:rPr>
          <w:rFonts w:ascii="宋体" w:hAnsi="宋体" w:eastAsia="宋体" w:cs="宋体"/>
          <w:spacing w:val="1"/>
          <w:sz w:val="24"/>
          <w:szCs w:val="24"/>
        </w:rPr>
        <w:t>月进行了一次工具使用自评，达到了指</w:t>
      </w:r>
      <w:r>
        <w:rPr>
          <w:rFonts w:ascii="宋体" w:hAnsi="宋体" w:eastAsia="宋体" w:cs="宋体"/>
          <w:sz w:val="24"/>
          <w:szCs w:val="24"/>
        </w:rPr>
        <w:t>标要求。</w:t>
      </w:r>
    </w:p>
    <w:p w14:paraId="5A9947D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6685"/>
      <w:bookmarkStart w:id="42" w:name="_Toc4413"/>
      <w:r>
        <w:rPr>
          <w:rFonts w:hint="eastAsia"/>
          <w:lang w:val="en-US" w:eastAsia="zh-CN"/>
        </w:rPr>
        <w:t>运维工具改进</w:t>
      </w:r>
      <w:bookmarkEnd w:id="41"/>
      <w:bookmarkEnd w:id="42"/>
    </w:p>
    <w:p w14:paraId="796A12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使用过程中发现，运维相关人员对工具使用熟练度仍需提高，要求运维部按时组织培训等相关事宜。</w:t>
      </w:r>
    </w:p>
    <w:p w14:paraId="3F767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D6ED67"/>
    <w:multiLevelType w:val="singleLevel"/>
    <w:tmpl w:val="A7D6ED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2">
    <w:nsid w:val="B8726EDF"/>
    <w:multiLevelType w:val="singleLevel"/>
    <w:tmpl w:val="B8726E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3">
    <w:nsid w:val="0A4C2B88"/>
    <w:multiLevelType w:val="singleLevel"/>
    <w:tmpl w:val="0A4C2B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4">
    <w:nsid w:val="3DA1EA46"/>
    <w:multiLevelType w:val="singleLevel"/>
    <w:tmpl w:val="3DA1EA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C36B6FF"/>
    <w:multiLevelType w:val="singleLevel"/>
    <w:tmpl w:val="4C36B6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7">
    <w:nsid w:val="65856EF9"/>
    <w:multiLevelType w:val="singleLevel"/>
    <w:tmpl w:val="65856EF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D4F8F14"/>
    <w:multiLevelType w:val="singleLevel"/>
    <w:tmpl w:val="6D4F8F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7"/>
  </w:num>
  <w:num w:numId="6">
    <w:abstractNumId w:val="3"/>
  </w:num>
  <w:num w:numId="7">
    <w:abstractNumId w:val="2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0E27E3"/>
    <w:rsid w:val="0F900551"/>
    <w:rsid w:val="272924A0"/>
    <w:rsid w:val="2C63688F"/>
    <w:rsid w:val="307E7DBC"/>
    <w:rsid w:val="34390907"/>
    <w:rsid w:val="48E22EC4"/>
    <w:rsid w:val="50B27A38"/>
    <w:rsid w:val="6EBF5DC1"/>
    <w:rsid w:val="753F2AC1"/>
    <w:rsid w:val="78D7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4086</Words>
  <Characters>4464</Characters>
  <Lines>0</Lines>
  <Paragraphs>0</Paragraphs>
  <TotalTime>16</TotalTime>
  <ScaleCrop>false</ScaleCrop>
  <LinksUpToDate>false</LinksUpToDate>
  <CharactersWithSpaces>4614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2026-03-04T21:26:52Z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