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1688E">
      <w:pPr>
        <w:pStyle w:val="24"/>
        <w:bidi w:val="0"/>
        <w:ind w:left="0" w:leftChars="0" w:right="0" w:rightChars="0" w:firstLine="0" w:firstLineChars="0"/>
        <w:jc w:val="center"/>
        <w:rPr>
          <w:rFonts w:hint="default"/>
          <w:lang w:val="en-US" w:eastAsia="zh-CN"/>
        </w:rPr>
      </w:pPr>
      <w:bookmarkStart w:id="0" w:name="_Toc32223"/>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6BFCEA77">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24825"/>
      <w:r>
        <w:rPr>
          <w:rFonts w:hint="eastAsia"/>
          <w:lang w:val="en-US" w:eastAsia="zh-CN"/>
        </w:rPr>
        <w:t>曲靖供电局110kV变电站电力监控系统网络安全态势感知系统建设-项目阶段性总结报告（HXDL-ITSS-0904）</w:t>
      </w:r>
      <w:bookmarkEnd w:id="1"/>
    </w:p>
    <w:p w14:paraId="7D541366">
      <w:pPr>
        <w:ind w:left="0" w:leftChars="0" w:right="0" w:rightChars="0" w:firstLine="0" w:firstLineChars="0"/>
        <w:jc w:val="center"/>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E49C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7C1C4378">
            <w:pPr>
              <w:widowControl w:val="0"/>
              <w:ind w:left="0" w:leftChars="0" w:right="0" w:rightChars="0" w:firstLine="0" w:firstLineChars="0"/>
              <w:jc w:val="left"/>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赵川华</w:t>
            </w:r>
          </w:p>
        </w:tc>
        <w:tc>
          <w:tcPr>
            <w:tcW w:w="4261" w:type="dxa"/>
          </w:tcPr>
          <w:p w14:paraId="747EEC46">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2026.01.30</w:t>
            </w:r>
          </w:p>
        </w:tc>
      </w:tr>
      <w:tr w14:paraId="4C349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2CD85693">
            <w:pPr>
              <w:widowControl w:val="0"/>
              <w:ind w:left="0" w:leftChars="0" w:right="0" w:rightChars="0" w:firstLine="0" w:firstLineChars="0"/>
              <w:jc w:val="lef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0E1F5D00">
            <w:pPr>
              <w:widowControl w:val="0"/>
              <w:ind w:left="0" w:leftChars="0" w:right="0" w:rightChars="0" w:firstLine="0" w:firstLineChars="0"/>
              <w:jc w:val="righ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2026.01.30</w:t>
            </w:r>
          </w:p>
        </w:tc>
      </w:tr>
      <w:tr w14:paraId="04926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2FC4568C">
            <w:pPr>
              <w:widowControl w:val="0"/>
              <w:ind w:left="0" w:leftChars="0" w:right="0" w:rightChars="0" w:firstLine="0" w:firstLineChars="0"/>
              <w:jc w:val="left"/>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09259721">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2026.01.30</w:t>
            </w:r>
          </w:p>
        </w:tc>
      </w:tr>
    </w:tbl>
    <w:p w14:paraId="2D6EFADA">
      <w:pPr>
        <w:rPr>
          <w:rFonts w:hint="default"/>
          <w:lang w:val="en-US" w:eastAsia="zh-CN"/>
        </w:rPr>
      </w:pPr>
      <w:r>
        <w:rPr>
          <w:rFonts w:hint="default"/>
          <w:lang w:val="en-US" w:eastAsia="zh-CN"/>
        </w:rPr>
        <w:br w:type="page"/>
      </w:r>
    </w:p>
    <w:p w14:paraId="2410D00B">
      <w:pPr>
        <w:spacing w:before="98" w:line="220" w:lineRule="auto"/>
        <w:ind w:left="3195"/>
        <w:outlineLvl w:val="0"/>
        <w:rPr>
          <w:rFonts w:ascii="宋体" w:hAnsi="宋体" w:eastAsia="宋体" w:cs="宋体"/>
          <w:sz w:val="30"/>
          <w:szCs w:val="30"/>
        </w:rPr>
      </w:pPr>
      <w:bookmarkStart w:id="2" w:name="_Toc5357"/>
      <w:r>
        <w:rPr>
          <w:rFonts w:ascii="宋体" w:hAnsi="宋体" w:eastAsia="宋体" w:cs="宋体"/>
          <w:b/>
          <w:bCs/>
          <w:spacing w:val="-4"/>
          <w:sz w:val="30"/>
          <w:szCs w:val="30"/>
        </w:rPr>
        <w:t>文件编制和变更履历</w:t>
      </w:r>
      <w:bookmarkEnd w:id="2"/>
    </w:p>
    <w:tbl>
      <w:tblPr>
        <w:tblStyle w:val="26"/>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437CD0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50F5CD68">
            <w:pPr>
              <w:spacing w:line="350" w:lineRule="auto"/>
              <w:rPr>
                <w:rFonts w:ascii="Arial"/>
                <w:sz w:val="21"/>
              </w:rPr>
            </w:pPr>
          </w:p>
          <w:p w14:paraId="752A4974">
            <w:pPr>
              <w:spacing w:before="78" w:line="219" w:lineRule="auto"/>
              <w:ind w:left="172"/>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1A844B32">
            <w:pPr>
              <w:spacing w:before="181" w:line="220" w:lineRule="auto"/>
              <w:ind w:left="528"/>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31E1301E">
            <w:pPr>
              <w:spacing w:before="181" w:line="219" w:lineRule="auto"/>
              <w:ind w:left="927"/>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2767238E">
            <w:pPr>
              <w:spacing w:before="181" w:line="220" w:lineRule="auto"/>
              <w:ind w:left="911"/>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498E0DE5">
            <w:pPr>
              <w:spacing w:line="350" w:lineRule="auto"/>
              <w:rPr>
                <w:rFonts w:ascii="Arial"/>
                <w:sz w:val="21"/>
              </w:rPr>
            </w:pPr>
          </w:p>
          <w:p w14:paraId="22F0C7FE">
            <w:pPr>
              <w:spacing w:before="78" w:line="220" w:lineRule="auto"/>
              <w:ind w:left="217"/>
              <w:rPr>
                <w:rFonts w:ascii="宋体" w:hAnsi="宋体" w:eastAsia="宋体" w:cs="宋体"/>
                <w:sz w:val="24"/>
                <w:szCs w:val="24"/>
              </w:rPr>
            </w:pPr>
            <w:r>
              <w:rPr>
                <w:rFonts w:ascii="宋体" w:hAnsi="宋体" w:eastAsia="宋体" w:cs="宋体"/>
                <w:b/>
                <w:bCs/>
                <w:spacing w:val="-5"/>
                <w:sz w:val="24"/>
                <w:szCs w:val="24"/>
              </w:rPr>
              <w:t>更改记录</w:t>
            </w:r>
          </w:p>
        </w:tc>
      </w:tr>
      <w:tr w14:paraId="0DB720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1CBB86E7">
            <w:pPr>
              <w:rPr>
                <w:rFonts w:ascii="Arial"/>
                <w:sz w:val="21"/>
              </w:rPr>
            </w:pPr>
          </w:p>
        </w:tc>
        <w:tc>
          <w:tcPr>
            <w:tcW w:w="881" w:type="dxa"/>
            <w:shd w:val="clear" w:color="auto" w:fill="D9D9D9"/>
          </w:tcPr>
          <w:p w14:paraId="00C6A189">
            <w:pPr>
              <w:spacing w:before="177" w:line="220" w:lineRule="auto"/>
              <w:ind w:left="191"/>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7BD821BA">
            <w:pPr>
              <w:spacing w:before="177" w:line="220" w:lineRule="auto"/>
              <w:ind w:left="430"/>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59ADA426">
            <w:pPr>
              <w:spacing w:before="177" w:line="220" w:lineRule="auto"/>
              <w:ind w:left="244"/>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586F5D2A">
            <w:pPr>
              <w:spacing w:before="177" w:line="220" w:lineRule="auto"/>
              <w:ind w:left="487"/>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25608334">
            <w:pPr>
              <w:spacing w:before="176" w:line="221" w:lineRule="auto"/>
              <w:ind w:left="268"/>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699F30A5">
            <w:pPr>
              <w:spacing w:before="177" w:line="220" w:lineRule="auto"/>
              <w:ind w:left="441"/>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40CB632">
            <w:pPr>
              <w:rPr>
                <w:rFonts w:ascii="Arial"/>
                <w:sz w:val="21"/>
              </w:rPr>
            </w:pPr>
          </w:p>
        </w:tc>
      </w:tr>
      <w:tr w14:paraId="4302B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41F2C8A8">
            <w:pPr>
              <w:pStyle w:val="27"/>
              <w:spacing w:before="230" w:line="237" w:lineRule="auto"/>
              <w:ind w:left="195"/>
            </w:pPr>
            <w:bookmarkStart w:id="25" w:name="_GoBack" w:colFirst="2" w:colLast="6"/>
            <w:r>
              <w:rPr>
                <w:spacing w:val="-1"/>
              </w:rPr>
              <w:t>V1.0</w:t>
            </w:r>
          </w:p>
        </w:tc>
        <w:tc>
          <w:tcPr>
            <w:tcW w:w="881" w:type="dxa"/>
          </w:tcPr>
          <w:p w14:paraId="65935158">
            <w:pPr>
              <w:pStyle w:val="27"/>
              <w:spacing w:before="230" w:line="219" w:lineRule="auto"/>
              <w:ind w:left="125"/>
            </w:pPr>
            <w:r>
              <w:rPr>
                <w:spacing w:val="-4"/>
              </w:rPr>
              <w:t>赵川华</w:t>
            </w:r>
          </w:p>
        </w:tc>
        <w:tc>
          <w:tcPr>
            <w:tcW w:w="1274" w:type="dxa"/>
            <w:vAlign w:val="top"/>
          </w:tcPr>
          <w:p w14:paraId="2038C79F">
            <w:pPr>
              <w:pStyle w:val="27"/>
              <w:spacing w:before="230" w:line="237" w:lineRule="auto"/>
              <w:ind w:left="104" w:leftChars="0"/>
              <w:rPr>
                <w:rFonts w:hint="default" w:eastAsia="宋体"/>
                <w:lang w:val="en-US" w:eastAsia="zh-CN"/>
              </w:rPr>
            </w:pPr>
            <w:r>
              <w:rPr>
                <w:spacing w:val="-1"/>
              </w:rPr>
              <w:t>202</w:t>
            </w:r>
            <w:r>
              <w:rPr>
                <w:rFonts w:hint="eastAsia"/>
                <w:spacing w:val="-1"/>
                <w:lang w:val="en-US" w:eastAsia="zh-CN"/>
              </w:rPr>
              <w:t>6</w:t>
            </w:r>
            <w:r>
              <w:rPr>
                <w:spacing w:val="-1"/>
              </w:rPr>
              <w:t>.</w:t>
            </w:r>
            <w:r>
              <w:rPr>
                <w:rFonts w:hint="eastAsia"/>
                <w:spacing w:val="-1"/>
                <w:lang w:val="en-US" w:eastAsia="zh-CN"/>
              </w:rPr>
              <w:t>1</w:t>
            </w:r>
            <w:r>
              <w:rPr>
                <w:spacing w:val="-1"/>
              </w:rPr>
              <w:t>.</w:t>
            </w:r>
            <w:r>
              <w:rPr>
                <w:rFonts w:hint="eastAsia"/>
                <w:spacing w:val="-1"/>
                <w:lang w:val="en-US" w:eastAsia="zh-CN"/>
              </w:rPr>
              <w:t>30</w:t>
            </w:r>
          </w:p>
        </w:tc>
        <w:tc>
          <w:tcPr>
            <w:tcW w:w="957" w:type="dxa"/>
            <w:vAlign w:val="top"/>
          </w:tcPr>
          <w:p w14:paraId="517D7C23">
            <w:pPr>
              <w:pStyle w:val="27"/>
              <w:spacing w:before="230" w:line="219" w:lineRule="auto"/>
              <w:ind w:left="168" w:leftChars="0"/>
            </w:pPr>
            <w:r>
              <w:rPr>
                <w:spacing w:val="-4"/>
              </w:rPr>
              <w:t>张智宏</w:t>
            </w:r>
          </w:p>
        </w:tc>
        <w:tc>
          <w:tcPr>
            <w:tcW w:w="1377" w:type="dxa"/>
            <w:shd w:val="clear" w:color="auto" w:fill="auto"/>
            <w:vAlign w:val="top"/>
          </w:tcPr>
          <w:p w14:paraId="675DB9B4">
            <w:pPr>
              <w:pStyle w:val="27"/>
              <w:spacing w:before="230" w:line="237" w:lineRule="auto"/>
              <w:ind w:left="104" w:leftChars="0"/>
              <w:rPr>
                <w:rFonts w:hint="default" w:ascii="宋体" w:hAnsi="宋体" w:eastAsia="宋体" w:cs="宋体"/>
                <w:snapToGrid w:val="0"/>
                <w:color w:val="000000"/>
                <w:kern w:val="0"/>
                <w:sz w:val="21"/>
                <w:szCs w:val="21"/>
                <w:lang w:val="en-US" w:eastAsia="zh-CN" w:bidi="ar-SA"/>
              </w:rPr>
            </w:pPr>
            <w:r>
              <w:rPr>
                <w:spacing w:val="-1"/>
              </w:rPr>
              <w:t>202</w:t>
            </w:r>
            <w:r>
              <w:rPr>
                <w:rFonts w:hint="eastAsia"/>
                <w:spacing w:val="-1"/>
                <w:lang w:val="en-US" w:eastAsia="zh-CN"/>
              </w:rPr>
              <w:t>6</w:t>
            </w:r>
            <w:r>
              <w:rPr>
                <w:spacing w:val="-1"/>
              </w:rPr>
              <w:t>.</w:t>
            </w:r>
            <w:r>
              <w:rPr>
                <w:rFonts w:hint="eastAsia"/>
                <w:spacing w:val="-1"/>
                <w:lang w:val="en-US" w:eastAsia="zh-CN"/>
              </w:rPr>
              <w:t>1</w:t>
            </w:r>
            <w:r>
              <w:rPr>
                <w:spacing w:val="-1"/>
              </w:rPr>
              <w:t>.</w:t>
            </w:r>
            <w:r>
              <w:rPr>
                <w:rFonts w:hint="eastAsia"/>
                <w:spacing w:val="-1"/>
                <w:lang w:val="en-US" w:eastAsia="zh-CN"/>
              </w:rPr>
              <w:t>30</w:t>
            </w:r>
          </w:p>
        </w:tc>
        <w:tc>
          <w:tcPr>
            <w:tcW w:w="1017" w:type="dxa"/>
            <w:vAlign w:val="top"/>
          </w:tcPr>
          <w:p w14:paraId="57CD5481">
            <w:pPr>
              <w:pStyle w:val="27"/>
              <w:spacing w:before="230" w:line="220" w:lineRule="auto"/>
              <w:ind w:left="202" w:leftChars="0"/>
            </w:pPr>
            <w:r>
              <w:rPr>
                <w:spacing w:val="-3"/>
              </w:rPr>
              <w:t>陈垒</w:t>
            </w:r>
          </w:p>
        </w:tc>
        <w:tc>
          <w:tcPr>
            <w:tcW w:w="1271" w:type="dxa"/>
            <w:shd w:val="clear" w:color="auto" w:fill="auto"/>
            <w:vAlign w:val="top"/>
          </w:tcPr>
          <w:p w14:paraId="4E858326">
            <w:pPr>
              <w:pStyle w:val="27"/>
              <w:spacing w:before="230" w:line="237" w:lineRule="auto"/>
              <w:ind w:left="104" w:leftChars="0"/>
              <w:rPr>
                <w:rFonts w:hint="default" w:ascii="宋体" w:hAnsi="宋体" w:eastAsia="宋体" w:cs="宋体"/>
                <w:snapToGrid w:val="0"/>
                <w:color w:val="000000"/>
                <w:kern w:val="0"/>
                <w:sz w:val="21"/>
                <w:szCs w:val="21"/>
                <w:lang w:val="en-US" w:eastAsia="zh-CN" w:bidi="ar-SA"/>
              </w:rPr>
            </w:pPr>
            <w:r>
              <w:rPr>
                <w:spacing w:val="-1"/>
              </w:rPr>
              <w:t>202</w:t>
            </w:r>
            <w:r>
              <w:rPr>
                <w:rFonts w:hint="eastAsia"/>
                <w:spacing w:val="-1"/>
                <w:lang w:val="en-US" w:eastAsia="zh-CN"/>
              </w:rPr>
              <w:t>6</w:t>
            </w:r>
            <w:r>
              <w:rPr>
                <w:spacing w:val="-1"/>
              </w:rPr>
              <w:t>.</w:t>
            </w:r>
            <w:r>
              <w:rPr>
                <w:rFonts w:hint="eastAsia"/>
                <w:spacing w:val="-1"/>
                <w:lang w:val="en-US" w:eastAsia="zh-CN"/>
              </w:rPr>
              <w:t>1</w:t>
            </w:r>
            <w:r>
              <w:rPr>
                <w:spacing w:val="-1"/>
              </w:rPr>
              <w:t>.</w:t>
            </w:r>
            <w:r>
              <w:rPr>
                <w:rFonts w:hint="eastAsia"/>
                <w:spacing w:val="-1"/>
                <w:lang w:val="en-US" w:eastAsia="zh-CN"/>
              </w:rPr>
              <w:t>30</w:t>
            </w:r>
          </w:p>
        </w:tc>
        <w:tc>
          <w:tcPr>
            <w:tcW w:w="1383" w:type="dxa"/>
            <w:tcBorders>
              <w:right w:val="single" w:color="000000" w:sz="10" w:space="0"/>
            </w:tcBorders>
          </w:tcPr>
          <w:p w14:paraId="23C9A9E8">
            <w:pPr>
              <w:pStyle w:val="27"/>
              <w:spacing w:before="230" w:line="217" w:lineRule="auto"/>
              <w:ind w:left="341"/>
            </w:pPr>
            <w:r>
              <w:rPr>
                <w:spacing w:val="-5"/>
              </w:rPr>
              <w:t>首次发布</w:t>
            </w:r>
          </w:p>
        </w:tc>
      </w:tr>
      <w:bookmarkEnd w:id="25"/>
      <w:tr w14:paraId="0F2C32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40C86B5F">
            <w:pPr>
              <w:pStyle w:val="27"/>
              <w:spacing w:before="152" w:line="237" w:lineRule="auto"/>
              <w:ind w:left="195"/>
            </w:pPr>
          </w:p>
        </w:tc>
        <w:tc>
          <w:tcPr>
            <w:tcW w:w="881" w:type="dxa"/>
          </w:tcPr>
          <w:p w14:paraId="566E1BB2">
            <w:pPr>
              <w:pStyle w:val="27"/>
              <w:spacing w:before="152" w:line="219" w:lineRule="auto"/>
              <w:ind w:left="125"/>
            </w:pPr>
          </w:p>
        </w:tc>
        <w:tc>
          <w:tcPr>
            <w:tcW w:w="1274" w:type="dxa"/>
          </w:tcPr>
          <w:p w14:paraId="67372354">
            <w:pPr>
              <w:pStyle w:val="27"/>
              <w:spacing w:before="152" w:line="237" w:lineRule="auto"/>
              <w:ind w:left="210"/>
            </w:pPr>
          </w:p>
        </w:tc>
        <w:tc>
          <w:tcPr>
            <w:tcW w:w="957" w:type="dxa"/>
          </w:tcPr>
          <w:p w14:paraId="36EDECE9">
            <w:pPr>
              <w:pStyle w:val="27"/>
              <w:spacing w:before="152" w:line="219" w:lineRule="auto"/>
              <w:ind w:left="168"/>
            </w:pPr>
          </w:p>
        </w:tc>
        <w:tc>
          <w:tcPr>
            <w:tcW w:w="1377" w:type="dxa"/>
          </w:tcPr>
          <w:p w14:paraId="0ACEAC3F">
            <w:pPr>
              <w:pStyle w:val="27"/>
              <w:spacing w:before="152" w:line="237" w:lineRule="auto"/>
              <w:ind w:left="267"/>
            </w:pPr>
          </w:p>
        </w:tc>
        <w:tc>
          <w:tcPr>
            <w:tcW w:w="1017" w:type="dxa"/>
          </w:tcPr>
          <w:p w14:paraId="14F4DE36">
            <w:pPr>
              <w:pStyle w:val="27"/>
              <w:spacing w:before="152" w:line="220" w:lineRule="auto"/>
              <w:ind w:left="202"/>
            </w:pPr>
          </w:p>
        </w:tc>
        <w:tc>
          <w:tcPr>
            <w:tcW w:w="1271" w:type="dxa"/>
          </w:tcPr>
          <w:p w14:paraId="272997C4">
            <w:pPr>
              <w:pStyle w:val="27"/>
              <w:spacing w:before="152" w:line="237" w:lineRule="auto"/>
              <w:ind w:left="220"/>
            </w:pPr>
          </w:p>
        </w:tc>
        <w:tc>
          <w:tcPr>
            <w:tcW w:w="1383" w:type="dxa"/>
            <w:tcBorders>
              <w:right w:val="single" w:color="000000" w:sz="10" w:space="0"/>
            </w:tcBorders>
          </w:tcPr>
          <w:p w14:paraId="5BF51BD2">
            <w:pPr>
              <w:pStyle w:val="27"/>
              <w:spacing w:before="152" w:line="219" w:lineRule="auto"/>
              <w:ind w:left="436"/>
            </w:pPr>
          </w:p>
        </w:tc>
      </w:tr>
      <w:tr w14:paraId="1619BF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12074154">
            <w:pPr>
              <w:pStyle w:val="27"/>
              <w:spacing w:before="157" w:line="237" w:lineRule="auto"/>
              <w:ind w:left="195"/>
            </w:pPr>
          </w:p>
        </w:tc>
        <w:tc>
          <w:tcPr>
            <w:tcW w:w="881" w:type="dxa"/>
            <w:tcBorders>
              <w:bottom w:val="single" w:color="000000" w:sz="10" w:space="0"/>
            </w:tcBorders>
          </w:tcPr>
          <w:p w14:paraId="43F04406">
            <w:pPr>
              <w:pStyle w:val="27"/>
              <w:spacing w:before="157" w:line="219" w:lineRule="auto"/>
              <w:ind w:left="125"/>
            </w:pPr>
          </w:p>
        </w:tc>
        <w:tc>
          <w:tcPr>
            <w:tcW w:w="1274" w:type="dxa"/>
            <w:tcBorders>
              <w:bottom w:val="single" w:color="000000" w:sz="10" w:space="0"/>
            </w:tcBorders>
          </w:tcPr>
          <w:p w14:paraId="434353A8">
            <w:pPr>
              <w:pStyle w:val="27"/>
              <w:spacing w:before="157" w:line="237" w:lineRule="auto"/>
              <w:ind w:left="210"/>
            </w:pPr>
          </w:p>
        </w:tc>
        <w:tc>
          <w:tcPr>
            <w:tcW w:w="957" w:type="dxa"/>
            <w:tcBorders>
              <w:bottom w:val="single" w:color="000000" w:sz="10" w:space="0"/>
            </w:tcBorders>
          </w:tcPr>
          <w:p w14:paraId="20581CA0">
            <w:pPr>
              <w:pStyle w:val="27"/>
              <w:spacing w:before="157" w:line="218" w:lineRule="auto"/>
              <w:ind w:left="164"/>
            </w:pPr>
          </w:p>
        </w:tc>
        <w:tc>
          <w:tcPr>
            <w:tcW w:w="1377" w:type="dxa"/>
            <w:tcBorders>
              <w:bottom w:val="single" w:color="000000" w:sz="10" w:space="0"/>
            </w:tcBorders>
          </w:tcPr>
          <w:p w14:paraId="58F78170">
            <w:pPr>
              <w:pStyle w:val="27"/>
              <w:spacing w:before="157" w:line="237" w:lineRule="auto"/>
              <w:ind w:left="267"/>
            </w:pPr>
          </w:p>
        </w:tc>
        <w:tc>
          <w:tcPr>
            <w:tcW w:w="1017" w:type="dxa"/>
            <w:tcBorders>
              <w:bottom w:val="single" w:color="000000" w:sz="10" w:space="0"/>
            </w:tcBorders>
          </w:tcPr>
          <w:p w14:paraId="0796CCFB">
            <w:pPr>
              <w:pStyle w:val="27"/>
              <w:spacing w:before="157" w:line="220" w:lineRule="auto"/>
              <w:ind w:left="202"/>
            </w:pPr>
          </w:p>
        </w:tc>
        <w:tc>
          <w:tcPr>
            <w:tcW w:w="1271" w:type="dxa"/>
            <w:tcBorders>
              <w:bottom w:val="single" w:color="000000" w:sz="10" w:space="0"/>
            </w:tcBorders>
          </w:tcPr>
          <w:p w14:paraId="1D34C8D9">
            <w:pPr>
              <w:pStyle w:val="27"/>
              <w:spacing w:before="157" w:line="237" w:lineRule="auto"/>
              <w:ind w:left="220"/>
            </w:pPr>
          </w:p>
        </w:tc>
        <w:tc>
          <w:tcPr>
            <w:tcW w:w="1383" w:type="dxa"/>
            <w:tcBorders>
              <w:bottom w:val="single" w:color="000000" w:sz="10" w:space="0"/>
              <w:right w:val="single" w:color="000000" w:sz="10" w:space="0"/>
            </w:tcBorders>
          </w:tcPr>
          <w:p w14:paraId="6AA57E87">
            <w:pPr>
              <w:pStyle w:val="27"/>
              <w:spacing w:before="157" w:line="219" w:lineRule="auto"/>
              <w:ind w:left="436"/>
            </w:pPr>
          </w:p>
        </w:tc>
      </w:tr>
    </w:tbl>
    <w:p w14:paraId="5539111C">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76803"/>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3617ED7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BFA65AB">
          <w:pPr>
            <w:pStyle w:val="16"/>
            <w:tabs>
              <w:tab w:val="right" w:leader="dot" w:pos="8306"/>
            </w:tabs>
          </w:pPr>
          <w:r>
            <w:fldChar w:fldCharType="begin"/>
          </w:r>
          <w:r>
            <w:instrText xml:space="preserve">TOC \o "1-3" \h \u </w:instrText>
          </w:r>
          <w:r>
            <w:fldChar w:fldCharType="separate"/>
          </w:r>
          <w:r>
            <w:fldChar w:fldCharType="begin"/>
          </w:r>
          <w:r>
            <w:instrText xml:space="preserve"> HYPERLINK \l _Toc32223 </w:instrText>
          </w:r>
          <w:r>
            <w:fldChar w:fldCharType="separate"/>
          </w:r>
          <w:r>
            <w:rPr>
              <w:rFonts w:hint="eastAsia"/>
              <w:lang w:val="en-US" w:eastAsia="zh-CN"/>
            </w:rPr>
            <w:t>天津市华夏电缆有限公司</w:t>
          </w:r>
          <w:r>
            <w:tab/>
          </w:r>
          <w:r>
            <w:fldChar w:fldCharType="begin"/>
          </w:r>
          <w:r>
            <w:instrText xml:space="preserve"> PAGEREF _Toc32223 \h </w:instrText>
          </w:r>
          <w:r>
            <w:fldChar w:fldCharType="separate"/>
          </w:r>
          <w:r>
            <w:t>1</w:t>
          </w:r>
          <w:r>
            <w:fldChar w:fldCharType="end"/>
          </w:r>
          <w:r>
            <w:fldChar w:fldCharType="end"/>
          </w:r>
        </w:p>
        <w:p w14:paraId="7604DCA5">
          <w:pPr>
            <w:pStyle w:val="16"/>
            <w:tabs>
              <w:tab w:val="right" w:leader="dot" w:pos="8306"/>
            </w:tabs>
          </w:pPr>
          <w:r>
            <w:fldChar w:fldCharType="begin"/>
          </w:r>
          <w:r>
            <w:instrText xml:space="preserve"> HYPERLINK \l _Toc24825 </w:instrText>
          </w:r>
          <w:r>
            <w:fldChar w:fldCharType="separate"/>
          </w:r>
          <w:r>
            <w:rPr>
              <w:rFonts w:hint="eastAsia"/>
              <w:lang w:val="en-US" w:eastAsia="zh-CN"/>
            </w:rPr>
            <w:t>曲靖供电局110kV变电站电力监控系统网络安全态势感知系统建设-项目阶段性总结报告（HXDL-ITSS-0904）</w:t>
          </w:r>
          <w:r>
            <w:tab/>
          </w:r>
          <w:r>
            <w:fldChar w:fldCharType="begin"/>
          </w:r>
          <w:r>
            <w:instrText xml:space="preserve"> PAGEREF _Toc24825 \h </w:instrText>
          </w:r>
          <w:r>
            <w:fldChar w:fldCharType="separate"/>
          </w:r>
          <w:r>
            <w:t>1</w:t>
          </w:r>
          <w:r>
            <w:fldChar w:fldCharType="end"/>
          </w:r>
          <w:r>
            <w:fldChar w:fldCharType="end"/>
          </w:r>
        </w:p>
        <w:p w14:paraId="0CA66BB2">
          <w:pPr>
            <w:pStyle w:val="16"/>
            <w:tabs>
              <w:tab w:val="right" w:leader="dot" w:pos="8306"/>
            </w:tabs>
          </w:pPr>
          <w:r>
            <w:fldChar w:fldCharType="begin"/>
          </w:r>
          <w:r>
            <w:instrText xml:space="preserve"> HYPERLINK \l _Toc5357 </w:instrText>
          </w:r>
          <w:r>
            <w:fldChar w:fldCharType="separate"/>
          </w:r>
          <w:r>
            <w:rPr>
              <w:rFonts w:ascii="宋体" w:hAnsi="宋体" w:eastAsia="宋体" w:cs="宋体"/>
              <w:bCs/>
              <w:spacing w:val="-4"/>
              <w:szCs w:val="30"/>
            </w:rPr>
            <w:t>文件编制和变更履历</w:t>
          </w:r>
          <w:r>
            <w:tab/>
          </w:r>
          <w:r>
            <w:fldChar w:fldCharType="begin"/>
          </w:r>
          <w:r>
            <w:instrText xml:space="preserve"> PAGEREF _Toc5357 \h </w:instrText>
          </w:r>
          <w:r>
            <w:fldChar w:fldCharType="separate"/>
          </w:r>
          <w:r>
            <w:t>2</w:t>
          </w:r>
          <w:r>
            <w:fldChar w:fldCharType="end"/>
          </w:r>
          <w:r>
            <w:fldChar w:fldCharType="end"/>
          </w:r>
        </w:p>
        <w:p w14:paraId="28BCFFFF">
          <w:pPr>
            <w:pStyle w:val="16"/>
            <w:tabs>
              <w:tab w:val="right" w:leader="dot" w:pos="8306"/>
            </w:tabs>
          </w:pPr>
          <w:r>
            <w:fldChar w:fldCharType="begin"/>
          </w:r>
          <w:r>
            <w:instrText xml:space="preserve"> HYPERLINK \l _Toc26940 </w:instrText>
          </w:r>
          <w:r>
            <w:fldChar w:fldCharType="separate"/>
          </w:r>
          <w:r>
            <w:rPr>
              <w:rFonts w:hint="default"/>
            </w:rPr>
            <w:t xml:space="preserve">1. </w:t>
          </w:r>
          <w:r>
            <w:rPr>
              <w:rFonts w:hint="eastAsia"/>
            </w:rPr>
            <w:t>项目概况</w:t>
          </w:r>
          <w:r>
            <w:tab/>
          </w:r>
          <w:r>
            <w:fldChar w:fldCharType="begin"/>
          </w:r>
          <w:r>
            <w:instrText xml:space="preserve"> PAGEREF _Toc26940 \h </w:instrText>
          </w:r>
          <w:r>
            <w:fldChar w:fldCharType="separate"/>
          </w:r>
          <w:r>
            <w:t>4</w:t>
          </w:r>
          <w:r>
            <w:fldChar w:fldCharType="end"/>
          </w:r>
          <w:r>
            <w:fldChar w:fldCharType="end"/>
          </w:r>
        </w:p>
        <w:p w14:paraId="6A6E75CB">
          <w:pPr>
            <w:pStyle w:val="16"/>
            <w:tabs>
              <w:tab w:val="right" w:leader="dot" w:pos="8306"/>
            </w:tabs>
          </w:pPr>
          <w:r>
            <w:fldChar w:fldCharType="begin"/>
          </w:r>
          <w:r>
            <w:instrText xml:space="preserve"> HYPERLINK \l _Toc17404 </w:instrText>
          </w:r>
          <w:r>
            <w:fldChar w:fldCharType="separate"/>
          </w:r>
          <w:r>
            <w:rPr>
              <w:rFonts w:hint="default"/>
            </w:rPr>
            <w:t xml:space="preserve">2. </w:t>
          </w:r>
          <w:r>
            <w:rPr>
              <w:rFonts w:hint="eastAsia"/>
            </w:rPr>
            <w:t>总体进展概述</w:t>
          </w:r>
          <w:r>
            <w:tab/>
          </w:r>
          <w:r>
            <w:fldChar w:fldCharType="begin"/>
          </w:r>
          <w:r>
            <w:instrText xml:space="preserve"> PAGEREF _Toc17404 \h </w:instrText>
          </w:r>
          <w:r>
            <w:fldChar w:fldCharType="separate"/>
          </w:r>
          <w:r>
            <w:t>4</w:t>
          </w:r>
          <w:r>
            <w:fldChar w:fldCharType="end"/>
          </w:r>
          <w:r>
            <w:fldChar w:fldCharType="end"/>
          </w:r>
        </w:p>
        <w:p w14:paraId="08DCF480">
          <w:pPr>
            <w:pStyle w:val="16"/>
            <w:tabs>
              <w:tab w:val="right" w:leader="dot" w:pos="8306"/>
            </w:tabs>
          </w:pPr>
          <w:r>
            <w:fldChar w:fldCharType="begin"/>
          </w:r>
          <w:r>
            <w:instrText xml:space="preserve"> HYPERLINK \l _Toc29738 </w:instrText>
          </w:r>
          <w:r>
            <w:fldChar w:fldCharType="separate"/>
          </w:r>
          <w:r>
            <w:rPr>
              <w:rFonts w:hint="default"/>
            </w:rPr>
            <w:t xml:space="preserve">3. </w:t>
          </w:r>
          <w:r>
            <w:rPr>
              <w:rFonts w:hint="eastAsia"/>
            </w:rPr>
            <w:t>各阶段完成情况详述</w:t>
          </w:r>
          <w:r>
            <w:tab/>
          </w:r>
          <w:r>
            <w:fldChar w:fldCharType="begin"/>
          </w:r>
          <w:r>
            <w:instrText xml:space="preserve"> PAGEREF _Toc29738 \h </w:instrText>
          </w:r>
          <w:r>
            <w:fldChar w:fldCharType="separate"/>
          </w:r>
          <w:r>
            <w:t>5</w:t>
          </w:r>
          <w:r>
            <w:fldChar w:fldCharType="end"/>
          </w:r>
          <w:r>
            <w:fldChar w:fldCharType="end"/>
          </w:r>
        </w:p>
        <w:p w14:paraId="3905F06E">
          <w:pPr>
            <w:pStyle w:val="17"/>
            <w:tabs>
              <w:tab w:val="right" w:leader="dot" w:pos="8306"/>
            </w:tabs>
          </w:pPr>
          <w:r>
            <w:fldChar w:fldCharType="begin"/>
          </w:r>
          <w:r>
            <w:instrText xml:space="preserve"> HYPERLINK \l _Toc3075 </w:instrText>
          </w:r>
          <w:r>
            <w:fldChar w:fldCharType="separate"/>
          </w:r>
          <w:r>
            <w:rPr>
              <w:rFonts w:hint="default"/>
            </w:rPr>
            <w:t xml:space="preserve">3.1. </w:t>
          </w:r>
          <w:r>
            <w:rPr>
              <w:rFonts w:hint="eastAsia"/>
            </w:rPr>
            <w:t>第一阶段：项目启动与蓝图设计（2025.08 - 2025.09）</w:t>
          </w:r>
          <w:r>
            <w:tab/>
          </w:r>
          <w:r>
            <w:fldChar w:fldCharType="begin"/>
          </w:r>
          <w:r>
            <w:instrText xml:space="preserve"> PAGEREF _Toc3075 \h </w:instrText>
          </w:r>
          <w:r>
            <w:fldChar w:fldCharType="separate"/>
          </w:r>
          <w:r>
            <w:t>5</w:t>
          </w:r>
          <w:r>
            <w:fldChar w:fldCharType="end"/>
          </w:r>
          <w:r>
            <w:fldChar w:fldCharType="end"/>
          </w:r>
        </w:p>
        <w:p w14:paraId="280C730C">
          <w:pPr>
            <w:pStyle w:val="13"/>
            <w:tabs>
              <w:tab w:val="right" w:leader="dot" w:pos="8306"/>
            </w:tabs>
          </w:pPr>
          <w:r>
            <w:fldChar w:fldCharType="begin"/>
          </w:r>
          <w:r>
            <w:instrText xml:space="preserve"> HYPERLINK \l _Toc20029 </w:instrText>
          </w:r>
          <w:r>
            <w:fldChar w:fldCharType="separate"/>
          </w:r>
          <w:r>
            <w:rPr>
              <w:rFonts w:hint="default"/>
            </w:rPr>
            <w:t xml:space="preserve">3.1.1. </w:t>
          </w:r>
          <w:r>
            <w:rPr>
              <w:rFonts w:hint="eastAsia"/>
            </w:rPr>
            <w:t>主要完成工作</w:t>
          </w:r>
          <w:r>
            <w:tab/>
          </w:r>
          <w:r>
            <w:fldChar w:fldCharType="begin"/>
          </w:r>
          <w:r>
            <w:instrText xml:space="preserve"> PAGEREF _Toc20029 \h </w:instrText>
          </w:r>
          <w:r>
            <w:fldChar w:fldCharType="separate"/>
          </w:r>
          <w:r>
            <w:t>5</w:t>
          </w:r>
          <w:r>
            <w:fldChar w:fldCharType="end"/>
          </w:r>
          <w:r>
            <w:fldChar w:fldCharType="end"/>
          </w:r>
        </w:p>
        <w:p w14:paraId="5734172E">
          <w:pPr>
            <w:pStyle w:val="13"/>
            <w:tabs>
              <w:tab w:val="right" w:leader="dot" w:pos="8306"/>
            </w:tabs>
          </w:pPr>
          <w:r>
            <w:fldChar w:fldCharType="begin"/>
          </w:r>
          <w:r>
            <w:instrText xml:space="preserve"> HYPERLINK \l _Toc8562 </w:instrText>
          </w:r>
          <w:r>
            <w:fldChar w:fldCharType="separate"/>
          </w:r>
          <w:r>
            <w:rPr>
              <w:rFonts w:hint="default"/>
            </w:rPr>
            <w:t xml:space="preserve">3.1.2. </w:t>
          </w:r>
          <w:r>
            <w:rPr>
              <w:rFonts w:hint="eastAsia"/>
            </w:rPr>
            <w:t>关键交付物</w:t>
          </w:r>
          <w:r>
            <w:tab/>
          </w:r>
          <w:r>
            <w:fldChar w:fldCharType="begin"/>
          </w:r>
          <w:r>
            <w:instrText xml:space="preserve"> PAGEREF _Toc8562 \h </w:instrText>
          </w:r>
          <w:r>
            <w:fldChar w:fldCharType="separate"/>
          </w:r>
          <w:r>
            <w:t>5</w:t>
          </w:r>
          <w:r>
            <w:fldChar w:fldCharType="end"/>
          </w:r>
          <w:r>
            <w:fldChar w:fldCharType="end"/>
          </w:r>
        </w:p>
        <w:p w14:paraId="1BC5E011">
          <w:pPr>
            <w:pStyle w:val="17"/>
            <w:tabs>
              <w:tab w:val="right" w:leader="dot" w:pos="8306"/>
            </w:tabs>
          </w:pPr>
          <w:r>
            <w:fldChar w:fldCharType="begin"/>
          </w:r>
          <w:r>
            <w:instrText xml:space="preserve"> HYPERLINK \l _Toc29846 </w:instrText>
          </w:r>
          <w:r>
            <w:fldChar w:fldCharType="separate"/>
          </w:r>
          <w:r>
            <w:rPr>
              <w:rFonts w:hint="default"/>
            </w:rPr>
            <w:t xml:space="preserve">3.2. </w:t>
          </w:r>
          <w:r>
            <w:rPr>
              <w:rFonts w:hint="eastAsia"/>
            </w:rPr>
            <w:t>第二阶段：平台搭建与数据接入（2025.10 - 2025.12）</w:t>
          </w:r>
          <w:r>
            <w:tab/>
          </w:r>
          <w:r>
            <w:fldChar w:fldCharType="begin"/>
          </w:r>
          <w:r>
            <w:instrText xml:space="preserve"> PAGEREF _Toc29846 \h </w:instrText>
          </w:r>
          <w:r>
            <w:fldChar w:fldCharType="separate"/>
          </w:r>
          <w:r>
            <w:t>5</w:t>
          </w:r>
          <w:r>
            <w:fldChar w:fldCharType="end"/>
          </w:r>
          <w:r>
            <w:fldChar w:fldCharType="end"/>
          </w:r>
        </w:p>
        <w:p w14:paraId="5B79DE68">
          <w:pPr>
            <w:pStyle w:val="13"/>
            <w:tabs>
              <w:tab w:val="right" w:leader="dot" w:pos="8306"/>
            </w:tabs>
          </w:pPr>
          <w:r>
            <w:fldChar w:fldCharType="begin"/>
          </w:r>
          <w:r>
            <w:instrText xml:space="preserve"> HYPERLINK \l _Toc1422 </w:instrText>
          </w:r>
          <w:r>
            <w:fldChar w:fldCharType="separate"/>
          </w:r>
          <w:r>
            <w:rPr>
              <w:rFonts w:hint="default"/>
            </w:rPr>
            <w:t xml:space="preserve">3.2.1. </w:t>
          </w:r>
          <w:r>
            <w:rPr>
              <w:rFonts w:hint="eastAsia"/>
            </w:rPr>
            <w:t>主要完成工作</w:t>
          </w:r>
          <w:r>
            <w:tab/>
          </w:r>
          <w:r>
            <w:fldChar w:fldCharType="begin"/>
          </w:r>
          <w:r>
            <w:instrText xml:space="preserve"> PAGEREF _Toc1422 \h </w:instrText>
          </w:r>
          <w:r>
            <w:fldChar w:fldCharType="separate"/>
          </w:r>
          <w:r>
            <w:t>5</w:t>
          </w:r>
          <w:r>
            <w:fldChar w:fldCharType="end"/>
          </w:r>
          <w:r>
            <w:fldChar w:fldCharType="end"/>
          </w:r>
        </w:p>
        <w:p w14:paraId="7BF61F01">
          <w:pPr>
            <w:pStyle w:val="13"/>
            <w:tabs>
              <w:tab w:val="right" w:leader="dot" w:pos="8306"/>
            </w:tabs>
          </w:pPr>
          <w:r>
            <w:fldChar w:fldCharType="begin"/>
          </w:r>
          <w:r>
            <w:instrText xml:space="preserve"> HYPERLINK \l _Toc8556 </w:instrText>
          </w:r>
          <w:r>
            <w:fldChar w:fldCharType="separate"/>
          </w:r>
          <w:r>
            <w:rPr>
              <w:rFonts w:hint="default"/>
            </w:rPr>
            <w:t xml:space="preserve">3.2.2. </w:t>
          </w:r>
          <w:r>
            <w:rPr>
              <w:rFonts w:hint="eastAsia"/>
            </w:rPr>
            <w:t>关键交付物</w:t>
          </w:r>
          <w:r>
            <w:tab/>
          </w:r>
          <w:r>
            <w:fldChar w:fldCharType="begin"/>
          </w:r>
          <w:r>
            <w:instrText xml:space="preserve"> PAGEREF _Toc8556 \h </w:instrText>
          </w:r>
          <w:r>
            <w:fldChar w:fldCharType="separate"/>
          </w:r>
          <w:r>
            <w:t>6</w:t>
          </w:r>
          <w:r>
            <w:fldChar w:fldCharType="end"/>
          </w:r>
          <w:r>
            <w:fldChar w:fldCharType="end"/>
          </w:r>
        </w:p>
        <w:p w14:paraId="7C727A51">
          <w:pPr>
            <w:pStyle w:val="17"/>
            <w:tabs>
              <w:tab w:val="right" w:leader="dot" w:pos="8306"/>
            </w:tabs>
          </w:pPr>
          <w:r>
            <w:fldChar w:fldCharType="begin"/>
          </w:r>
          <w:r>
            <w:instrText xml:space="preserve"> HYPERLINK \l _Toc22443 </w:instrText>
          </w:r>
          <w:r>
            <w:fldChar w:fldCharType="separate"/>
          </w:r>
          <w:r>
            <w:rPr>
              <w:rFonts w:hint="default"/>
            </w:rPr>
            <w:t xml:space="preserve">3.3. </w:t>
          </w:r>
          <w:r>
            <w:rPr>
              <w:rFonts w:hint="eastAsia"/>
            </w:rPr>
            <w:t>第三阶段：功能实现与策略优化（2026.01.02 - 2026.01.30）</w:t>
          </w:r>
          <w:r>
            <w:tab/>
          </w:r>
          <w:r>
            <w:fldChar w:fldCharType="begin"/>
          </w:r>
          <w:r>
            <w:instrText xml:space="preserve"> PAGEREF _Toc22443 \h </w:instrText>
          </w:r>
          <w:r>
            <w:fldChar w:fldCharType="separate"/>
          </w:r>
          <w:r>
            <w:t>6</w:t>
          </w:r>
          <w:r>
            <w:fldChar w:fldCharType="end"/>
          </w:r>
          <w:r>
            <w:fldChar w:fldCharType="end"/>
          </w:r>
        </w:p>
        <w:p w14:paraId="4957CEB2">
          <w:pPr>
            <w:pStyle w:val="13"/>
            <w:tabs>
              <w:tab w:val="right" w:leader="dot" w:pos="8306"/>
            </w:tabs>
          </w:pPr>
          <w:r>
            <w:fldChar w:fldCharType="begin"/>
          </w:r>
          <w:r>
            <w:instrText xml:space="preserve"> HYPERLINK \l _Toc29910 </w:instrText>
          </w:r>
          <w:r>
            <w:fldChar w:fldCharType="separate"/>
          </w:r>
          <w:r>
            <w:rPr>
              <w:rFonts w:hint="default"/>
            </w:rPr>
            <w:t xml:space="preserve">3.3.1. </w:t>
          </w:r>
          <w:r>
            <w:rPr>
              <w:rFonts w:hint="eastAsia"/>
            </w:rPr>
            <w:t>主要完成工作</w:t>
          </w:r>
          <w:r>
            <w:tab/>
          </w:r>
          <w:r>
            <w:fldChar w:fldCharType="begin"/>
          </w:r>
          <w:r>
            <w:instrText xml:space="preserve"> PAGEREF _Toc29910 \h </w:instrText>
          </w:r>
          <w:r>
            <w:fldChar w:fldCharType="separate"/>
          </w:r>
          <w:r>
            <w:t>6</w:t>
          </w:r>
          <w:r>
            <w:fldChar w:fldCharType="end"/>
          </w:r>
          <w:r>
            <w:fldChar w:fldCharType="end"/>
          </w:r>
        </w:p>
        <w:p w14:paraId="48BA7D69">
          <w:pPr>
            <w:pStyle w:val="13"/>
            <w:tabs>
              <w:tab w:val="right" w:leader="dot" w:pos="8306"/>
            </w:tabs>
          </w:pPr>
          <w:r>
            <w:fldChar w:fldCharType="begin"/>
          </w:r>
          <w:r>
            <w:instrText xml:space="preserve"> HYPERLINK \l _Toc1363 </w:instrText>
          </w:r>
          <w:r>
            <w:fldChar w:fldCharType="separate"/>
          </w:r>
          <w:r>
            <w:rPr>
              <w:rFonts w:hint="default"/>
            </w:rPr>
            <w:t xml:space="preserve">3.3.2. </w:t>
          </w:r>
          <w:r>
            <w:rPr>
              <w:rFonts w:hint="eastAsia"/>
            </w:rPr>
            <w:t>关键交付物</w:t>
          </w:r>
          <w:r>
            <w:tab/>
          </w:r>
          <w:r>
            <w:fldChar w:fldCharType="begin"/>
          </w:r>
          <w:r>
            <w:instrText xml:space="preserve"> PAGEREF _Toc1363 \h </w:instrText>
          </w:r>
          <w:r>
            <w:fldChar w:fldCharType="separate"/>
          </w:r>
          <w:r>
            <w:t>6</w:t>
          </w:r>
          <w:r>
            <w:fldChar w:fldCharType="end"/>
          </w:r>
          <w:r>
            <w:fldChar w:fldCharType="end"/>
          </w:r>
        </w:p>
        <w:p w14:paraId="7BA5C124">
          <w:pPr>
            <w:pStyle w:val="16"/>
            <w:tabs>
              <w:tab w:val="right" w:leader="dot" w:pos="8306"/>
            </w:tabs>
          </w:pPr>
          <w:r>
            <w:fldChar w:fldCharType="begin"/>
          </w:r>
          <w:r>
            <w:instrText xml:space="preserve"> HYPERLINK \l _Toc25809 </w:instrText>
          </w:r>
          <w:r>
            <w:fldChar w:fldCharType="separate"/>
          </w:r>
          <w:r>
            <w:rPr>
              <w:rFonts w:hint="default"/>
            </w:rPr>
            <w:t xml:space="preserve">4. </w:t>
          </w:r>
          <w:r>
            <w:rPr>
              <w:rFonts w:hint="eastAsia"/>
            </w:rPr>
            <w:t>关键指标达成情况（截至</w:t>
          </w:r>
          <w:r>
            <w:rPr>
              <w:rFonts w:hint="eastAsia"/>
              <w:lang w:val="en-US" w:eastAsia="zh-CN"/>
            </w:rPr>
            <w:t>目前</w:t>
          </w:r>
          <w:r>
            <w:rPr>
              <w:rFonts w:hint="eastAsia"/>
            </w:rPr>
            <w:t>）</w:t>
          </w:r>
          <w:r>
            <w:tab/>
          </w:r>
          <w:r>
            <w:fldChar w:fldCharType="begin"/>
          </w:r>
          <w:r>
            <w:instrText xml:space="preserve"> PAGEREF _Toc25809 \h </w:instrText>
          </w:r>
          <w:r>
            <w:fldChar w:fldCharType="separate"/>
          </w:r>
          <w:r>
            <w:t>6</w:t>
          </w:r>
          <w:r>
            <w:fldChar w:fldCharType="end"/>
          </w:r>
          <w:r>
            <w:fldChar w:fldCharType="end"/>
          </w:r>
        </w:p>
        <w:p w14:paraId="5198AD8A">
          <w:pPr>
            <w:pStyle w:val="16"/>
            <w:tabs>
              <w:tab w:val="right" w:leader="dot" w:pos="8306"/>
            </w:tabs>
          </w:pPr>
          <w:r>
            <w:fldChar w:fldCharType="begin"/>
          </w:r>
          <w:r>
            <w:instrText xml:space="preserve"> HYPERLINK \l _Toc30881 </w:instrText>
          </w:r>
          <w:r>
            <w:fldChar w:fldCharType="separate"/>
          </w:r>
          <w:r>
            <w:rPr>
              <w:rFonts w:hint="default"/>
            </w:rPr>
            <w:t xml:space="preserve">5. </w:t>
          </w:r>
          <w:r>
            <w:rPr>
              <w:rFonts w:hint="eastAsia"/>
            </w:rPr>
            <w:t>风险管理回顾</w:t>
          </w:r>
          <w:r>
            <w:tab/>
          </w:r>
          <w:r>
            <w:fldChar w:fldCharType="begin"/>
          </w:r>
          <w:r>
            <w:instrText xml:space="preserve"> PAGEREF _Toc30881 \h </w:instrText>
          </w:r>
          <w:r>
            <w:fldChar w:fldCharType="separate"/>
          </w:r>
          <w:r>
            <w:t>7</w:t>
          </w:r>
          <w:r>
            <w:fldChar w:fldCharType="end"/>
          </w:r>
          <w:r>
            <w:fldChar w:fldCharType="end"/>
          </w:r>
        </w:p>
        <w:p w14:paraId="5A921014">
          <w:pPr>
            <w:pStyle w:val="16"/>
            <w:tabs>
              <w:tab w:val="right" w:leader="dot" w:pos="8306"/>
            </w:tabs>
          </w:pPr>
          <w:r>
            <w:fldChar w:fldCharType="begin"/>
          </w:r>
          <w:r>
            <w:instrText xml:space="preserve"> HYPERLINK \l _Toc14022 </w:instrText>
          </w:r>
          <w:r>
            <w:fldChar w:fldCharType="separate"/>
          </w:r>
          <w:r>
            <w:rPr>
              <w:rFonts w:hint="default"/>
            </w:rPr>
            <w:t xml:space="preserve">6. </w:t>
          </w:r>
          <w:r>
            <w:rPr>
              <w:rFonts w:hint="eastAsia"/>
            </w:rPr>
            <w:t>下一阶段工作计划</w:t>
          </w:r>
          <w:r>
            <w:tab/>
          </w:r>
          <w:r>
            <w:fldChar w:fldCharType="begin"/>
          </w:r>
          <w:r>
            <w:instrText xml:space="preserve"> PAGEREF _Toc14022 \h </w:instrText>
          </w:r>
          <w:r>
            <w:fldChar w:fldCharType="separate"/>
          </w:r>
          <w:r>
            <w:t>7</w:t>
          </w:r>
          <w:r>
            <w:fldChar w:fldCharType="end"/>
          </w:r>
          <w:r>
            <w:fldChar w:fldCharType="end"/>
          </w:r>
        </w:p>
        <w:p w14:paraId="5453630D">
          <w:pPr>
            <w:pStyle w:val="17"/>
            <w:tabs>
              <w:tab w:val="right" w:leader="dot" w:pos="8306"/>
            </w:tabs>
          </w:pPr>
          <w:r>
            <w:fldChar w:fldCharType="begin"/>
          </w:r>
          <w:r>
            <w:instrText xml:space="preserve"> HYPERLINK \l _Toc7755 </w:instrText>
          </w:r>
          <w:r>
            <w:fldChar w:fldCharType="separate"/>
          </w:r>
          <w:r>
            <w:rPr>
              <w:rFonts w:hint="default"/>
            </w:rPr>
            <w:t xml:space="preserve">6.1. </w:t>
          </w:r>
          <w:r>
            <w:rPr>
              <w:rFonts w:hint="eastAsia"/>
            </w:rPr>
            <w:t>第四阶段：系统试运行与优化（2026.03.01 - 2026.03.31）</w:t>
          </w:r>
          <w:r>
            <w:tab/>
          </w:r>
          <w:r>
            <w:fldChar w:fldCharType="begin"/>
          </w:r>
          <w:r>
            <w:instrText xml:space="preserve"> PAGEREF _Toc7755 \h </w:instrText>
          </w:r>
          <w:r>
            <w:fldChar w:fldCharType="separate"/>
          </w:r>
          <w:r>
            <w:t>7</w:t>
          </w:r>
          <w:r>
            <w:fldChar w:fldCharType="end"/>
          </w:r>
          <w:r>
            <w:fldChar w:fldCharType="end"/>
          </w:r>
        </w:p>
        <w:p w14:paraId="3298F984">
          <w:pPr>
            <w:pStyle w:val="13"/>
            <w:tabs>
              <w:tab w:val="right" w:leader="dot" w:pos="8306"/>
            </w:tabs>
          </w:pPr>
          <w:r>
            <w:fldChar w:fldCharType="begin"/>
          </w:r>
          <w:r>
            <w:instrText xml:space="preserve"> HYPERLINK \l _Toc5583 </w:instrText>
          </w:r>
          <w:r>
            <w:fldChar w:fldCharType="separate"/>
          </w:r>
          <w:r>
            <w:rPr>
              <w:rFonts w:hint="default"/>
            </w:rPr>
            <w:t xml:space="preserve">6.1.1. </w:t>
          </w:r>
          <w:r>
            <w:rPr>
              <w:rFonts w:hint="eastAsia"/>
            </w:rPr>
            <w:t>主要任务</w:t>
          </w:r>
          <w:r>
            <w:tab/>
          </w:r>
          <w:r>
            <w:fldChar w:fldCharType="begin"/>
          </w:r>
          <w:r>
            <w:instrText xml:space="preserve"> PAGEREF _Toc5583 \h </w:instrText>
          </w:r>
          <w:r>
            <w:fldChar w:fldCharType="separate"/>
          </w:r>
          <w:r>
            <w:t>7</w:t>
          </w:r>
          <w:r>
            <w:fldChar w:fldCharType="end"/>
          </w:r>
          <w:r>
            <w:fldChar w:fldCharType="end"/>
          </w:r>
        </w:p>
        <w:p w14:paraId="1AAD8EDC">
          <w:pPr>
            <w:pStyle w:val="13"/>
            <w:tabs>
              <w:tab w:val="right" w:leader="dot" w:pos="8306"/>
            </w:tabs>
          </w:pPr>
          <w:r>
            <w:fldChar w:fldCharType="begin"/>
          </w:r>
          <w:r>
            <w:instrText xml:space="preserve"> HYPERLINK \l _Toc10552 </w:instrText>
          </w:r>
          <w:r>
            <w:fldChar w:fldCharType="separate"/>
          </w:r>
          <w:r>
            <w:rPr>
              <w:rFonts w:hint="default"/>
            </w:rPr>
            <w:t xml:space="preserve">6.1.2. </w:t>
          </w:r>
          <w:r>
            <w:rPr>
              <w:rFonts w:hint="eastAsia"/>
            </w:rPr>
            <w:t>预期交付物</w:t>
          </w:r>
          <w:r>
            <w:tab/>
          </w:r>
          <w:r>
            <w:fldChar w:fldCharType="begin"/>
          </w:r>
          <w:r>
            <w:instrText xml:space="preserve"> PAGEREF _Toc10552 \h </w:instrText>
          </w:r>
          <w:r>
            <w:fldChar w:fldCharType="separate"/>
          </w:r>
          <w:r>
            <w:t>8</w:t>
          </w:r>
          <w:r>
            <w:fldChar w:fldCharType="end"/>
          </w:r>
          <w:r>
            <w:fldChar w:fldCharType="end"/>
          </w:r>
        </w:p>
        <w:p w14:paraId="098B1A47">
          <w:pPr>
            <w:pStyle w:val="17"/>
            <w:tabs>
              <w:tab w:val="right" w:leader="dot" w:pos="8306"/>
            </w:tabs>
          </w:pPr>
          <w:r>
            <w:fldChar w:fldCharType="begin"/>
          </w:r>
          <w:r>
            <w:instrText xml:space="preserve"> HYPERLINK \l _Toc13451 </w:instrText>
          </w:r>
          <w:r>
            <w:fldChar w:fldCharType="separate"/>
          </w:r>
          <w:r>
            <w:rPr>
              <w:rFonts w:hint="default"/>
            </w:rPr>
            <w:t xml:space="preserve">6.2. </w:t>
          </w:r>
          <w:r>
            <w:rPr>
              <w:rFonts w:hint="eastAsia"/>
            </w:rPr>
            <w:t>第五阶段：项目收尾与验收交付（2026.04.01 - 2026.04.30）</w:t>
          </w:r>
          <w:r>
            <w:tab/>
          </w:r>
          <w:r>
            <w:fldChar w:fldCharType="begin"/>
          </w:r>
          <w:r>
            <w:instrText xml:space="preserve"> PAGEREF _Toc13451 \h </w:instrText>
          </w:r>
          <w:r>
            <w:fldChar w:fldCharType="separate"/>
          </w:r>
          <w:r>
            <w:t>8</w:t>
          </w:r>
          <w:r>
            <w:fldChar w:fldCharType="end"/>
          </w:r>
          <w:r>
            <w:fldChar w:fldCharType="end"/>
          </w:r>
        </w:p>
        <w:p w14:paraId="297E466E">
          <w:pPr>
            <w:pStyle w:val="13"/>
            <w:tabs>
              <w:tab w:val="right" w:leader="dot" w:pos="8306"/>
            </w:tabs>
          </w:pPr>
          <w:r>
            <w:fldChar w:fldCharType="begin"/>
          </w:r>
          <w:r>
            <w:instrText xml:space="preserve"> HYPERLINK \l _Toc26521 </w:instrText>
          </w:r>
          <w:r>
            <w:fldChar w:fldCharType="separate"/>
          </w:r>
          <w:r>
            <w:rPr>
              <w:rFonts w:hint="default"/>
            </w:rPr>
            <w:t xml:space="preserve">6.2.1. </w:t>
          </w:r>
          <w:r>
            <w:rPr>
              <w:rFonts w:hint="eastAsia"/>
            </w:rPr>
            <w:t>主要任务</w:t>
          </w:r>
          <w:r>
            <w:tab/>
          </w:r>
          <w:r>
            <w:fldChar w:fldCharType="begin"/>
          </w:r>
          <w:r>
            <w:instrText xml:space="preserve"> PAGEREF _Toc26521 \h </w:instrText>
          </w:r>
          <w:r>
            <w:fldChar w:fldCharType="separate"/>
          </w:r>
          <w:r>
            <w:t>8</w:t>
          </w:r>
          <w:r>
            <w:fldChar w:fldCharType="end"/>
          </w:r>
          <w:r>
            <w:fldChar w:fldCharType="end"/>
          </w:r>
        </w:p>
        <w:p w14:paraId="65B0226C">
          <w:pPr>
            <w:pStyle w:val="13"/>
            <w:tabs>
              <w:tab w:val="right" w:leader="dot" w:pos="8306"/>
            </w:tabs>
          </w:pPr>
          <w:r>
            <w:fldChar w:fldCharType="begin"/>
          </w:r>
          <w:r>
            <w:instrText xml:space="preserve"> HYPERLINK \l _Toc7756 </w:instrText>
          </w:r>
          <w:r>
            <w:fldChar w:fldCharType="separate"/>
          </w:r>
          <w:r>
            <w:rPr>
              <w:rFonts w:hint="default"/>
            </w:rPr>
            <w:t xml:space="preserve">6.2.2. </w:t>
          </w:r>
          <w:r>
            <w:rPr>
              <w:rFonts w:hint="eastAsia"/>
            </w:rPr>
            <w:t>预期交付物</w:t>
          </w:r>
          <w:r>
            <w:tab/>
          </w:r>
          <w:r>
            <w:fldChar w:fldCharType="begin"/>
          </w:r>
          <w:r>
            <w:instrText xml:space="preserve"> PAGEREF _Toc7756 \h </w:instrText>
          </w:r>
          <w:r>
            <w:fldChar w:fldCharType="separate"/>
          </w:r>
          <w:r>
            <w:t>8</w:t>
          </w:r>
          <w:r>
            <w:fldChar w:fldCharType="end"/>
          </w:r>
          <w:r>
            <w:fldChar w:fldCharType="end"/>
          </w:r>
        </w:p>
        <w:p w14:paraId="28FF5D6B">
          <w:pPr>
            <w:pStyle w:val="16"/>
            <w:tabs>
              <w:tab w:val="right" w:leader="dot" w:pos="8306"/>
            </w:tabs>
          </w:pPr>
          <w:r>
            <w:fldChar w:fldCharType="begin"/>
          </w:r>
          <w:r>
            <w:instrText xml:space="preserve"> HYPERLINK \l _Toc24017 </w:instrText>
          </w:r>
          <w:r>
            <w:fldChar w:fldCharType="separate"/>
          </w:r>
          <w:r>
            <w:rPr>
              <w:rFonts w:hint="default"/>
            </w:rPr>
            <w:t xml:space="preserve">7. </w:t>
          </w:r>
          <w:r>
            <w:rPr>
              <w:rFonts w:hint="eastAsia"/>
            </w:rPr>
            <w:t>总结</w:t>
          </w:r>
          <w:r>
            <w:tab/>
          </w:r>
          <w:r>
            <w:fldChar w:fldCharType="begin"/>
          </w:r>
          <w:r>
            <w:instrText xml:space="preserve"> PAGEREF _Toc24017 \h </w:instrText>
          </w:r>
          <w:r>
            <w:fldChar w:fldCharType="separate"/>
          </w:r>
          <w:r>
            <w:t>8</w:t>
          </w:r>
          <w:r>
            <w:fldChar w:fldCharType="end"/>
          </w:r>
          <w:r>
            <w:fldChar w:fldCharType="end"/>
          </w:r>
        </w:p>
        <w:p w14:paraId="3A4BBCEE">
          <w:r>
            <w:fldChar w:fldCharType="end"/>
          </w:r>
        </w:p>
      </w:sdtContent>
    </w:sdt>
    <w:p w14:paraId="68E93B77"/>
    <w:p w14:paraId="1B7B8285">
      <w:pPr>
        <w:rPr>
          <w:rFonts w:hint="eastAsia"/>
        </w:rPr>
      </w:pPr>
      <w:r>
        <w:rPr>
          <w:rFonts w:hint="eastAsia"/>
        </w:rPr>
        <w:br w:type="page"/>
      </w:r>
    </w:p>
    <w:p w14:paraId="205A565F">
      <w:pPr>
        <w:pStyle w:val="29"/>
        <w:bidi w:val="0"/>
        <w:rPr>
          <w:rFonts w:hint="eastAsia"/>
        </w:rPr>
      </w:pPr>
      <w:bookmarkStart w:id="3" w:name="_Toc26940"/>
      <w:r>
        <w:rPr>
          <w:rFonts w:hint="eastAsia"/>
        </w:rPr>
        <w:t>项目概况</w:t>
      </w:r>
      <w:bookmarkEnd w:id="3"/>
    </w:p>
    <w:p w14:paraId="5304B9E7">
      <w:pPr>
        <w:pStyle w:val="30"/>
        <w:bidi w:val="0"/>
        <w:rPr>
          <w:rFonts w:hint="eastAsia"/>
        </w:rPr>
      </w:pPr>
      <w:r>
        <w:rPr>
          <w:rFonts w:hint="eastAsia"/>
        </w:rPr>
        <w:t>曲靖供电局110kV变电站电力监控系统网络安全态势感知系统建设项目（项目编号：HXDL-ITSS-0902/0903）于2025年8月1日正式启动，计划于2026年4月30日前完成整体建设与最终验收。本项目旨在全面落实国家《网络安全法》、《关键信息基础设施安全保护条例》及能源行业网络安全防护系列规范要求，构建一套覆盖“采集、分析、预警、响应”全流程的网络安全纵深防护体系，实现对指定范围内110kV变电站电力监控系统网络安全的全面监测、智能分析与实时预警，强化网络安全主动防御与态势感知能力，保障电网监控系统的安全稳定运行。</w:t>
      </w:r>
    </w:p>
    <w:p w14:paraId="400346F9">
      <w:pPr>
        <w:pStyle w:val="30"/>
        <w:bidi w:val="0"/>
        <w:rPr>
          <w:rFonts w:hint="eastAsia"/>
        </w:rPr>
      </w:pPr>
      <w:r>
        <w:rPr>
          <w:rFonts w:hint="eastAsia"/>
        </w:rPr>
        <w:t>截至本报告编制之日（2026年1月30日），项目已按计划完成前三个阶段的核心建设工作，正处于第三阶段“功能实现与策略优化”的收尾阶段，即将进入第四阶段“系统试运行与优化”。项目整体进展顺利，关键里程碑均已达成。</w:t>
      </w:r>
    </w:p>
    <w:p w14:paraId="00040C30">
      <w:pPr>
        <w:pStyle w:val="29"/>
        <w:bidi w:val="0"/>
        <w:rPr>
          <w:rFonts w:hint="eastAsia"/>
        </w:rPr>
      </w:pPr>
      <w:bookmarkStart w:id="4" w:name="_Toc17404"/>
      <w:r>
        <w:rPr>
          <w:rFonts w:hint="eastAsia"/>
        </w:rPr>
        <w:t>总体进展概述</w:t>
      </w:r>
      <w:bookmarkEnd w:id="4"/>
    </w:p>
    <w:p w14:paraId="5947943E">
      <w:pPr>
        <w:pStyle w:val="30"/>
        <w:bidi w:val="0"/>
        <w:rPr>
          <w:rFonts w:hint="eastAsia"/>
        </w:rPr>
      </w:pPr>
      <w:r>
        <w:rPr>
          <w:rFonts w:hint="eastAsia"/>
        </w:rPr>
        <w:t>截至2026年1月30日，项目已按计划完成前三个阶段的核心建设工作，即将进入第四阶段“系统试运行与优化”。项目整体进展顺利，关键里程碑均已达成，具体如下：</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68"/>
        <w:gridCol w:w="1855"/>
        <w:gridCol w:w="1626"/>
        <w:gridCol w:w="2673"/>
      </w:tblGrid>
      <w:tr w14:paraId="5D6A7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2368" w:type="dxa"/>
            <w:tcBorders>
              <w:top w:val="single" w:color="auto" w:sz="12"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628A0EC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阶段</w:t>
            </w:r>
          </w:p>
        </w:tc>
        <w:tc>
          <w:tcPr>
            <w:tcW w:w="1855"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01E3F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计划时间</w:t>
            </w:r>
          </w:p>
        </w:tc>
        <w:tc>
          <w:tcPr>
            <w:tcW w:w="1626"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2F087E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状态</w:t>
            </w:r>
          </w:p>
        </w:tc>
        <w:tc>
          <w:tcPr>
            <w:tcW w:w="2672" w:type="dxa"/>
            <w:tcBorders>
              <w:top w:val="single" w:color="auto" w:sz="12" w:space="0"/>
              <w:left w:val="single" w:color="auto" w:sz="4" w:space="0"/>
              <w:bottom w:val="nil"/>
              <w:right w:val="single" w:color="auto" w:sz="12" w:space="0"/>
            </w:tcBorders>
            <w:shd w:val="clear" w:color="auto" w:fill="FFFFFF"/>
            <w:noWrap w:val="0"/>
            <w:tcMar>
              <w:top w:w="150" w:type="dxa"/>
              <w:left w:w="240" w:type="dxa"/>
              <w:bottom w:w="150" w:type="dxa"/>
              <w:right w:w="240" w:type="dxa"/>
            </w:tcMar>
            <w:vAlign w:val="center"/>
          </w:tcPr>
          <w:p w14:paraId="716BF3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关键成果</w:t>
            </w:r>
          </w:p>
        </w:tc>
      </w:tr>
      <w:tr w14:paraId="1302D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368"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0A9C5F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第一阶段：项目启动与蓝图设计</w:t>
            </w:r>
          </w:p>
        </w:tc>
        <w:tc>
          <w:tcPr>
            <w:tcW w:w="185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4568D1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2025.08 - 2025.09</w:t>
            </w:r>
          </w:p>
        </w:tc>
        <w:tc>
          <w:tcPr>
            <w:tcW w:w="16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10AFC66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3"/>
                <w:rFonts w:hint="default" w:ascii="Segoe UI" w:hAnsi="Segoe UI" w:eastAsia="Segoe UI" w:cs="Segoe UI"/>
                <w:b/>
                <w:bCs/>
                <w:i w:val="0"/>
                <w:iCs w:val="0"/>
                <w:caps w:val="0"/>
                <w:snapToGrid w:val="0"/>
                <w:color w:val="000000"/>
                <w:spacing w:val="0"/>
                <w:kern w:val="0"/>
                <w:sz w:val="22"/>
                <w:szCs w:val="22"/>
                <w:bdr w:val="none" w:color="auto" w:sz="0" w:space="0"/>
                <w:lang w:val="en-US" w:eastAsia="zh-CN" w:bidi="ar"/>
              </w:rPr>
              <w:t>已完成</w:t>
            </w:r>
          </w:p>
        </w:tc>
        <w:tc>
          <w:tcPr>
            <w:tcW w:w="2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6A1D238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详细设计方案获三方确认</w:t>
            </w:r>
          </w:p>
        </w:tc>
      </w:tr>
      <w:tr w14:paraId="10892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68"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7DC800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第二阶段：平台搭建与数据接入</w:t>
            </w:r>
          </w:p>
        </w:tc>
        <w:tc>
          <w:tcPr>
            <w:tcW w:w="185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2879C5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2025.10 - 2025.12</w:t>
            </w:r>
          </w:p>
        </w:tc>
        <w:tc>
          <w:tcPr>
            <w:tcW w:w="16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C6EDE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3"/>
                <w:rFonts w:hint="default" w:ascii="Segoe UI" w:hAnsi="Segoe UI" w:eastAsia="Segoe UI" w:cs="Segoe UI"/>
                <w:b/>
                <w:bCs/>
                <w:i w:val="0"/>
                <w:iCs w:val="0"/>
                <w:caps w:val="0"/>
                <w:snapToGrid w:val="0"/>
                <w:color w:val="000000"/>
                <w:spacing w:val="0"/>
                <w:kern w:val="0"/>
                <w:sz w:val="22"/>
                <w:szCs w:val="22"/>
                <w:bdr w:val="none" w:color="auto" w:sz="0" w:space="0"/>
                <w:lang w:val="en-US" w:eastAsia="zh-CN" w:bidi="ar"/>
              </w:rPr>
              <w:t>已完成</w:t>
            </w:r>
          </w:p>
        </w:tc>
        <w:tc>
          <w:tcPr>
            <w:tcW w:w="2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D2DA69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核心平台部署，首批数据接入完成</w:t>
            </w:r>
          </w:p>
        </w:tc>
      </w:tr>
      <w:tr w14:paraId="5A950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68"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14169E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第三阶段：功能实现与策略优化</w:t>
            </w:r>
          </w:p>
        </w:tc>
        <w:tc>
          <w:tcPr>
            <w:tcW w:w="185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7FCFF5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2026.01 - 2026.02</w:t>
            </w:r>
          </w:p>
        </w:tc>
        <w:tc>
          <w:tcPr>
            <w:tcW w:w="16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410AC6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3"/>
                <w:rFonts w:hint="default" w:ascii="Segoe UI" w:hAnsi="Segoe UI" w:eastAsia="Segoe UI" w:cs="Segoe UI"/>
                <w:b/>
                <w:bCs/>
                <w:i w:val="0"/>
                <w:iCs w:val="0"/>
                <w:caps w:val="0"/>
                <w:snapToGrid w:val="0"/>
                <w:color w:val="000000"/>
                <w:spacing w:val="0"/>
                <w:kern w:val="0"/>
                <w:sz w:val="22"/>
                <w:szCs w:val="22"/>
                <w:bdr w:val="none" w:color="auto" w:sz="0" w:space="0"/>
                <w:lang w:val="en-US" w:eastAsia="zh-CN" w:bidi="ar"/>
              </w:rPr>
              <w:t>已完成（提前）</w:t>
            </w:r>
          </w:p>
        </w:tc>
        <w:tc>
          <w:tcPr>
            <w:tcW w:w="2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6AF9D07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检测模型配置、态势可视化开发完成</w:t>
            </w:r>
          </w:p>
        </w:tc>
      </w:tr>
      <w:tr w14:paraId="3F8F0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368"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5001EC9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第四阶段：系统试运行与优化</w:t>
            </w:r>
          </w:p>
        </w:tc>
        <w:tc>
          <w:tcPr>
            <w:tcW w:w="1855"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4693A59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2026.03</w:t>
            </w:r>
          </w:p>
        </w:tc>
        <w:tc>
          <w:tcPr>
            <w:tcW w:w="16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1BB884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3"/>
                <w:rFonts w:hint="default" w:ascii="Segoe UI" w:hAnsi="Segoe UI" w:eastAsia="Segoe UI" w:cs="Segoe UI"/>
                <w:b/>
                <w:bCs/>
                <w:i w:val="0"/>
                <w:iCs w:val="0"/>
                <w:caps w:val="0"/>
                <w:snapToGrid w:val="0"/>
                <w:color w:val="000000"/>
                <w:spacing w:val="0"/>
                <w:kern w:val="0"/>
                <w:sz w:val="22"/>
                <w:szCs w:val="22"/>
                <w:bdr w:val="none" w:color="auto" w:sz="0" w:space="0"/>
                <w:lang w:val="en-US" w:eastAsia="zh-CN" w:bidi="ar"/>
              </w:rPr>
              <w:t>待启动</w:t>
            </w:r>
          </w:p>
        </w:tc>
        <w:tc>
          <w:tcPr>
            <w:tcW w:w="2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290FB1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w:t>
            </w:r>
          </w:p>
        </w:tc>
      </w:tr>
      <w:tr w14:paraId="2B85F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68" w:type="dxa"/>
            <w:tcBorders>
              <w:top w:val="single" w:color="auto" w:sz="4" w:space="0"/>
              <w:left w:val="single" w:color="auto" w:sz="12" w:space="0"/>
              <w:bottom w:val="single" w:color="auto" w:sz="12" w:space="0"/>
              <w:right w:val="nil"/>
            </w:tcBorders>
            <w:shd w:val="clear" w:color="auto" w:fill="FFFFFF"/>
            <w:noWrap w:val="0"/>
            <w:tcMar>
              <w:top w:w="150" w:type="dxa"/>
              <w:left w:w="-1" w:type="dxa"/>
              <w:bottom w:w="150" w:type="dxa"/>
              <w:right w:w="240" w:type="dxa"/>
            </w:tcMar>
            <w:vAlign w:val="center"/>
          </w:tcPr>
          <w:p w14:paraId="35F69F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第五阶段：验收交付与培训</w:t>
            </w:r>
          </w:p>
        </w:tc>
        <w:tc>
          <w:tcPr>
            <w:tcW w:w="1855"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68F7417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2026.04</w:t>
            </w:r>
          </w:p>
        </w:tc>
        <w:tc>
          <w:tcPr>
            <w:tcW w:w="1626"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633582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3"/>
                <w:rFonts w:hint="default" w:ascii="Segoe UI" w:hAnsi="Segoe UI" w:eastAsia="Segoe UI" w:cs="Segoe UI"/>
                <w:b/>
                <w:bCs/>
                <w:i w:val="0"/>
                <w:iCs w:val="0"/>
                <w:caps w:val="0"/>
                <w:snapToGrid w:val="0"/>
                <w:color w:val="000000"/>
                <w:spacing w:val="0"/>
                <w:kern w:val="0"/>
                <w:sz w:val="22"/>
                <w:szCs w:val="22"/>
                <w:bdr w:val="none" w:color="auto" w:sz="0" w:space="0"/>
                <w:lang w:val="en-US" w:eastAsia="zh-CN" w:bidi="ar"/>
              </w:rPr>
              <w:t>待启动</w:t>
            </w:r>
          </w:p>
        </w:tc>
        <w:tc>
          <w:tcPr>
            <w:tcW w:w="2672" w:type="dxa"/>
            <w:tcBorders>
              <w:top w:val="single" w:color="auto" w:sz="4" w:space="0"/>
              <w:left w:val="single" w:color="auto" w:sz="4" w:space="0"/>
              <w:bottom w:val="single" w:color="auto" w:sz="12" w:space="0"/>
              <w:right w:val="single" w:color="auto" w:sz="12" w:space="0"/>
            </w:tcBorders>
            <w:shd w:val="clear" w:color="auto" w:fill="FFFFFF"/>
            <w:noWrap w:val="0"/>
            <w:tcMar>
              <w:top w:w="-1" w:type="dxa"/>
              <w:left w:w="-1" w:type="dxa"/>
              <w:bottom w:w="-1" w:type="dxa"/>
              <w:right w:w="-1" w:type="dxa"/>
            </w:tcMar>
            <w:vAlign w:val="center"/>
          </w:tcPr>
          <w:p w14:paraId="1818D8CE">
            <w:pPr>
              <w:snapToGrid w:val="0"/>
              <w:ind w:left="0" w:leftChars="0" w:right="0" w:rightChars="0" w:firstLine="0" w:firstLineChars="0"/>
              <w:jc w:val="left"/>
              <w:rPr>
                <w:rFonts w:hint="eastAsia" w:ascii="Segoe UI" w:hAnsi="Segoe UI" w:eastAsia="Segoe UI" w:cs="Segoe UI"/>
                <w:i w:val="0"/>
                <w:iCs w:val="0"/>
                <w:caps w:val="0"/>
                <w:color w:val="0F1115"/>
                <w:spacing w:val="0"/>
                <w:sz w:val="22"/>
                <w:szCs w:val="24"/>
              </w:rPr>
            </w:pPr>
          </w:p>
        </w:tc>
      </w:tr>
    </w:tbl>
    <w:p w14:paraId="3B4B92CA">
      <w:pPr>
        <w:pStyle w:val="30"/>
        <w:bidi w:val="0"/>
        <w:rPr>
          <w:rFonts w:hint="eastAsia"/>
        </w:rPr>
      </w:pPr>
    </w:p>
    <w:p w14:paraId="23C72566">
      <w:pPr>
        <w:pStyle w:val="29"/>
        <w:bidi w:val="0"/>
        <w:rPr>
          <w:rFonts w:hint="eastAsia"/>
        </w:rPr>
      </w:pPr>
      <w:bookmarkStart w:id="5" w:name="_Toc29738"/>
      <w:r>
        <w:rPr>
          <w:rFonts w:hint="eastAsia"/>
        </w:rPr>
        <w:t>各阶段完成情况详述</w:t>
      </w:r>
      <w:bookmarkEnd w:id="5"/>
    </w:p>
    <w:p w14:paraId="63B5743D">
      <w:pPr>
        <w:pStyle w:val="31"/>
        <w:bidi w:val="0"/>
        <w:rPr>
          <w:rFonts w:hint="eastAsia"/>
        </w:rPr>
      </w:pPr>
      <w:bookmarkStart w:id="6" w:name="_Toc3075"/>
      <w:r>
        <w:rPr>
          <w:rFonts w:hint="eastAsia"/>
        </w:rPr>
        <w:t>第一阶段：项目启动与蓝图设计（2025.08 - 2025.09）</w:t>
      </w:r>
      <w:bookmarkEnd w:id="6"/>
    </w:p>
    <w:p w14:paraId="3394AAD4">
      <w:pPr>
        <w:pStyle w:val="30"/>
        <w:bidi w:val="0"/>
        <w:rPr>
          <w:rFonts w:hint="eastAsia"/>
        </w:rPr>
      </w:pPr>
      <w:r>
        <w:rPr>
          <w:rFonts w:hint="eastAsia"/>
        </w:rPr>
        <w:t>目标达成情况：完成项目初始化，明确需求细节，详细设计方案获得三方签字确认。</w:t>
      </w:r>
    </w:p>
    <w:p w14:paraId="6A21EBAB">
      <w:pPr>
        <w:pStyle w:val="32"/>
        <w:bidi w:val="0"/>
        <w:rPr>
          <w:rFonts w:hint="eastAsia"/>
        </w:rPr>
      </w:pPr>
      <w:bookmarkStart w:id="7" w:name="_Toc20029"/>
      <w:r>
        <w:rPr>
          <w:rFonts w:hint="eastAsia"/>
        </w:rPr>
        <w:t>主要完成工作</w:t>
      </w:r>
      <w:bookmarkEnd w:id="7"/>
    </w:p>
    <w:p w14:paraId="2C15D621">
      <w:pPr>
        <w:pStyle w:val="40"/>
        <w:numPr>
          <w:ilvl w:val="0"/>
          <w:numId w:val="2"/>
        </w:numPr>
        <w:bidi w:val="0"/>
        <w:rPr>
          <w:rFonts w:hint="eastAsia"/>
        </w:rPr>
      </w:pPr>
      <w:r>
        <w:rPr>
          <w:rFonts w:hint="eastAsia"/>
        </w:rPr>
        <w:t>召开项目启动会，明确项目目标、范围、组织架构与沟通机制；</w:t>
      </w:r>
    </w:p>
    <w:p w14:paraId="230B91CD">
      <w:pPr>
        <w:pStyle w:val="40"/>
        <w:numPr>
          <w:ilvl w:val="0"/>
          <w:numId w:val="2"/>
        </w:numPr>
        <w:bidi w:val="0"/>
        <w:rPr>
          <w:rFonts w:hint="eastAsia"/>
        </w:rPr>
      </w:pPr>
      <w:r>
        <w:rPr>
          <w:rFonts w:hint="eastAsia"/>
        </w:rPr>
        <w:t>完成关键站点走访与技术访谈，收集网络拓扑、资产列表、安全策略等基础资料；</w:t>
      </w:r>
    </w:p>
    <w:p w14:paraId="1AB841DC">
      <w:pPr>
        <w:pStyle w:val="40"/>
        <w:numPr>
          <w:ilvl w:val="0"/>
          <w:numId w:val="2"/>
        </w:numPr>
        <w:bidi w:val="0"/>
        <w:rPr>
          <w:rFonts w:hint="eastAsia"/>
        </w:rPr>
      </w:pPr>
      <w:r>
        <w:rPr>
          <w:rFonts w:hint="eastAsia"/>
        </w:rPr>
        <w:t>完成《现状调研报告》与《详细需求规格说明书》；</w:t>
      </w:r>
    </w:p>
    <w:p w14:paraId="32014CA9">
      <w:pPr>
        <w:pStyle w:val="40"/>
        <w:numPr>
          <w:ilvl w:val="0"/>
          <w:numId w:val="2"/>
        </w:numPr>
        <w:bidi w:val="0"/>
        <w:rPr>
          <w:rFonts w:hint="eastAsia"/>
        </w:rPr>
      </w:pPr>
      <w:r>
        <w:rPr>
          <w:rFonts w:hint="eastAsia"/>
        </w:rPr>
        <w:t>完成《系统详细设计说明书》（含技术架构、部署架构、数据流、功能模块、接口设计）；</w:t>
      </w:r>
    </w:p>
    <w:p w14:paraId="14F3EEC7">
      <w:pPr>
        <w:pStyle w:val="40"/>
        <w:numPr>
          <w:ilvl w:val="0"/>
          <w:numId w:val="2"/>
        </w:numPr>
        <w:bidi w:val="0"/>
        <w:rPr>
          <w:rFonts w:hint="eastAsia"/>
        </w:rPr>
      </w:pPr>
      <w:r>
        <w:rPr>
          <w:rFonts w:hint="eastAsia"/>
        </w:rPr>
        <w:t>组织多轮技术方案评审，最终获三方签字确认。</w:t>
      </w:r>
    </w:p>
    <w:p w14:paraId="298827E6">
      <w:pPr>
        <w:pStyle w:val="32"/>
        <w:bidi w:val="0"/>
        <w:rPr>
          <w:rFonts w:hint="eastAsia"/>
        </w:rPr>
      </w:pPr>
      <w:bookmarkStart w:id="8" w:name="_Toc8562"/>
      <w:r>
        <w:rPr>
          <w:rFonts w:hint="eastAsia"/>
        </w:rPr>
        <w:t>关键交付物</w:t>
      </w:r>
      <w:bookmarkEnd w:id="8"/>
    </w:p>
    <w:p w14:paraId="68567715">
      <w:pPr>
        <w:pStyle w:val="30"/>
        <w:bidi w:val="0"/>
        <w:rPr>
          <w:rFonts w:hint="eastAsia"/>
        </w:rPr>
      </w:pPr>
      <w:r>
        <w:rPr>
          <w:rFonts w:hint="eastAsia"/>
        </w:rPr>
        <w:t>《项目启动会纪要》、《项目章程》</w:t>
      </w:r>
    </w:p>
    <w:p w14:paraId="44B10967">
      <w:pPr>
        <w:pStyle w:val="30"/>
        <w:bidi w:val="0"/>
        <w:rPr>
          <w:rFonts w:hint="eastAsia"/>
        </w:rPr>
      </w:pPr>
      <w:r>
        <w:rPr>
          <w:rFonts w:hint="eastAsia"/>
        </w:rPr>
        <w:t>《现状调研报告》、《详细需求规格说明书》</w:t>
      </w:r>
    </w:p>
    <w:p w14:paraId="16EE1696">
      <w:pPr>
        <w:pStyle w:val="30"/>
        <w:bidi w:val="0"/>
        <w:rPr>
          <w:rFonts w:hint="eastAsia"/>
        </w:rPr>
      </w:pPr>
      <w:r>
        <w:rPr>
          <w:rFonts w:hint="eastAsia"/>
        </w:rPr>
        <w:t>《系统详细设计说明书》（三方签字确认）</w:t>
      </w:r>
    </w:p>
    <w:p w14:paraId="5C7E9685">
      <w:pPr>
        <w:pStyle w:val="31"/>
        <w:bidi w:val="0"/>
        <w:rPr>
          <w:rFonts w:hint="eastAsia"/>
        </w:rPr>
      </w:pPr>
      <w:bookmarkStart w:id="9" w:name="_Toc29846"/>
      <w:r>
        <w:rPr>
          <w:rFonts w:hint="eastAsia"/>
        </w:rPr>
        <w:t>第二阶段：平台搭建与数据接入（2025.10 - 2025.12）</w:t>
      </w:r>
      <w:bookmarkEnd w:id="9"/>
    </w:p>
    <w:p w14:paraId="5B7783CA">
      <w:pPr>
        <w:pStyle w:val="30"/>
        <w:bidi w:val="0"/>
        <w:rPr>
          <w:rFonts w:hint="eastAsia"/>
        </w:rPr>
      </w:pPr>
      <w:r>
        <w:rPr>
          <w:rFonts w:hint="eastAsia"/>
        </w:rPr>
        <w:t>目标达成情况： 完成软硬件基础环境搭建，实现核心平台部署与首批关键数据源接入。</w:t>
      </w:r>
    </w:p>
    <w:p w14:paraId="11138E9E">
      <w:pPr>
        <w:pStyle w:val="32"/>
        <w:bidi w:val="0"/>
        <w:rPr>
          <w:rFonts w:hint="eastAsia"/>
        </w:rPr>
      </w:pPr>
      <w:bookmarkStart w:id="10" w:name="_Toc1422"/>
      <w:r>
        <w:rPr>
          <w:rFonts w:hint="eastAsia"/>
        </w:rPr>
        <w:t>主要完成工作</w:t>
      </w:r>
      <w:bookmarkEnd w:id="10"/>
    </w:p>
    <w:p w14:paraId="136FCBFD">
      <w:pPr>
        <w:pStyle w:val="30"/>
        <w:bidi w:val="0"/>
        <w:rPr>
          <w:rFonts w:hint="eastAsia"/>
        </w:rPr>
      </w:pPr>
      <w:r>
        <w:rPr>
          <w:rFonts w:hint="eastAsia"/>
        </w:rPr>
        <w:t>完成服务器、存储设备上架、加电、网络配置及系统初始化；</w:t>
      </w:r>
    </w:p>
    <w:p w14:paraId="58162189">
      <w:pPr>
        <w:pStyle w:val="30"/>
        <w:bidi w:val="0"/>
        <w:rPr>
          <w:rFonts w:hint="eastAsia"/>
        </w:rPr>
      </w:pPr>
      <w:r>
        <w:rPr>
          <w:rFonts w:hint="eastAsia"/>
        </w:rPr>
        <w:t>完成态势感知平台核心软件（大数据平台、分析引擎、可视化平台）部署；</w:t>
      </w:r>
    </w:p>
    <w:p w14:paraId="7FED7C2D">
      <w:pPr>
        <w:pStyle w:val="30"/>
        <w:bidi w:val="0"/>
        <w:rPr>
          <w:rFonts w:hint="eastAsia"/>
        </w:rPr>
      </w:pPr>
      <w:r>
        <w:rPr>
          <w:rFonts w:hint="eastAsia"/>
        </w:rPr>
        <w:t>在指定网络节点及服务器部署流量探针与日志代理，完成数据采集调试；</w:t>
      </w:r>
    </w:p>
    <w:p w14:paraId="0C0483A2">
      <w:pPr>
        <w:pStyle w:val="30"/>
        <w:bidi w:val="0"/>
        <w:rPr>
          <w:rFonts w:hint="eastAsia"/>
        </w:rPr>
      </w:pPr>
      <w:r>
        <w:rPr>
          <w:rFonts w:hint="eastAsia"/>
        </w:rPr>
        <w:t>完成网络设备、安全设备等首批日志的标准化接入与处理。</w:t>
      </w:r>
    </w:p>
    <w:p w14:paraId="23DF85A4">
      <w:pPr>
        <w:pStyle w:val="32"/>
        <w:bidi w:val="0"/>
        <w:rPr>
          <w:rFonts w:hint="eastAsia"/>
        </w:rPr>
      </w:pPr>
      <w:bookmarkStart w:id="11" w:name="_Toc8556"/>
      <w:r>
        <w:rPr>
          <w:rFonts w:hint="eastAsia"/>
        </w:rPr>
        <w:t>关键交付物</w:t>
      </w:r>
      <w:bookmarkEnd w:id="11"/>
    </w:p>
    <w:p w14:paraId="27C8F554">
      <w:pPr>
        <w:pStyle w:val="30"/>
        <w:bidi w:val="0"/>
        <w:rPr>
          <w:rFonts w:hint="eastAsia"/>
        </w:rPr>
      </w:pPr>
      <w:r>
        <w:rPr>
          <w:rFonts w:hint="eastAsia"/>
        </w:rPr>
        <w:t>《硬件部署报告》、《系统环境检查清单》</w:t>
      </w:r>
    </w:p>
    <w:p w14:paraId="587EEABB">
      <w:pPr>
        <w:pStyle w:val="30"/>
        <w:bidi w:val="0"/>
        <w:rPr>
          <w:rFonts w:hint="eastAsia"/>
        </w:rPr>
      </w:pPr>
      <w:r>
        <w:rPr>
          <w:rFonts w:hint="eastAsia"/>
        </w:rPr>
        <w:t>《软件部署手册》、《平台安装报告》</w:t>
      </w:r>
    </w:p>
    <w:p w14:paraId="168BD8CE">
      <w:pPr>
        <w:pStyle w:val="30"/>
        <w:bidi w:val="0"/>
        <w:rPr>
          <w:rFonts w:hint="eastAsia"/>
        </w:rPr>
      </w:pPr>
      <w:r>
        <w:rPr>
          <w:rFonts w:hint="eastAsia"/>
        </w:rPr>
        <w:t>《采集点部署清单》、《数据接入测试报告》</w:t>
      </w:r>
    </w:p>
    <w:p w14:paraId="77E1955E">
      <w:pPr>
        <w:pStyle w:val="30"/>
        <w:bidi w:val="0"/>
        <w:rPr>
          <w:rFonts w:hint="eastAsia"/>
        </w:rPr>
      </w:pPr>
      <w:r>
        <w:rPr>
          <w:rFonts w:hint="eastAsia"/>
        </w:rPr>
        <w:t>《数据标准化规范》、《数据接入验证报告》</w:t>
      </w:r>
    </w:p>
    <w:p w14:paraId="1DD4CD9A">
      <w:pPr>
        <w:pStyle w:val="30"/>
        <w:bidi w:val="0"/>
        <w:rPr>
          <w:rFonts w:hint="eastAsia"/>
        </w:rPr>
      </w:pPr>
      <w:r>
        <w:rPr>
          <w:rFonts w:hint="eastAsia"/>
        </w:rPr>
        <w:t>里程碑达成： ✅ 核心平台运行正常，具备基础数据接入与分析能力。</w:t>
      </w:r>
    </w:p>
    <w:p w14:paraId="657906C7">
      <w:pPr>
        <w:pStyle w:val="31"/>
        <w:bidi w:val="0"/>
        <w:rPr>
          <w:rFonts w:hint="eastAsia"/>
        </w:rPr>
      </w:pPr>
      <w:bookmarkStart w:id="12" w:name="_Toc22443"/>
      <w:r>
        <w:rPr>
          <w:rFonts w:hint="eastAsia"/>
        </w:rPr>
        <w:t>第三阶段：功能实现与策略优化（2026.01.02 - 2026.01.30）</w:t>
      </w:r>
      <w:bookmarkEnd w:id="12"/>
    </w:p>
    <w:p w14:paraId="18BD15B8">
      <w:pPr>
        <w:pStyle w:val="30"/>
        <w:bidi w:val="0"/>
        <w:rPr>
          <w:rFonts w:hint="eastAsia"/>
        </w:rPr>
      </w:pPr>
      <w:r>
        <w:rPr>
          <w:rFonts w:hint="eastAsia"/>
        </w:rPr>
        <w:t>目标达成情况： 构建核心安全分析能力，完成态势可视化展示，实现初步监测预警。本阶段较计划提前约一个月完成。</w:t>
      </w:r>
    </w:p>
    <w:p w14:paraId="6B3483CE">
      <w:pPr>
        <w:pStyle w:val="32"/>
        <w:bidi w:val="0"/>
        <w:rPr>
          <w:rFonts w:hint="eastAsia"/>
        </w:rPr>
      </w:pPr>
      <w:bookmarkStart w:id="13" w:name="_Toc29910"/>
      <w:r>
        <w:rPr>
          <w:rFonts w:hint="eastAsia"/>
        </w:rPr>
        <w:t>主要完成工作</w:t>
      </w:r>
      <w:bookmarkEnd w:id="13"/>
    </w:p>
    <w:p w14:paraId="21AB414E">
      <w:pPr>
        <w:pStyle w:val="30"/>
        <w:bidi w:val="0"/>
        <w:rPr>
          <w:rFonts w:hint="eastAsia"/>
        </w:rPr>
      </w:pPr>
      <w:r>
        <w:rPr>
          <w:rFonts w:hint="eastAsia"/>
        </w:rPr>
        <w:t>基于行业情报与本地需求，配置入侵检测、异常行为、合规检查等分析规则与模型；</w:t>
      </w:r>
    </w:p>
    <w:p w14:paraId="5737BB92">
      <w:pPr>
        <w:pStyle w:val="30"/>
        <w:bidi w:val="0"/>
        <w:rPr>
          <w:rFonts w:hint="eastAsia"/>
        </w:rPr>
      </w:pPr>
      <w:r>
        <w:rPr>
          <w:rFonts w:hint="eastAsia"/>
        </w:rPr>
        <w:t>完成安全态势总览、资产风险、攻击溯源、报表统计等可视化大屏开发；</w:t>
      </w:r>
    </w:p>
    <w:p w14:paraId="22F3201B">
      <w:pPr>
        <w:pStyle w:val="30"/>
        <w:bidi w:val="0"/>
        <w:rPr>
          <w:rFonts w:hint="eastAsia"/>
        </w:rPr>
      </w:pPr>
      <w:r>
        <w:rPr>
          <w:rFonts w:hint="eastAsia"/>
        </w:rPr>
        <w:t>设定告警级别与通知方式，完成与现有工单流程的初步对接；</w:t>
      </w:r>
    </w:p>
    <w:p w14:paraId="266893CF">
      <w:pPr>
        <w:pStyle w:val="30"/>
        <w:bidi w:val="0"/>
        <w:rPr>
          <w:rFonts w:hint="eastAsia"/>
        </w:rPr>
      </w:pPr>
      <w:r>
        <w:rPr>
          <w:rFonts w:hint="eastAsia"/>
        </w:rPr>
        <w:t>完成与现有网管、安管平台的接口联调。</w:t>
      </w:r>
    </w:p>
    <w:p w14:paraId="61F38150">
      <w:pPr>
        <w:pStyle w:val="32"/>
        <w:bidi w:val="0"/>
        <w:rPr>
          <w:rFonts w:hint="eastAsia"/>
        </w:rPr>
      </w:pPr>
      <w:bookmarkStart w:id="14" w:name="_Toc1363"/>
      <w:r>
        <w:rPr>
          <w:rFonts w:hint="eastAsia"/>
        </w:rPr>
        <w:t>关键交付物</w:t>
      </w:r>
      <w:bookmarkEnd w:id="14"/>
    </w:p>
    <w:p w14:paraId="4815E5B9">
      <w:pPr>
        <w:pStyle w:val="30"/>
        <w:bidi w:val="0"/>
        <w:rPr>
          <w:rFonts w:hint="eastAsia"/>
        </w:rPr>
      </w:pPr>
      <w:r>
        <w:rPr>
          <w:rFonts w:hint="eastAsia"/>
        </w:rPr>
        <w:t>《威胁检测规则集》、《模型配置文档》</w:t>
      </w:r>
    </w:p>
    <w:p w14:paraId="5C68AE7C">
      <w:pPr>
        <w:pStyle w:val="30"/>
        <w:bidi w:val="0"/>
        <w:rPr>
          <w:rFonts w:hint="eastAsia"/>
        </w:rPr>
      </w:pPr>
      <w:r>
        <w:rPr>
          <w:rFonts w:hint="eastAsia"/>
        </w:rPr>
        <w:t>《态势可视化大屏》、《定制化报表》</w:t>
      </w:r>
    </w:p>
    <w:p w14:paraId="40B63F8D">
      <w:pPr>
        <w:pStyle w:val="30"/>
        <w:bidi w:val="0"/>
        <w:rPr>
          <w:rFonts w:hint="eastAsia"/>
        </w:rPr>
      </w:pPr>
      <w:r>
        <w:rPr>
          <w:rFonts w:hint="eastAsia"/>
        </w:rPr>
        <w:t>《告警策略配置手册》、《事件响应流程V1.0》</w:t>
      </w:r>
    </w:p>
    <w:p w14:paraId="2D0684B7">
      <w:pPr>
        <w:pStyle w:val="30"/>
        <w:bidi w:val="0"/>
        <w:rPr>
          <w:rFonts w:hint="eastAsia"/>
        </w:rPr>
      </w:pPr>
      <w:r>
        <w:rPr>
          <w:rFonts w:hint="eastAsia"/>
        </w:rPr>
        <w:t>《系统集成测试报告》</w:t>
      </w:r>
    </w:p>
    <w:p w14:paraId="48166818">
      <w:pPr>
        <w:pStyle w:val="30"/>
        <w:bidi w:val="0"/>
        <w:rPr>
          <w:rFonts w:hint="eastAsia"/>
        </w:rPr>
      </w:pPr>
      <w:r>
        <w:rPr>
          <w:rFonts w:hint="eastAsia"/>
        </w:rPr>
        <w:t>里程碑达成： ✅ 系统核心监测与展示功能全部实现，具备上线试运行条件。</w:t>
      </w:r>
    </w:p>
    <w:p w14:paraId="5B9063BF">
      <w:pPr>
        <w:pStyle w:val="29"/>
        <w:bidi w:val="0"/>
        <w:rPr>
          <w:rFonts w:hint="eastAsia"/>
        </w:rPr>
      </w:pPr>
      <w:bookmarkStart w:id="15" w:name="_Toc25809"/>
      <w:r>
        <w:rPr>
          <w:rFonts w:hint="eastAsia"/>
        </w:rPr>
        <w:t>关键指标达成情况（截至</w:t>
      </w:r>
      <w:r>
        <w:rPr>
          <w:rFonts w:hint="eastAsia"/>
          <w:lang w:val="en-US" w:eastAsia="zh-CN"/>
        </w:rPr>
        <w:t>目前</w:t>
      </w:r>
      <w:r>
        <w:rPr>
          <w:rFonts w:hint="eastAsia"/>
        </w:rPr>
        <w:t>）</w:t>
      </w:r>
      <w:bookmarkEnd w:id="15"/>
    </w:p>
    <w:p w14:paraId="1FBB0F6F">
      <w:pPr>
        <w:rPr>
          <w:rFonts w:hint="eastAsia"/>
        </w:rPr>
      </w:pPr>
      <w:r>
        <w:rPr>
          <w:rFonts w:hint="eastAsia"/>
        </w:rPr>
        <w:br w:type="page"/>
      </w:r>
    </w:p>
    <w:p w14:paraId="531AD96D">
      <w:pPr>
        <w:pStyle w:val="30"/>
        <w:rPr>
          <w:rFonts w:hint="eastAsia"/>
        </w:rPr>
      </w:pP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89"/>
        <w:gridCol w:w="2126"/>
        <w:gridCol w:w="1778"/>
        <w:gridCol w:w="1629"/>
      </w:tblGrid>
      <w:tr w14:paraId="38F8C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2989" w:type="dxa"/>
            <w:tcBorders>
              <w:top w:val="single" w:color="auto" w:sz="12"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4B69C056">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指标项</w:t>
            </w:r>
          </w:p>
        </w:tc>
        <w:tc>
          <w:tcPr>
            <w:tcW w:w="2126"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C9D77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目标值</w:t>
            </w:r>
          </w:p>
        </w:tc>
        <w:tc>
          <w:tcPr>
            <w:tcW w:w="1778"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1ADB81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当前实测值</w:t>
            </w:r>
          </w:p>
        </w:tc>
        <w:tc>
          <w:tcPr>
            <w:tcW w:w="1629" w:type="dxa"/>
            <w:tcBorders>
              <w:top w:val="single" w:color="auto" w:sz="12" w:space="0"/>
              <w:left w:val="single" w:color="auto" w:sz="4" w:space="0"/>
              <w:bottom w:val="nil"/>
              <w:right w:val="single" w:color="auto" w:sz="12" w:space="0"/>
            </w:tcBorders>
            <w:shd w:val="clear" w:color="auto" w:fill="FFFFFF"/>
            <w:noWrap w:val="0"/>
            <w:tcMar>
              <w:top w:w="150" w:type="dxa"/>
              <w:left w:w="240" w:type="dxa"/>
              <w:bottom w:w="150" w:type="dxa"/>
              <w:right w:w="240" w:type="dxa"/>
            </w:tcMar>
            <w:vAlign w:val="center"/>
          </w:tcPr>
          <w:p w14:paraId="1CB0F8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状态</w:t>
            </w:r>
          </w:p>
        </w:tc>
      </w:tr>
      <w:tr w14:paraId="7AC68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989"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4F779AD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系统部署完成率</w:t>
            </w:r>
          </w:p>
        </w:tc>
        <w:tc>
          <w:tcPr>
            <w:tcW w:w="21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E02E1C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100%</w:t>
            </w:r>
          </w:p>
        </w:tc>
        <w:tc>
          <w:tcPr>
            <w:tcW w:w="1778"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26A63F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100%</w:t>
            </w:r>
          </w:p>
        </w:tc>
        <w:tc>
          <w:tcPr>
            <w:tcW w:w="1629"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65DE56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 达成</w:t>
            </w:r>
          </w:p>
        </w:tc>
      </w:tr>
      <w:tr w14:paraId="6A684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989"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2E67DB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数据接入覆盖率</w:t>
            </w:r>
          </w:p>
        </w:tc>
        <w:tc>
          <w:tcPr>
            <w:tcW w:w="21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4C602F9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目标站点100%</w:t>
            </w:r>
          </w:p>
        </w:tc>
        <w:tc>
          <w:tcPr>
            <w:tcW w:w="1778"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4771BA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100%</w:t>
            </w:r>
          </w:p>
        </w:tc>
        <w:tc>
          <w:tcPr>
            <w:tcW w:w="1629"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75EECE0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 达成</w:t>
            </w:r>
          </w:p>
        </w:tc>
      </w:tr>
      <w:tr w14:paraId="0EBBF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989"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0D2CA0D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告警规则配置数量</w:t>
            </w:r>
          </w:p>
        </w:tc>
        <w:tc>
          <w:tcPr>
            <w:tcW w:w="21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1C8FE2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≥50条</w:t>
            </w:r>
          </w:p>
        </w:tc>
        <w:tc>
          <w:tcPr>
            <w:tcW w:w="1778"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0A9E72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68条</w:t>
            </w:r>
          </w:p>
        </w:tc>
        <w:tc>
          <w:tcPr>
            <w:tcW w:w="1629"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16EACB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 超额完成</w:t>
            </w:r>
          </w:p>
        </w:tc>
      </w:tr>
      <w:tr w14:paraId="0D7A3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989"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742A74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可视化大屏开发完成率</w:t>
            </w:r>
          </w:p>
        </w:tc>
        <w:tc>
          <w:tcPr>
            <w:tcW w:w="21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5A31F7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100%</w:t>
            </w:r>
          </w:p>
        </w:tc>
        <w:tc>
          <w:tcPr>
            <w:tcW w:w="1778"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01A8A1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100%</w:t>
            </w:r>
          </w:p>
        </w:tc>
        <w:tc>
          <w:tcPr>
            <w:tcW w:w="1629"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244010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 达成</w:t>
            </w:r>
          </w:p>
        </w:tc>
      </w:tr>
      <w:tr w14:paraId="400F6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989"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4C71A8E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系统集成接口联调通过率</w:t>
            </w:r>
          </w:p>
        </w:tc>
        <w:tc>
          <w:tcPr>
            <w:tcW w:w="2126"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0DD5403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100%</w:t>
            </w:r>
          </w:p>
        </w:tc>
        <w:tc>
          <w:tcPr>
            <w:tcW w:w="1778"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078D81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100%</w:t>
            </w:r>
          </w:p>
        </w:tc>
        <w:tc>
          <w:tcPr>
            <w:tcW w:w="1629"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4186F0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 达成</w:t>
            </w:r>
          </w:p>
        </w:tc>
      </w:tr>
      <w:tr w14:paraId="1FEE6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989" w:type="dxa"/>
            <w:tcBorders>
              <w:top w:val="single" w:color="auto" w:sz="4" w:space="0"/>
              <w:left w:val="single" w:color="auto" w:sz="12" w:space="0"/>
              <w:bottom w:val="single" w:color="auto" w:sz="12" w:space="0"/>
              <w:right w:val="nil"/>
            </w:tcBorders>
            <w:shd w:val="clear" w:color="auto" w:fill="FFFFFF"/>
            <w:noWrap w:val="0"/>
            <w:tcMar>
              <w:top w:w="150" w:type="dxa"/>
              <w:left w:w="-1" w:type="dxa"/>
              <w:bottom w:w="150" w:type="dxa"/>
              <w:right w:w="240" w:type="dxa"/>
            </w:tcMar>
            <w:vAlign w:val="center"/>
          </w:tcPr>
          <w:p w14:paraId="534850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核心功能测试通过率</w:t>
            </w:r>
          </w:p>
        </w:tc>
        <w:tc>
          <w:tcPr>
            <w:tcW w:w="2126"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3822CC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100%</w:t>
            </w:r>
          </w:p>
        </w:tc>
        <w:tc>
          <w:tcPr>
            <w:tcW w:w="1778"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3D7775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100%</w:t>
            </w:r>
          </w:p>
        </w:tc>
        <w:tc>
          <w:tcPr>
            <w:tcW w:w="1629" w:type="dxa"/>
            <w:tcBorders>
              <w:top w:val="single" w:color="auto" w:sz="4" w:space="0"/>
              <w:left w:val="single" w:color="auto" w:sz="4" w:space="0"/>
              <w:bottom w:val="single" w:color="auto" w:sz="12" w:space="0"/>
              <w:right w:val="single" w:color="auto" w:sz="12" w:space="0"/>
            </w:tcBorders>
            <w:shd w:val="clear" w:color="auto" w:fill="FFFFFF"/>
            <w:noWrap w:val="0"/>
            <w:tcMar>
              <w:top w:w="150" w:type="dxa"/>
              <w:left w:w="240" w:type="dxa"/>
              <w:bottom w:w="150" w:type="dxa"/>
              <w:right w:w="-1" w:type="dxa"/>
            </w:tcMar>
            <w:vAlign w:val="center"/>
          </w:tcPr>
          <w:p w14:paraId="23EEA9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 达成</w:t>
            </w:r>
          </w:p>
        </w:tc>
      </w:tr>
    </w:tbl>
    <w:p w14:paraId="4A9F45EC">
      <w:pPr>
        <w:pStyle w:val="29"/>
        <w:bidi w:val="0"/>
        <w:rPr>
          <w:rFonts w:hint="eastAsia"/>
        </w:rPr>
      </w:pPr>
      <w:bookmarkStart w:id="16" w:name="_Toc30881"/>
      <w:r>
        <w:rPr>
          <w:rFonts w:hint="eastAsia"/>
        </w:rPr>
        <w:t>风险管理回顾</w:t>
      </w:r>
      <w:bookmarkEnd w:id="16"/>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5"/>
        <w:gridCol w:w="2774"/>
        <w:gridCol w:w="2951"/>
        <w:gridCol w:w="1672"/>
      </w:tblGrid>
      <w:tr w14:paraId="31614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125" w:type="dxa"/>
            <w:tcBorders>
              <w:top w:val="single" w:color="auto" w:sz="12"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4BD354D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风险类别</w:t>
            </w:r>
          </w:p>
        </w:tc>
        <w:tc>
          <w:tcPr>
            <w:tcW w:w="2774"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2D6A9C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风险描述</w:t>
            </w:r>
          </w:p>
        </w:tc>
        <w:tc>
          <w:tcPr>
            <w:tcW w:w="2951" w:type="dxa"/>
            <w:tcBorders>
              <w:top w:val="single" w:color="auto" w:sz="12"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9896B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应对措施</w:t>
            </w:r>
          </w:p>
        </w:tc>
        <w:tc>
          <w:tcPr>
            <w:tcW w:w="1672" w:type="dxa"/>
            <w:tcBorders>
              <w:top w:val="single" w:color="auto" w:sz="12" w:space="0"/>
              <w:left w:val="single" w:color="auto" w:sz="4" w:space="0"/>
              <w:bottom w:val="nil"/>
              <w:right w:val="single" w:color="auto" w:sz="12" w:space="0"/>
            </w:tcBorders>
            <w:shd w:val="clear" w:color="auto" w:fill="FFFFFF"/>
            <w:noWrap w:val="0"/>
            <w:tcMar>
              <w:top w:w="150" w:type="dxa"/>
              <w:left w:w="240" w:type="dxa"/>
              <w:bottom w:w="150" w:type="dxa"/>
              <w:right w:w="240" w:type="dxa"/>
            </w:tcMar>
            <w:vAlign w:val="center"/>
          </w:tcPr>
          <w:p w14:paraId="5C1FD3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bdr w:val="none" w:color="auto" w:sz="0" w:space="0"/>
                <w:lang w:val="en-US" w:eastAsia="zh-CN" w:bidi="ar"/>
              </w:rPr>
              <w:t>当前状态</w:t>
            </w:r>
          </w:p>
        </w:tc>
      </w:tr>
      <w:tr w14:paraId="205AF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5"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25A149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技术风险</w:t>
            </w:r>
          </w:p>
        </w:tc>
        <w:tc>
          <w:tcPr>
            <w:tcW w:w="2774"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653E7C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现有网络结构复杂，数据采集不全</w:t>
            </w:r>
          </w:p>
        </w:tc>
        <w:tc>
          <w:tcPr>
            <w:tcW w:w="2951"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1608FE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分步采集方案，流量镜像技术，严格测试</w:t>
            </w:r>
          </w:p>
        </w:tc>
        <w:tc>
          <w:tcPr>
            <w:tcW w:w="1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3C92CC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 可控</w:t>
            </w:r>
          </w:p>
        </w:tc>
      </w:tr>
      <w:tr w14:paraId="7566A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25"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5686AD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进度风险</w:t>
            </w:r>
          </w:p>
        </w:tc>
        <w:tc>
          <w:tcPr>
            <w:tcW w:w="2774"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78ED73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硬件采购延迟</w:t>
            </w:r>
          </w:p>
        </w:tc>
        <w:tc>
          <w:tcPr>
            <w:tcW w:w="2951"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3B3342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预留缓冲时间，提前启动采购流程</w:t>
            </w:r>
          </w:p>
        </w:tc>
        <w:tc>
          <w:tcPr>
            <w:tcW w:w="1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DB0CE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 已规避</w:t>
            </w:r>
          </w:p>
        </w:tc>
      </w:tr>
      <w:tr w14:paraId="32386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25" w:type="dxa"/>
            <w:tcBorders>
              <w:top w:val="single" w:color="auto" w:sz="4" w:space="0"/>
              <w:left w:val="single" w:color="auto" w:sz="12" w:space="0"/>
              <w:bottom w:val="nil"/>
              <w:right w:val="nil"/>
            </w:tcBorders>
            <w:shd w:val="clear" w:color="auto" w:fill="FFFFFF"/>
            <w:noWrap w:val="0"/>
            <w:tcMar>
              <w:top w:w="150" w:type="dxa"/>
              <w:left w:w="-1" w:type="dxa"/>
              <w:bottom w:w="150" w:type="dxa"/>
              <w:right w:w="240" w:type="dxa"/>
            </w:tcMar>
            <w:vAlign w:val="center"/>
          </w:tcPr>
          <w:p w14:paraId="6E977F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技术风险</w:t>
            </w:r>
          </w:p>
        </w:tc>
        <w:tc>
          <w:tcPr>
            <w:tcW w:w="2774"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55D3CE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检测规则误报率偏高</w:t>
            </w:r>
          </w:p>
        </w:tc>
        <w:tc>
          <w:tcPr>
            <w:tcW w:w="2951" w:type="dxa"/>
            <w:tcBorders>
              <w:top w:val="single" w:color="auto" w:sz="4" w:space="0"/>
              <w:left w:val="single" w:color="auto" w:sz="4" w:space="0"/>
              <w:bottom w:val="nil"/>
              <w:right w:val="nil"/>
            </w:tcBorders>
            <w:shd w:val="clear" w:color="auto" w:fill="FFFFFF"/>
            <w:noWrap w:val="0"/>
            <w:tcMar>
              <w:top w:w="150" w:type="dxa"/>
              <w:left w:w="240" w:type="dxa"/>
              <w:bottom w:w="150" w:type="dxa"/>
              <w:right w:w="240" w:type="dxa"/>
            </w:tcMar>
            <w:vAlign w:val="center"/>
          </w:tcPr>
          <w:p w14:paraId="347259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持续调优规则阈值，引入机器学习辅助</w:t>
            </w:r>
          </w:p>
        </w:tc>
        <w:tc>
          <w:tcPr>
            <w:tcW w:w="1672" w:type="dxa"/>
            <w:tcBorders>
              <w:top w:val="single" w:color="auto" w:sz="4" w:space="0"/>
              <w:left w:val="single" w:color="auto" w:sz="4" w:space="0"/>
              <w:bottom w:val="nil"/>
              <w:right w:val="single" w:color="auto" w:sz="12" w:space="0"/>
            </w:tcBorders>
            <w:shd w:val="clear" w:color="auto" w:fill="FFFFFF"/>
            <w:noWrap w:val="0"/>
            <w:tcMar>
              <w:top w:w="150" w:type="dxa"/>
              <w:left w:w="240" w:type="dxa"/>
              <w:bottom w:w="150" w:type="dxa"/>
              <w:right w:w="-1" w:type="dxa"/>
            </w:tcMar>
            <w:vAlign w:val="center"/>
          </w:tcPr>
          <w:p w14:paraId="2624C7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 持续优化中</w:t>
            </w:r>
          </w:p>
        </w:tc>
      </w:tr>
      <w:tr w14:paraId="571E2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25" w:type="dxa"/>
            <w:tcBorders>
              <w:top w:val="single" w:color="auto" w:sz="4" w:space="0"/>
              <w:left w:val="single" w:color="auto" w:sz="12" w:space="0"/>
              <w:bottom w:val="single" w:color="auto" w:sz="12" w:space="0"/>
              <w:right w:val="nil"/>
            </w:tcBorders>
            <w:shd w:val="clear" w:color="auto" w:fill="FFFFFF"/>
            <w:noWrap w:val="0"/>
            <w:tcMar>
              <w:top w:w="150" w:type="dxa"/>
              <w:left w:w="-1" w:type="dxa"/>
              <w:bottom w:w="150" w:type="dxa"/>
              <w:right w:w="240" w:type="dxa"/>
            </w:tcMar>
            <w:vAlign w:val="center"/>
          </w:tcPr>
          <w:p w14:paraId="409670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安全风险</w:t>
            </w:r>
          </w:p>
        </w:tc>
        <w:tc>
          <w:tcPr>
            <w:tcW w:w="2774"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282AE0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部署操作影响生产网络</w:t>
            </w:r>
          </w:p>
        </w:tc>
        <w:tc>
          <w:tcPr>
            <w:tcW w:w="2951" w:type="dxa"/>
            <w:tcBorders>
              <w:top w:val="single" w:color="auto" w:sz="4" w:space="0"/>
              <w:left w:val="single" w:color="auto" w:sz="4" w:space="0"/>
              <w:bottom w:val="single" w:color="auto" w:sz="12" w:space="0"/>
              <w:right w:val="nil"/>
            </w:tcBorders>
            <w:shd w:val="clear" w:color="auto" w:fill="FFFFFF"/>
            <w:noWrap w:val="0"/>
            <w:tcMar>
              <w:top w:w="150" w:type="dxa"/>
              <w:left w:w="240" w:type="dxa"/>
              <w:bottom w:w="150" w:type="dxa"/>
              <w:right w:w="240" w:type="dxa"/>
            </w:tcMar>
            <w:vAlign w:val="center"/>
          </w:tcPr>
          <w:p w14:paraId="6EC65C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维护窗口操作，提前提交方案与回退计划</w:t>
            </w:r>
          </w:p>
        </w:tc>
        <w:tc>
          <w:tcPr>
            <w:tcW w:w="1672" w:type="dxa"/>
            <w:tcBorders>
              <w:top w:val="single" w:color="auto" w:sz="4" w:space="0"/>
              <w:left w:val="single" w:color="auto" w:sz="4" w:space="0"/>
              <w:bottom w:val="single" w:color="auto" w:sz="12" w:space="0"/>
              <w:right w:val="single" w:color="auto" w:sz="12" w:space="0"/>
            </w:tcBorders>
            <w:shd w:val="clear" w:color="auto" w:fill="FFFFFF"/>
            <w:noWrap w:val="0"/>
            <w:tcMar>
              <w:top w:w="150" w:type="dxa"/>
              <w:left w:w="240" w:type="dxa"/>
              <w:bottom w:w="150" w:type="dxa"/>
              <w:right w:w="-1" w:type="dxa"/>
            </w:tcMar>
            <w:vAlign w:val="center"/>
          </w:tcPr>
          <w:p w14:paraId="159543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bdr w:val="none" w:color="auto" w:sz="0" w:space="0"/>
                <w:lang w:val="en-US" w:eastAsia="zh-CN" w:bidi="ar"/>
              </w:rPr>
              <w:t>✅ 无事故</w:t>
            </w:r>
          </w:p>
        </w:tc>
      </w:tr>
    </w:tbl>
    <w:p w14:paraId="32F62D81">
      <w:pPr>
        <w:pStyle w:val="29"/>
        <w:bidi w:val="0"/>
        <w:rPr>
          <w:rFonts w:hint="eastAsia"/>
        </w:rPr>
      </w:pPr>
      <w:bookmarkStart w:id="17" w:name="_Toc14022"/>
      <w:r>
        <w:rPr>
          <w:rFonts w:hint="eastAsia"/>
        </w:rPr>
        <w:t>下一阶段工作计划</w:t>
      </w:r>
      <w:bookmarkEnd w:id="17"/>
    </w:p>
    <w:p w14:paraId="6409D604">
      <w:pPr>
        <w:pStyle w:val="31"/>
        <w:bidi w:val="0"/>
        <w:rPr>
          <w:rFonts w:hint="eastAsia"/>
        </w:rPr>
      </w:pPr>
      <w:bookmarkStart w:id="18" w:name="_Toc7755"/>
      <w:r>
        <w:rPr>
          <w:rFonts w:hint="eastAsia"/>
        </w:rPr>
        <w:t>第四阶段：系统试运行与优化（2026.03.01 - 2026.03.31）</w:t>
      </w:r>
      <w:bookmarkEnd w:id="18"/>
    </w:p>
    <w:p w14:paraId="6E31DCD4">
      <w:pPr>
        <w:pStyle w:val="32"/>
        <w:bidi w:val="0"/>
        <w:rPr>
          <w:rFonts w:hint="eastAsia"/>
        </w:rPr>
      </w:pPr>
      <w:bookmarkStart w:id="19" w:name="_Toc5583"/>
      <w:r>
        <w:rPr>
          <w:rFonts w:hint="eastAsia"/>
        </w:rPr>
        <w:t>主要任务</w:t>
      </w:r>
      <w:bookmarkEnd w:id="19"/>
    </w:p>
    <w:p w14:paraId="00E7FA12">
      <w:pPr>
        <w:pStyle w:val="30"/>
        <w:bidi w:val="0"/>
        <w:rPr>
          <w:rFonts w:hint="eastAsia"/>
        </w:rPr>
      </w:pPr>
      <w:r>
        <w:rPr>
          <w:rFonts w:hint="eastAsia"/>
        </w:rPr>
        <w:t>召开试运行启动会，系统全面投入生产监测；</w:t>
      </w:r>
    </w:p>
    <w:p w14:paraId="5DCAEF9E">
      <w:pPr>
        <w:pStyle w:val="30"/>
        <w:bidi w:val="0"/>
        <w:rPr>
          <w:rFonts w:hint="eastAsia"/>
        </w:rPr>
      </w:pPr>
      <w:r>
        <w:rPr>
          <w:rFonts w:hint="eastAsia"/>
        </w:rPr>
        <w:t>乙方提供7×24小时监控与支持，每日检查系统状态；</w:t>
      </w:r>
    </w:p>
    <w:p w14:paraId="7A17EFC4">
      <w:pPr>
        <w:pStyle w:val="30"/>
        <w:bidi w:val="0"/>
        <w:rPr>
          <w:rFonts w:hint="eastAsia"/>
        </w:rPr>
      </w:pPr>
      <w:r>
        <w:rPr>
          <w:rFonts w:hint="eastAsia"/>
        </w:rPr>
        <w:t>持续优化检测规则与系统性能；</w:t>
      </w:r>
    </w:p>
    <w:p w14:paraId="7F5DF7BA">
      <w:pPr>
        <w:pStyle w:val="30"/>
        <w:bidi w:val="0"/>
        <w:rPr>
          <w:rFonts w:hint="eastAsia"/>
        </w:rPr>
      </w:pPr>
      <w:r>
        <w:rPr>
          <w:rFonts w:hint="eastAsia"/>
        </w:rPr>
        <w:t>组织模拟攻防演练，验证系统检测与响应能力。</w:t>
      </w:r>
    </w:p>
    <w:p w14:paraId="3DE32ECC">
      <w:pPr>
        <w:pStyle w:val="32"/>
        <w:bidi w:val="0"/>
        <w:rPr>
          <w:rFonts w:hint="eastAsia"/>
        </w:rPr>
      </w:pPr>
      <w:bookmarkStart w:id="20" w:name="_Toc10552"/>
      <w:r>
        <w:rPr>
          <w:rFonts w:hint="eastAsia"/>
        </w:rPr>
        <w:t>预期交付物</w:t>
      </w:r>
      <w:bookmarkEnd w:id="20"/>
    </w:p>
    <w:p w14:paraId="504A09FE">
      <w:pPr>
        <w:pStyle w:val="30"/>
        <w:bidi w:val="0"/>
        <w:rPr>
          <w:rFonts w:hint="eastAsia"/>
        </w:rPr>
      </w:pPr>
      <w:r>
        <w:rPr>
          <w:rFonts w:hint="eastAsia"/>
        </w:rPr>
        <w:t>《试运行发布通告》、《用户操作手册V1.0》</w:t>
      </w:r>
    </w:p>
    <w:p w14:paraId="195BE1DC">
      <w:pPr>
        <w:pStyle w:val="30"/>
        <w:bidi w:val="0"/>
        <w:rPr>
          <w:rFonts w:hint="eastAsia"/>
        </w:rPr>
      </w:pPr>
      <w:r>
        <w:rPr>
          <w:rFonts w:hint="eastAsia"/>
        </w:rPr>
        <w:t>《试运行日报/周报》</w:t>
      </w:r>
    </w:p>
    <w:p w14:paraId="1B3F2D82">
      <w:pPr>
        <w:pStyle w:val="30"/>
        <w:bidi w:val="0"/>
        <w:rPr>
          <w:rFonts w:hint="eastAsia"/>
        </w:rPr>
      </w:pPr>
      <w:r>
        <w:rPr>
          <w:rFonts w:hint="eastAsia"/>
        </w:rPr>
        <w:t>《系统优化记录》</w:t>
      </w:r>
    </w:p>
    <w:p w14:paraId="7E7020B1">
      <w:pPr>
        <w:pStyle w:val="30"/>
        <w:bidi w:val="0"/>
        <w:rPr>
          <w:rFonts w:hint="eastAsia"/>
        </w:rPr>
      </w:pPr>
      <w:r>
        <w:rPr>
          <w:rFonts w:hint="eastAsia"/>
        </w:rPr>
        <w:t>《攻防演练方案与报告》</w:t>
      </w:r>
    </w:p>
    <w:p w14:paraId="05AA2EA8">
      <w:pPr>
        <w:pStyle w:val="31"/>
        <w:bidi w:val="0"/>
        <w:rPr>
          <w:rFonts w:hint="eastAsia"/>
        </w:rPr>
      </w:pPr>
      <w:bookmarkStart w:id="21" w:name="_Toc13451"/>
      <w:r>
        <w:rPr>
          <w:rFonts w:hint="eastAsia"/>
        </w:rPr>
        <w:t>第五阶段：项目收尾与验收交付（2026.04.01 - 2026.04.30）</w:t>
      </w:r>
      <w:bookmarkEnd w:id="21"/>
    </w:p>
    <w:p w14:paraId="56E39854">
      <w:pPr>
        <w:pStyle w:val="32"/>
        <w:bidi w:val="0"/>
        <w:rPr>
          <w:rFonts w:hint="eastAsia"/>
        </w:rPr>
      </w:pPr>
      <w:bookmarkStart w:id="22" w:name="_Toc26521"/>
      <w:r>
        <w:rPr>
          <w:rFonts w:hint="eastAsia"/>
        </w:rPr>
        <w:t>主要任务</w:t>
      </w:r>
      <w:bookmarkEnd w:id="22"/>
    </w:p>
    <w:p w14:paraId="303EC547">
      <w:pPr>
        <w:pStyle w:val="30"/>
        <w:bidi w:val="0"/>
        <w:rPr>
          <w:rFonts w:hint="eastAsia"/>
        </w:rPr>
      </w:pPr>
      <w:r>
        <w:rPr>
          <w:rFonts w:hint="eastAsia"/>
        </w:rPr>
        <w:t>汇总整理项目实施全过程所有技术与管理文档；</w:t>
      </w:r>
    </w:p>
    <w:p w14:paraId="0C9F37DF">
      <w:pPr>
        <w:pStyle w:val="30"/>
        <w:bidi w:val="0"/>
        <w:rPr>
          <w:rFonts w:hint="eastAsia"/>
        </w:rPr>
      </w:pPr>
      <w:r>
        <w:rPr>
          <w:rFonts w:hint="eastAsia"/>
        </w:rPr>
        <w:t>面向运维团队和管理层进行最终应用培训；</w:t>
      </w:r>
    </w:p>
    <w:p w14:paraId="41D242B0">
      <w:pPr>
        <w:pStyle w:val="30"/>
        <w:bidi w:val="0"/>
        <w:rPr>
          <w:rFonts w:hint="eastAsia"/>
        </w:rPr>
      </w:pPr>
      <w:r>
        <w:rPr>
          <w:rFonts w:hint="eastAsia"/>
        </w:rPr>
        <w:t>召开验收评审会，完成项目最终验收；</w:t>
      </w:r>
    </w:p>
    <w:p w14:paraId="6263F90F">
      <w:pPr>
        <w:pStyle w:val="30"/>
        <w:bidi w:val="0"/>
        <w:rPr>
          <w:rFonts w:hint="eastAsia"/>
        </w:rPr>
      </w:pPr>
      <w:r>
        <w:rPr>
          <w:rFonts w:hint="eastAsia"/>
        </w:rPr>
        <w:t>签署项目移交备忘录，进入质保运维期。</w:t>
      </w:r>
    </w:p>
    <w:p w14:paraId="21FA0411">
      <w:pPr>
        <w:pStyle w:val="32"/>
        <w:bidi w:val="0"/>
        <w:rPr>
          <w:rFonts w:hint="eastAsia"/>
        </w:rPr>
      </w:pPr>
      <w:bookmarkStart w:id="23" w:name="_Toc7756"/>
      <w:r>
        <w:rPr>
          <w:rFonts w:hint="eastAsia"/>
        </w:rPr>
        <w:t>预期交付物</w:t>
      </w:r>
      <w:bookmarkEnd w:id="23"/>
    </w:p>
    <w:p w14:paraId="2F1CA334">
      <w:pPr>
        <w:pStyle w:val="30"/>
        <w:bidi w:val="0"/>
        <w:rPr>
          <w:rFonts w:hint="eastAsia"/>
        </w:rPr>
      </w:pPr>
      <w:r>
        <w:rPr>
          <w:rFonts w:hint="eastAsia"/>
        </w:rPr>
        <w:t>《项目竣工报告》、《最终交付物清单》</w:t>
      </w:r>
    </w:p>
    <w:p w14:paraId="3F2E2DA5">
      <w:pPr>
        <w:pStyle w:val="30"/>
        <w:bidi w:val="0"/>
        <w:rPr>
          <w:rFonts w:hint="eastAsia"/>
        </w:rPr>
      </w:pPr>
      <w:r>
        <w:rPr>
          <w:rFonts w:hint="eastAsia"/>
        </w:rPr>
        <w:t>《培训签到记录》、《培训效果评估》</w:t>
      </w:r>
    </w:p>
    <w:p w14:paraId="706E5B42">
      <w:pPr>
        <w:pStyle w:val="30"/>
        <w:bidi w:val="0"/>
        <w:rPr>
          <w:rFonts w:hint="eastAsia"/>
        </w:rPr>
      </w:pPr>
      <w:r>
        <w:rPr>
          <w:rFonts w:hint="eastAsia"/>
        </w:rPr>
        <w:t>《项目最终验收报告》</w:t>
      </w:r>
    </w:p>
    <w:p w14:paraId="538BBABE">
      <w:pPr>
        <w:pStyle w:val="30"/>
        <w:bidi w:val="0"/>
        <w:rPr>
          <w:rFonts w:hint="eastAsia"/>
        </w:rPr>
      </w:pPr>
      <w:r>
        <w:rPr>
          <w:rFonts w:hint="eastAsia"/>
        </w:rPr>
        <w:t>《项目总结报告》、《系统移交备忘录》</w:t>
      </w:r>
    </w:p>
    <w:p w14:paraId="0736E874">
      <w:pPr>
        <w:pStyle w:val="29"/>
        <w:bidi w:val="0"/>
        <w:rPr>
          <w:rFonts w:hint="eastAsia"/>
        </w:rPr>
      </w:pPr>
      <w:bookmarkStart w:id="24" w:name="_Toc24017"/>
      <w:r>
        <w:rPr>
          <w:rFonts w:hint="eastAsia"/>
        </w:rPr>
        <w:t>总结</w:t>
      </w:r>
      <w:bookmarkEnd w:id="24"/>
    </w:p>
    <w:p w14:paraId="624AEDFE">
      <w:pPr>
        <w:pStyle w:val="30"/>
        <w:bidi w:val="0"/>
        <w:rPr>
          <w:rFonts w:hint="eastAsia"/>
        </w:rPr>
      </w:pPr>
      <w:r>
        <w:rPr>
          <w:rFonts w:hint="eastAsia"/>
        </w:rPr>
        <w:t>截至2026年1月30日，曲靖供电局110kV变电站电力监控系统网络安全态势感知系统建设项目已完成前三个阶段的所有工作，核心平台部署完成，数据接入全面实现，威胁检测与态势可视化功能已开发完毕并完成内部测试，具备上线试运行条件。</w:t>
      </w:r>
    </w:p>
    <w:p w14:paraId="514C5AEA">
      <w:pPr>
        <w:pStyle w:val="30"/>
        <w:bidi w:val="0"/>
      </w:pPr>
      <w:r>
        <w:rPr>
          <w:rFonts w:hint="eastAsia"/>
        </w:rPr>
        <w:t>项目进度较计划有所提前，质量可控，风险在控，为后续试运行与最终验收奠定了坚实基础。项目组将继续保持高效协作，确保项目于2026年4月30日前高质量完成交付与验收。</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723D5AC8"/>
    <w:multiLevelType w:val="singleLevel"/>
    <w:tmpl w:val="723D5AC8"/>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1D65D2"/>
    <w:rsid w:val="09B96D4E"/>
    <w:rsid w:val="0CDD0FA5"/>
    <w:rsid w:val="154871D8"/>
    <w:rsid w:val="1C020757"/>
    <w:rsid w:val="1CC456AF"/>
    <w:rsid w:val="1CE842B8"/>
    <w:rsid w:val="1D7067B3"/>
    <w:rsid w:val="1E62755C"/>
    <w:rsid w:val="24575689"/>
    <w:rsid w:val="34191ACB"/>
    <w:rsid w:val="3B18756D"/>
    <w:rsid w:val="3FC714BD"/>
    <w:rsid w:val="4CF15E66"/>
    <w:rsid w:val="51501312"/>
    <w:rsid w:val="55B33C1E"/>
    <w:rsid w:val="56E10C5F"/>
    <w:rsid w:val="66943173"/>
    <w:rsid w:val="6DED25B3"/>
    <w:rsid w:val="6EAE1001"/>
    <w:rsid w:val="718D75C1"/>
    <w:rsid w:val="79892D64"/>
    <w:rsid w:val="7D8A1C5B"/>
    <w:rsid w:val="7DFF3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table" w:customStyle="1" w:styleId="28">
    <w:name w:val="Table Normal_1"/>
    <w:semiHidden/>
    <w:unhideWhenUsed/>
    <w:qFormat/>
    <w:uiPriority w:val="0"/>
    <w:tblPr>
      <w:tblCellMar>
        <w:top w:w="0" w:type="dxa"/>
        <w:left w:w="0" w:type="dxa"/>
        <w:bottom w:w="0" w:type="dxa"/>
        <w:right w:w="0" w:type="dxa"/>
      </w:tblCellMar>
    </w:tbl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2354</Words>
  <Characters>2527</Characters>
  <Lines>0</Lines>
  <Paragraphs>0</Paragraphs>
  <TotalTime>0</TotalTime>
  <ScaleCrop>false</ScaleCrop>
  <LinksUpToDate>false</LinksUpToDate>
  <CharactersWithSpaces>2606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2025-12-12T05:28:00Z</dcterms:created>
  <dc:creator>郝宇</dc:creator>
  <cp:lastModifiedBy>郝宇</cp:lastModifiedBy>
  <dcterms:modified xsi:type="dcterms:W3CDTF">2026-03-04T22:04:57Z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86D88245EFDC4F8CBCC62B97C8E7A2D5_11</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