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11"/>
        <w:spacing w:line="252" w:lineRule="auto"/>
      </w:pPr>
    </w:p>
    <w:p w14:paraId="79F5E7C2">
      <w:pPr>
        <w:pStyle w:val="11"/>
        <w:spacing w:line="252" w:lineRule="auto"/>
      </w:pPr>
    </w:p>
    <w:p w14:paraId="69A27816">
      <w:pPr>
        <w:pStyle w:val="11"/>
        <w:spacing w:line="253" w:lineRule="auto"/>
      </w:pPr>
    </w:p>
    <w:p w14:paraId="0066984A">
      <w:pPr>
        <w:pStyle w:val="11"/>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11"/>
        <w:spacing w:line="263" w:lineRule="auto"/>
      </w:pPr>
    </w:p>
    <w:p w14:paraId="61E3369C">
      <w:pPr>
        <w:pStyle w:val="11"/>
        <w:spacing w:line="264" w:lineRule="auto"/>
      </w:pPr>
    </w:p>
    <w:p w14:paraId="65F9D46F">
      <w:pPr>
        <w:pStyle w:val="11"/>
        <w:spacing w:line="264" w:lineRule="auto"/>
      </w:pPr>
    </w:p>
    <w:p w14:paraId="099DFFA2">
      <w:pPr>
        <w:pStyle w:val="11"/>
        <w:spacing w:line="264" w:lineRule="auto"/>
      </w:pPr>
    </w:p>
    <w:p w14:paraId="13F9B45E">
      <w:pPr>
        <w:pStyle w:val="11"/>
        <w:spacing w:line="264" w:lineRule="auto"/>
      </w:pPr>
    </w:p>
    <w:p w14:paraId="4543CCE7">
      <w:pPr>
        <w:pStyle w:val="11"/>
        <w:spacing w:line="264" w:lineRule="auto"/>
      </w:pPr>
    </w:p>
    <w:p w14:paraId="0581DA96">
      <w:pPr>
        <w:pStyle w:val="11"/>
        <w:spacing w:line="264" w:lineRule="auto"/>
      </w:pPr>
    </w:p>
    <w:p w14:paraId="53F08860">
      <w:pPr>
        <w:pStyle w:val="11"/>
        <w:spacing w:line="264" w:lineRule="auto"/>
      </w:pPr>
    </w:p>
    <w:p w14:paraId="13BEB03D">
      <w:pPr>
        <w:pStyle w:val="11"/>
        <w:spacing w:line="264" w:lineRule="auto"/>
      </w:pPr>
    </w:p>
    <w:p w14:paraId="6D547F0D">
      <w:pPr>
        <w:spacing w:line="1282" w:lineRule="exact"/>
        <w:ind w:firstLine="2238"/>
      </w:pPr>
      <w:r>
        <w:rPr>
          <w:position w:val="-25"/>
        </w:rPr>
        <w:drawing>
          <wp:inline distT="0" distB="0" distL="0" distR="0">
            <wp:extent cx="2743200" cy="8140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43200" cy="814450"/>
                    </a:xfrm>
                    <a:prstGeom prst="rect">
                      <a:avLst/>
                    </a:prstGeom>
                  </pic:spPr>
                </pic:pic>
              </a:graphicData>
            </a:graphic>
          </wp:inline>
        </w:drawing>
      </w:r>
    </w:p>
    <w:p w14:paraId="70C40B5C">
      <w:pPr>
        <w:pStyle w:val="11"/>
        <w:spacing w:line="245" w:lineRule="auto"/>
      </w:pPr>
    </w:p>
    <w:p w14:paraId="2F805B01">
      <w:pPr>
        <w:pStyle w:val="11"/>
        <w:spacing w:line="245" w:lineRule="auto"/>
      </w:pPr>
    </w:p>
    <w:p w14:paraId="41D7EFAF">
      <w:pPr>
        <w:pStyle w:val="11"/>
        <w:spacing w:line="245" w:lineRule="auto"/>
      </w:pPr>
    </w:p>
    <w:p w14:paraId="344F4925">
      <w:pPr>
        <w:pStyle w:val="11"/>
        <w:spacing w:line="245" w:lineRule="auto"/>
      </w:pPr>
    </w:p>
    <w:p w14:paraId="43FD36F0">
      <w:pPr>
        <w:pStyle w:val="11"/>
        <w:spacing w:line="245" w:lineRule="auto"/>
      </w:pPr>
    </w:p>
    <w:p w14:paraId="5456D49E">
      <w:pPr>
        <w:pStyle w:val="11"/>
        <w:spacing w:line="245" w:lineRule="auto"/>
      </w:pPr>
    </w:p>
    <w:p w14:paraId="465A67A9">
      <w:pPr>
        <w:pStyle w:val="11"/>
        <w:spacing w:line="245" w:lineRule="auto"/>
      </w:pPr>
    </w:p>
    <w:p w14:paraId="513CCC64">
      <w:pPr>
        <w:pStyle w:val="11"/>
        <w:spacing w:line="245" w:lineRule="auto"/>
      </w:pPr>
    </w:p>
    <w:p w14:paraId="6BEA7710">
      <w:pPr>
        <w:pStyle w:val="11"/>
        <w:spacing w:line="245" w:lineRule="auto"/>
      </w:pPr>
    </w:p>
    <w:p w14:paraId="28BB0CA3">
      <w:pPr>
        <w:pStyle w:val="11"/>
        <w:spacing w:line="245" w:lineRule="auto"/>
      </w:pPr>
    </w:p>
    <w:p w14:paraId="2C27795A">
      <w:pPr>
        <w:pStyle w:val="11"/>
        <w:spacing w:line="245" w:lineRule="auto"/>
      </w:pPr>
    </w:p>
    <w:p w14:paraId="03A9CD89">
      <w:pPr>
        <w:pStyle w:val="11"/>
        <w:spacing w:line="245" w:lineRule="auto"/>
      </w:pPr>
    </w:p>
    <w:p w14:paraId="7A55DCBB">
      <w:pPr>
        <w:pStyle w:val="11"/>
        <w:spacing w:line="245" w:lineRule="auto"/>
      </w:pPr>
    </w:p>
    <w:p w14:paraId="5D684539">
      <w:pPr>
        <w:pStyle w:val="11"/>
        <w:spacing w:line="245" w:lineRule="auto"/>
      </w:pPr>
    </w:p>
    <w:p w14:paraId="0B08CEC9">
      <w:pPr>
        <w:pStyle w:val="11"/>
        <w:spacing w:line="245" w:lineRule="auto"/>
      </w:pPr>
    </w:p>
    <w:p w14:paraId="1F90E10D">
      <w:pPr>
        <w:pStyle w:val="11"/>
        <w:spacing w:line="245" w:lineRule="auto"/>
      </w:pPr>
    </w:p>
    <w:p w14:paraId="519361E3">
      <w:pPr>
        <w:pStyle w:val="11"/>
        <w:spacing w:line="245" w:lineRule="auto"/>
      </w:pPr>
    </w:p>
    <w:p w14:paraId="08613F3B">
      <w:pPr>
        <w:pStyle w:val="11"/>
        <w:spacing w:line="245" w:lineRule="auto"/>
      </w:pPr>
    </w:p>
    <w:p w14:paraId="515644C5">
      <w:pPr>
        <w:pStyle w:val="11"/>
        <w:spacing w:line="245" w:lineRule="auto"/>
      </w:pPr>
    </w:p>
    <w:p w14:paraId="24F71F0B">
      <w:pPr>
        <w:pStyle w:val="11"/>
        <w:spacing w:line="245" w:lineRule="auto"/>
      </w:pPr>
    </w:p>
    <w:p w14:paraId="0740982D">
      <w:pPr>
        <w:pStyle w:val="11"/>
        <w:spacing w:line="245" w:lineRule="auto"/>
      </w:pPr>
    </w:p>
    <w:p w14:paraId="1E69E876">
      <w:pPr>
        <w:spacing w:before="114" w:line="224" w:lineRule="auto"/>
        <w:ind w:left="1907"/>
        <w:rPr>
          <w:rFonts w:ascii="宋体" w:hAnsi="宋体" w:eastAsia="宋体" w:cs="宋体"/>
          <w:sz w:val="35"/>
          <w:szCs w:val="35"/>
        </w:rPr>
      </w:pPr>
      <w:r>
        <w:rPr>
          <w:rFonts w:ascii="宋体" w:hAnsi="宋体" w:eastAsia="宋体" w:cs="宋体"/>
          <w:spacing w:val="7"/>
          <w:sz w:val="35"/>
          <w:szCs w:val="35"/>
        </w:rPr>
        <w:t>青岛慧海联创信息技术有限公司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bookmarkStart w:id="0" w:name="_Toc8543"/>
      <w:r>
        <w:rPr>
          <w:rFonts w:ascii="宋体" w:hAnsi="宋体" w:eastAsia="宋体" w:cs="宋体"/>
          <w:spacing w:val="-5"/>
          <w:sz w:val="28"/>
          <w:szCs w:val="28"/>
        </w:rPr>
        <w:t>文档信息</w:t>
      </w:r>
      <w:bookmarkEnd w:id="0"/>
    </w:p>
    <w:p w14:paraId="7EC3C678">
      <w:pPr>
        <w:spacing w:line="100" w:lineRule="exact"/>
      </w:pPr>
    </w:p>
    <w:tbl>
      <w:tblPr>
        <w:tblStyle w:val="19"/>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ascii="宋体" w:hAnsi="宋体" w:eastAsia="宋体" w:cs="宋体"/>
                <w:sz w:val="20"/>
                <w:szCs w:val="20"/>
              </w:rPr>
              <w:t>HHLC</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ascii="宋体" w:hAnsi="宋体" w:eastAsia="宋体" w:cs="宋体"/>
                <w:spacing w:val="8"/>
                <w:sz w:val="20"/>
                <w:szCs w:val="20"/>
              </w:rPr>
              <w:t>青岛慧海联创信息技术有限公司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top"/>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top"/>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top"/>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top"/>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EB62F21">
            <w:pPr>
              <w:spacing w:before="194" w:line="268" w:lineRule="exact"/>
              <w:ind w:left="574"/>
              <w:rPr>
                <w:rFonts w:ascii="宋体" w:hAnsi="宋体" w:eastAsia="宋体" w:cs="宋体"/>
                <w:sz w:val="20"/>
                <w:szCs w:val="20"/>
              </w:rPr>
            </w:pPr>
            <w:r>
              <w:rPr>
                <w:rFonts w:ascii="宋体" w:hAnsi="宋体" w:eastAsia="宋体" w:cs="宋体"/>
                <w:spacing w:val="3"/>
                <w:position w:val="1"/>
                <w:sz w:val="20"/>
                <w:szCs w:val="20"/>
              </w:rPr>
              <w:t>V1.0</w:t>
            </w:r>
          </w:p>
        </w:tc>
        <w:tc>
          <w:tcPr>
            <w:tcW w:w="1695" w:type="dxa"/>
            <w:vAlign w:val="top"/>
          </w:tcPr>
          <w:p w14:paraId="7F714B87">
            <w:pPr>
              <w:spacing w:before="194" w:line="269" w:lineRule="exact"/>
              <w:ind w:left="443"/>
              <w:rPr>
                <w:rFonts w:ascii="宋体" w:hAnsi="宋体" w:eastAsia="宋体" w:cs="宋体"/>
                <w:sz w:val="20"/>
                <w:szCs w:val="20"/>
              </w:rPr>
            </w:pPr>
            <w:r>
              <w:rPr>
                <w:rFonts w:ascii="宋体" w:hAnsi="宋体" w:eastAsia="宋体" w:cs="宋体"/>
                <w:spacing w:val="2"/>
                <w:position w:val="1"/>
                <w:sz w:val="20"/>
                <w:szCs w:val="20"/>
              </w:rPr>
              <w:t>2025-1-4</w:t>
            </w:r>
          </w:p>
        </w:tc>
        <w:tc>
          <w:tcPr>
            <w:tcW w:w="2301" w:type="dxa"/>
            <w:vAlign w:val="top"/>
          </w:tcPr>
          <w:p w14:paraId="24A0280D">
            <w:pPr>
              <w:spacing w:before="146" w:line="227" w:lineRule="auto"/>
              <w:ind w:left="750"/>
              <w:rPr>
                <w:rFonts w:ascii="宋体" w:hAnsi="宋体" w:eastAsia="宋体" w:cs="宋体"/>
                <w:sz w:val="20"/>
                <w:szCs w:val="20"/>
              </w:rPr>
            </w:pPr>
            <w:r>
              <w:rPr>
                <w:rFonts w:ascii="宋体" w:hAnsi="宋体" w:eastAsia="宋体" w:cs="宋体"/>
                <w:spacing w:val="4"/>
                <w:sz w:val="20"/>
                <w:szCs w:val="20"/>
              </w:rPr>
              <w:t>发布版本</w:t>
            </w:r>
          </w:p>
        </w:tc>
        <w:tc>
          <w:tcPr>
            <w:tcW w:w="1556" w:type="dxa"/>
            <w:vAlign w:val="top"/>
          </w:tcPr>
          <w:p w14:paraId="2E0AE67C">
            <w:pPr>
              <w:spacing w:before="149" w:line="228" w:lineRule="auto"/>
              <w:ind w:left="501"/>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郑永伟</w:t>
            </w:r>
          </w:p>
        </w:tc>
        <w:tc>
          <w:tcPr>
            <w:tcW w:w="1956" w:type="dxa"/>
            <w:vAlign w:val="top"/>
          </w:tcPr>
          <w:p w14:paraId="2CACCA5F">
            <w:pPr>
              <w:spacing w:before="146" w:line="228" w:lineRule="auto"/>
              <w:ind w:left="689"/>
              <w:rPr>
                <w:rFonts w:ascii="宋体" w:hAnsi="宋体" w:eastAsia="宋体" w:cs="宋体"/>
                <w:sz w:val="20"/>
                <w:szCs w:val="20"/>
              </w:rPr>
            </w:pPr>
            <w:r>
              <w:rPr>
                <w:rFonts w:ascii="宋体" w:hAnsi="宋体" w:eastAsia="宋体" w:cs="宋体"/>
                <w:spacing w:val="2"/>
                <w:sz w:val="20"/>
                <w:szCs w:val="20"/>
              </w:rPr>
              <w:t>张仲全</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20"/>
            </w:pPr>
          </w:p>
        </w:tc>
        <w:tc>
          <w:tcPr>
            <w:tcW w:w="1695" w:type="dxa"/>
            <w:vAlign w:val="top"/>
          </w:tcPr>
          <w:p w14:paraId="32D265DC">
            <w:pPr>
              <w:pStyle w:val="20"/>
            </w:pPr>
          </w:p>
        </w:tc>
        <w:tc>
          <w:tcPr>
            <w:tcW w:w="2301" w:type="dxa"/>
            <w:vAlign w:val="top"/>
          </w:tcPr>
          <w:p w14:paraId="76F0915A">
            <w:pPr>
              <w:pStyle w:val="20"/>
            </w:pPr>
          </w:p>
        </w:tc>
        <w:tc>
          <w:tcPr>
            <w:tcW w:w="1556" w:type="dxa"/>
            <w:vAlign w:val="top"/>
          </w:tcPr>
          <w:p w14:paraId="217EB92C">
            <w:pPr>
              <w:pStyle w:val="20"/>
            </w:pPr>
          </w:p>
        </w:tc>
        <w:tc>
          <w:tcPr>
            <w:tcW w:w="1956" w:type="dxa"/>
            <w:vAlign w:val="top"/>
          </w:tcPr>
          <w:p w14:paraId="62AD4583">
            <w:pPr>
              <w:pStyle w:val="20"/>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20"/>
            </w:pPr>
          </w:p>
        </w:tc>
        <w:tc>
          <w:tcPr>
            <w:tcW w:w="1695" w:type="dxa"/>
            <w:vAlign w:val="top"/>
          </w:tcPr>
          <w:p w14:paraId="68CF7294">
            <w:pPr>
              <w:pStyle w:val="20"/>
            </w:pPr>
          </w:p>
        </w:tc>
        <w:tc>
          <w:tcPr>
            <w:tcW w:w="2301" w:type="dxa"/>
            <w:vAlign w:val="top"/>
          </w:tcPr>
          <w:p w14:paraId="072EF7A8">
            <w:pPr>
              <w:pStyle w:val="20"/>
            </w:pPr>
          </w:p>
        </w:tc>
        <w:tc>
          <w:tcPr>
            <w:tcW w:w="1556" w:type="dxa"/>
            <w:vAlign w:val="top"/>
          </w:tcPr>
          <w:p w14:paraId="4B5DEF23">
            <w:pPr>
              <w:pStyle w:val="20"/>
            </w:pPr>
          </w:p>
        </w:tc>
        <w:tc>
          <w:tcPr>
            <w:tcW w:w="1956" w:type="dxa"/>
            <w:vAlign w:val="top"/>
          </w:tcPr>
          <w:p w14:paraId="63AB09F1">
            <w:pPr>
              <w:pStyle w:val="20"/>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20"/>
            </w:pPr>
          </w:p>
        </w:tc>
        <w:tc>
          <w:tcPr>
            <w:tcW w:w="1695" w:type="dxa"/>
            <w:vAlign w:val="top"/>
          </w:tcPr>
          <w:p w14:paraId="0F6E52E6">
            <w:pPr>
              <w:pStyle w:val="20"/>
            </w:pPr>
          </w:p>
        </w:tc>
        <w:tc>
          <w:tcPr>
            <w:tcW w:w="2301" w:type="dxa"/>
            <w:vAlign w:val="top"/>
          </w:tcPr>
          <w:p w14:paraId="63F29EA1">
            <w:pPr>
              <w:pStyle w:val="20"/>
            </w:pPr>
          </w:p>
        </w:tc>
        <w:tc>
          <w:tcPr>
            <w:tcW w:w="1556" w:type="dxa"/>
            <w:vAlign w:val="top"/>
          </w:tcPr>
          <w:p w14:paraId="2F0DFEB5">
            <w:pPr>
              <w:pStyle w:val="20"/>
            </w:pPr>
          </w:p>
        </w:tc>
        <w:tc>
          <w:tcPr>
            <w:tcW w:w="1956" w:type="dxa"/>
            <w:vAlign w:val="top"/>
          </w:tcPr>
          <w:p w14:paraId="4200FBAF">
            <w:pPr>
              <w:pStyle w:val="20"/>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20"/>
            </w:pPr>
          </w:p>
        </w:tc>
        <w:tc>
          <w:tcPr>
            <w:tcW w:w="1695" w:type="dxa"/>
            <w:vAlign w:val="top"/>
          </w:tcPr>
          <w:p w14:paraId="1A69E707">
            <w:pPr>
              <w:pStyle w:val="20"/>
            </w:pPr>
          </w:p>
        </w:tc>
        <w:tc>
          <w:tcPr>
            <w:tcW w:w="2301" w:type="dxa"/>
            <w:vAlign w:val="top"/>
          </w:tcPr>
          <w:p w14:paraId="739A86DF">
            <w:pPr>
              <w:pStyle w:val="20"/>
            </w:pPr>
          </w:p>
        </w:tc>
        <w:tc>
          <w:tcPr>
            <w:tcW w:w="1556" w:type="dxa"/>
            <w:vAlign w:val="top"/>
          </w:tcPr>
          <w:p w14:paraId="05524B85">
            <w:pPr>
              <w:pStyle w:val="20"/>
            </w:pPr>
          </w:p>
        </w:tc>
        <w:tc>
          <w:tcPr>
            <w:tcW w:w="1956" w:type="dxa"/>
            <w:vAlign w:val="top"/>
          </w:tcPr>
          <w:p w14:paraId="474D594E">
            <w:pPr>
              <w:pStyle w:val="20"/>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20"/>
            </w:pPr>
          </w:p>
        </w:tc>
        <w:tc>
          <w:tcPr>
            <w:tcW w:w="1695" w:type="dxa"/>
            <w:vAlign w:val="top"/>
          </w:tcPr>
          <w:p w14:paraId="3892A269">
            <w:pPr>
              <w:pStyle w:val="20"/>
            </w:pPr>
          </w:p>
        </w:tc>
        <w:tc>
          <w:tcPr>
            <w:tcW w:w="2301" w:type="dxa"/>
            <w:vAlign w:val="top"/>
          </w:tcPr>
          <w:p w14:paraId="70B110F5">
            <w:pPr>
              <w:pStyle w:val="20"/>
            </w:pPr>
          </w:p>
        </w:tc>
        <w:tc>
          <w:tcPr>
            <w:tcW w:w="1556" w:type="dxa"/>
            <w:vAlign w:val="top"/>
          </w:tcPr>
          <w:p w14:paraId="70DCCB00">
            <w:pPr>
              <w:pStyle w:val="20"/>
            </w:pPr>
          </w:p>
        </w:tc>
        <w:tc>
          <w:tcPr>
            <w:tcW w:w="1956" w:type="dxa"/>
            <w:vAlign w:val="top"/>
          </w:tcPr>
          <w:p w14:paraId="5CE815F4">
            <w:pPr>
              <w:pStyle w:val="20"/>
            </w:pPr>
          </w:p>
        </w:tc>
      </w:tr>
    </w:tbl>
    <w:p w14:paraId="31A6AC6C">
      <w:pPr>
        <w:pStyle w:val="11"/>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Arial"/>
          <w:snapToGrid w:val="0"/>
          <w:color w:val="000000"/>
          <w:kern w:val="0"/>
          <w:sz w:val="21"/>
          <w:szCs w:val="21"/>
          <w:lang w:val="en-US" w:eastAsia="en-US" w:bidi="ar-SA"/>
        </w:rPr>
        <w:id w:val="147458789"/>
        <w15:color w:val="DBDBDB"/>
        <w:docPartObj>
          <w:docPartGallery w:val="Table of Contents"/>
          <w:docPartUnique/>
        </w:docPartObj>
      </w:sdtPr>
      <w:sdtEndPr>
        <w:rPr>
          <w:rFonts w:ascii="Calibri" w:hAnsi="Calibri" w:eastAsia="Calibri" w:cs="Calibri"/>
          <w:snapToGrid w:val="0"/>
          <w:color w:val="000000"/>
          <w:kern w:val="0"/>
          <w:sz w:val="21"/>
          <w:szCs w:val="19"/>
          <w:lang w:val="en-US" w:eastAsia="en-US" w:bidi="ar-SA"/>
        </w:rPr>
      </w:sdtEndPr>
      <w:sdtContent>
        <w:p w14:paraId="37F4FF2D">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1BFFA2DF">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E9E42E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_Toc20963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_Toc20963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5CF230">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_Toc29872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_Toc29872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95C8A9">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B89ACA">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_Toc28460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输入与输出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_Toc28460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6976F2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_Toc24115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4.1. 主要输入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_Toc24115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B92627">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4.2. 主要输出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8B7F19">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_Toc21135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职责权限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_Toc21135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EE91E0D">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_Toc3987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服务目录管理机制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_Toc3987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4A25BD3">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6.1. 服务目录内容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94A53E">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6.2. 受众和目标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21ED7A">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6.3. 基本要求</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EC0AD9">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_Toc21941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6.4. 内容形式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_Toc21941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D261BD">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_Toc22974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6.5. 注意事项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_Toc22974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4624A3">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_Toc12868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 服务目录管理流程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_Toc12868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FFED86">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_Toc24767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7.1. 管理流程图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_Toc24767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ACDE797">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_Toc15188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7.2. 过程描述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_Toc15188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450B6">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 服务目录价值</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41A80F">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_Toc27061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 与其他过程的关系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_Toc27061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9202DE4">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_Toc6536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9.1. 与服务级别管理过程的关系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_Toc6536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C066B">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_Toc18150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9.2. 与变更与发布管理过程的关系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_Toc18150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A1408E">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_Toc20663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 服务目录管理过程持续改进</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_Toc20663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0C2692">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相关文件与记录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18D8B1">
          <w:pPr>
            <w:pStyle w:val="16"/>
            <w:tabs>
              <w:tab w:val="right" w:leader="dot" w:pos="9140"/>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11.1. 记录文件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E0C561">
          <w:pPr>
            <w:spacing w:line="228" w:lineRule="auto"/>
            <w:rPr>
              <w:rFonts w:ascii="Calibri" w:hAnsi="Calibri" w:eastAsia="Calibri" w:cs="Calibri"/>
              <w:snapToGrid w:val="0"/>
              <w:color w:val="000000"/>
              <w:kern w:val="0"/>
              <w:sz w:val="21"/>
              <w:szCs w:val="19"/>
              <w:lang w:val="en-US" w:eastAsia="en-US" w:bidi="ar-SA"/>
            </w:rPr>
          </w:pPr>
          <w:r>
            <w:rPr>
              <w:rFonts w:hint="eastAsia" w:ascii="Microsoft JhengHei" w:hAnsi="Microsoft JhengHei" w:eastAsia="Microsoft JhengHei" w:cs="Microsoft JhengHei"/>
              <w:szCs w:val="24"/>
            </w:rPr>
            <w:fldChar w:fldCharType="end"/>
          </w:r>
        </w:p>
      </w:sdtContent>
    </w:sdt>
    <w:p w14:paraId="357DA7A7">
      <w:pPr>
        <w:spacing w:line="228" w:lineRule="auto"/>
        <w:rPr>
          <w:rFonts w:ascii="Calibri" w:hAnsi="Calibri" w:eastAsia="Calibri" w:cs="Calibri"/>
          <w:snapToGrid w:val="0"/>
          <w:color w:val="000000"/>
          <w:kern w:val="0"/>
          <w:sz w:val="21"/>
          <w:szCs w:val="19"/>
          <w:lang w:val="en-US" w:eastAsia="en-US" w:bidi="ar-SA"/>
        </w:rPr>
        <w:sectPr>
          <w:footerReference r:id="rId6" w:type="default"/>
          <w:pgSz w:w="11906" w:h="16840"/>
          <w:pgMar w:top="1431" w:right="1154" w:bottom="1144" w:left="1612" w:header="0" w:footer="978" w:gutter="0"/>
          <w:cols w:space="720" w:num="1"/>
        </w:sectPr>
      </w:pPr>
    </w:p>
    <w:p w14:paraId="50735549">
      <w:pPr>
        <w:pStyle w:val="22"/>
        <w:bidi w:val="0"/>
      </w:pPr>
      <w:bookmarkStart w:id="1" w:name="_Toc20963"/>
      <w:r>
        <w:t>目的</w:t>
      </w:r>
      <w:bookmarkEnd w:id="1"/>
    </w:p>
    <w:p w14:paraId="04C544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运维服务目录管理规范</w:t>
      </w:r>
      <w:r>
        <w:rPr>
          <w:rFonts w:ascii="宋体" w:hAnsi="宋体" w:eastAsia="宋体" w:cs="宋体"/>
          <w:spacing w:val="-1"/>
          <w:sz w:val="24"/>
          <w:szCs w:val="24"/>
        </w:rPr>
        <w:t>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3655B2DD">
      <w:pPr>
        <w:pStyle w:val="21"/>
        <w:bidi w:val="0"/>
      </w:pPr>
      <w:bookmarkStart w:id="2" w:name="_Toc29872"/>
      <w:r>
        <w:t>范围</w:t>
      </w:r>
      <w:bookmarkEnd w:id="2"/>
    </w:p>
    <w:p w14:paraId="207A2D0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本</w:t>
      </w:r>
      <w:r>
        <w:rPr>
          <w:rFonts w:hint="eastAsia" w:ascii="宋体" w:hAnsi="宋体" w:eastAsia="宋体" w:cs="宋体"/>
          <w:spacing w:val="-1"/>
          <w:sz w:val="24"/>
          <w:szCs w:val="24"/>
          <w:lang w:val="en-US" w:eastAsia="zh-CN"/>
        </w:rPr>
        <w:t>规范</w:t>
      </w:r>
      <w:r>
        <w:rPr>
          <w:rFonts w:ascii="宋体" w:hAnsi="宋体" w:eastAsia="宋体" w:cs="宋体"/>
          <w:spacing w:val="-1"/>
          <w:sz w:val="24"/>
          <w:szCs w:val="24"/>
        </w:rPr>
        <w:t>适用于运维服务部。</w:t>
      </w:r>
    </w:p>
    <w:p w14:paraId="491834B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包括提供和维护所有服务的准确信息，包括所有正在转换或已转换到生产环境中的服务。</w:t>
      </w:r>
    </w:p>
    <w:p w14:paraId="075B9C3E">
      <w:pPr>
        <w:pStyle w:val="21"/>
        <w:bidi w:val="0"/>
      </w:pPr>
      <w:bookmarkStart w:id="3" w:name="_Toc25648"/>
      <w:r>
        <w:t>定义</w:t>
      </w:r>
      <w:bookmarkEnd w:id="3"/>
    </w:p>
    <w:p w14:paraId="4E70A3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服务目录：是用于记录所有服务项目的相关信息的一个数据库或结构化文档资料，包括业务服务目录和技术服务目录。</w:t>
      </w:r>
    </w:p>
    <w:p w14:paraId="7C139B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定义服务目录的目的是为IT服务提供文件资料和建立其它服务管理组成的基础。本质上，它清晰地定义了从IT组织可得到什么服务和按商业目标和需求定位那些服务。它可以作为SLA的基准，在组织中它也成为为规程和流程提供文件资料的基础。</w:t>
      </w:r>
    </w:p>
    <w:p w14:paraId="7CFC7B74">
      <w:pPr>
        <w:pStyle w:val="21"/>
        <w:bidi w:val="0"/>
      </w:pPr>
      <w:bookmarkStart w:id="4" w:name="_Toc28460"/>
      <w:r>
        <w:t>输入与输出</w:t>
      </w:r>
      <w:bookmarkEnd w:id="4"/>
    </w:p>
    <w:p w14:paraId="1C04B79C">
      <w:pPr>
        <w:pStyle w:val="22"/>
        <w:bidi w:val="0"/>
      </w:pPr>
      <w:bookmarkStart w:id="5" w:name="bookmark25"/>
      <w:bookmarkEnd w:id="5"/>
      <w:bookmarkStart w:id="6" w:name="_Toc24115"/>
      <w:r>
        <w:t>主要输入</w:t>
      </w:r>
      <w:bookmarkEnd w:id="6"/>
    </w:p>
    <w:tbl>
      <w:tblPr>
        <w:tblStyle w:val="19"/>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对运维服务部运维服务能力的评估（包括人员、资源、</w:t>
            </w:r>
            <w:r>
              <w:rPr>
                <w:rFonts w:hint="eastAsia" w:ascii="宋体" w:hAnsi="宋体" w:eastAsia="宋体" w:cs="宋体"/>
                <w:spacing w:val="-5"/>
                <w:sz w:val="22"/>
                <w:szCs w:val="22"/>
                <w:lang w:val="en-US" w:eastAsia="zh-CN"/>
              </w:rPr>
              <w:t>过程</w:t>
            </w:r>
            <w:r>
              <w:rPr>
                <w:rFonts w:ascii="宋体" w:hAnsi="宋体" w:eastAsia="宋体" w:cs="宋体"/>
                <w:spacing w:val="-5"/>
                <w:sz w:val="22"/>
                <w:szCs w:val="22"/>
              </w:rPr>
              <w:t>、技术）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bottom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bottom w:val="single" w:color="000000" w:sz="2" w:space="0"/>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4FD71004">
      <w:pPr>
        <w:pStyle w:val="22"/>
        <w:bidi w:val="0"/>
      </w:pPr>
      <w:bookmarkStart w:id="7" w:name="_Toc19421"/>
      <w:r>
        <w:t>主要输出</w:t>
      </w:r>
      <w:bookmarkEnd w:id="7"/>
    </w:p>
    <w:p w14:paraId="67A9D28E"/>
    <w:tbl>
      <w:tblPr>
        <w:tblStyle w:val="19"/>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hint="eastAsia" w:ascii="宋体" w:hAnsi="宋体" w:eastAsia="宋体" w:cs="宋体"/>
                <w:sz w:val="22"/>
                <w:szCs w:val="22"/>
                <w:lang w:val="en-US" w:eastAsia="zh-CN"/>
              </w:rPr>
            </w:pPr>
            <w:r>
              <w:rPr>
                <w:rFonts w:ascii="宋体" w:hAnsi="宋体" w:eastAsia="宋体" w:cs="宋体"/>
                <w:spacing w:val="-2"/>
                <w:sz w:val="22"/>
                <w:szCs w:val="22"/>
              </w:rPr>
              <w:t>运维服务部/质量中心</w:t>
            </w:r>
          </w:p>
        </w:tc>
      </w:tr>
    </w:tbl>
    <w:p w14:paraId="19709B12">
      <w:pPr>
        <w:pStyle w:val="11"/>
        <w:spacing w:line="342" w:lineRule="auto"/>
      </w:pPr>
    </w:p>
    <w:p w14:paraId="4C029605">
      <w:pPr>
        <w:pStyle w:val="21"/>
        <w:bidi w:val="0"/>
      </w:pPr>
      <w:bookmarkStart w:id="8" w:name="_Toc21135"/>
      <w:r>
        <w:t>职责权限</w:t>
      </w:r>
      <w:bookmarkEnd w:id="8"/>
    </w:p>
    <w:tbl>
      <w:tblPr>
        <w:tblStyle w:val="19"/>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20"/>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w:t>
            </w:r>
            <w:r>
              <w:rPr>
                <w:rFonts w:hint="eastAsia" w:ascii="宋体" w:hAnsi="宋体" w:eastAsia="宋体" w:cs="宋体"/>
                <w:spacing w:val="-2"/>
                <w:sz w:val="22"/>
                <w:szCs w:val="22"/>
                <w:lang w:val="en-US" w:eastAsia="zh-CN"/>
              </w:rPr>
              <w:t>营销中心</w:t>
            </w:r>
            <w:r>
              <w:rPr>
                <w:rFonts w:ascii="宋体" w:hAnsi="宋体" w:eastAsia="宋体" w:cs="宋体"/>
                <w:spacing w:val="-2"/>
                <w:sz w:val="22"/>
                <w:szCs w:val="22"/>
              </w:rPr>
              <w:t>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20"/>
              <w:spacing w:line="260" w:lineRule="auto"/>
            </w:pPr>
          </w:p>
          <w:p w14:paraId="61DF2B10">
            <w:pPr>
              <w:pStyle w:val="20"/>
              <w:spacing w:line="261" w:lineRule="auto"/>
            </w:pPr>
          </w:p>
          <w:p w14:paraId="5B3EB18D">
            <w:pPr>
              <w:pStyle w:val="20"/>
              <w:spacing w:line="261" w:lineRule="auto"/>
            </w:pPr>
          </w:p>
          <w:p w14:paraId="0E85EF82">
            <w:pPr>
              <w:spacing w:before="71" w:line="220" w:lineRule="auto"/>
              <w:ind w:left="113"/>
              <w:rPr>
                <w:rFonts w:ascii="宋体" w:hAnsi="宋体" w:eastAsia="宋体" w:cs="宋体"/>
                <w:sz w:val="22"/>
                <w:szCs w:val="22"/>
              </w:rPr>
            </w:pPr>
            <w:r>
              <w:rPr>
                <w:rFonts w:ascii="宋体" w:hAnsi="宋体" w:eastAsia="宋体" w:cs="宋体"/>
                <w:spacing w:val="-2"/>
                <w:sz w:val="22"/>
                <w:szCs w:val="22"/>
              </w:rPr>
              <w:t>运维服务部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024D64BA">
      <w:pPr>
        <w:pStyle w:val="21"/>
        <w:bidi w:val="0"/>
      </w:pPr>
      <w:bookmarkStart w:id="9" w:name="_Toc3987"/>
      <w:r>
        <w:t>服务目录管理机制</w:t>
      </w:r>
      <w:bookmarkEnd w:id="9"/>
    </w:p>
    <w:p w14:paraId="7C4EEBA1">
      <w:pPr>
        <w:pStyle w:val="22"/>
        <w:bidi w:val="0"/>
      </w:pPr>
      <w:bookmarkStart w:id="10" w:name="bookmark26"/>
      <w:bookmarkEnd w:id="10"/>
      <w:bookmarkStart w:id="11" w:name="_Toc25773"/>
      <w:r>
        <w:t>服务目录内容</w:t>
      </w:r>
      <w:bookmarkEnd w:id="11"/>
    </w:p>
    <w:p w14:paraId="6590B6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服务目录覆盖组织当前所有服务能力范围内可以提供的服务，服务目录应包括：</w:t>
      </w:r>
    </w:p>
    <w:p w14:paraId="3148A1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服务目录（包括编码、名称）、服务详述（包括如服务对象、服务分类、服务内容、服务频度、响应时间、交付方式、交付成果等）</w:t>
      </w:r>
    </w:p>
    <w:p w14:paraId="1A7F33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未来服务目录可在服务产品化的基础上，增加运维服务部门、服务时长、服务人员所需最低技能，服务报价等细项；以及增加通过服务搭配与组合以实现不同级别的服务承诺。</w:t>
      </w:r>
    </w:p>
    <w:p w14:paraId="4E9593E4">
      <w:pPr>
        <w:pStyle w:val="22"/>
        <w:bidi w:val="0"/>
      </w:pPr>
      <w:bookmarkStart w:id="12" w:name="_Toc673"/>
      <w:r>
        <w:t>受众和目标</w:t>
      </w:r>
      <w:bookmarkEnd w:id="12"/>
    </w:p>
    <w:p w14:paraId="00336E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目标是成为组织（IT服务供方）与客户（IT服务需方）之间的一个桥梁。对客户准确、完整地介绍组织的IT服务能力范围；对组织可以利用服务目录以及客户对服务目录的反馈，开展自身IT服务能力建设的依据。有利于服务的不断改进和资源匹配率的不断提升。</w:t>
      </w:r>
    </w:p>
    <w:p w14:paraId="00A480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服务目录：在服务目录建立后，原则上每年年初修编一次。若遇外部重大环境变化、内部重大战略转型也可按需进行修编。受众主要包括：</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运维服务部、潜在购买服务客户。</w:t>
      </w:r>
    </w:p>
    <w:p w14:paraId="31AD8D4B">
      <w:pPr>
        <w:pStyle w:val="22"/>
        <w:bidi w:val="0"/>
      </w:pPr>
      <w:bookmarkStart w:id="13" w:name="_Toc19439"/>
      <w:r>
        <w:t>基本要求</w:t>
      </w:r>
      <w:bookmarkEnd w:id="13"/>
    </w:p>
    <w:p w14:paraId="75C16A69">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60" w:hangingChars="200"/>
        <w:textAlignment w:val="baseline"/>
        <w:rPr>
          <w:rFonts w:ascii="宋体" w:hAnsi="宋体" w:eastAsia="宋体" w:cs="宋体"/>
          <w:sz w:val="24"/>
          <w:szCs w:val="24"/>
        </w:rPr>
      </w:pPr>
      <w:r>
        <w:rPr>
          <w:rFonts w:ascii="宋体" w:hAnsi="宋体" w:eastAsia="宋体" w:cs="宋体"/>
          <w:spacing w:val="-5"/>
          <w:sz w:val="24"/>
          <w:szCs w:val="24"/>
        </w:rPr>
        <w:t>服务目录的基本要求包括：</w:t>
      </w:r>
    </w:p>
    <w:p w14:paraId="3F09B220">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服务目录应被制定并形成文档记录，在提供运维服务的过程中得到了应用；</w:t>
      </w:r>
    </w:p>
    <w:p w14:paraId="4A93DD55">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服务目录应在每年年初进行修编；</w:t>
      </w:r>
    </w:p>
    <w:p w14:paraId="30613DF7">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所有服务目录应包括服务列表，列表层次结构需符合 GB/T 29264-2012的要求</w:t>
      </w:r>
    </w:p>
    <w:p w14:paraId="678F707F">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服务目录应全面覆盖组织当前运维服务能力下可提供的运维服务；</w:t>
      </w:r>
    </w:p>
    <w:p w14:paraId="16DE7194">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服务目录应简明易懂，并对每个服务项有相关说明，容易被客户理解。</w:t>
      </w:r>
    </w:p>
    <w:p w14:paraId="4C3AC52F">
      <w:pPr>
        <w:pStyle w:val="22"/>
        <w:bidi w:val="0"/>
      </w:pPr>
      <w:bookmarkStart w:id="14" w:name="_Toc21941"/>
      <w:r>
        <w:t>内容形式</w:t>
      </w:r>
      <w:bookmarkEnd w:id="14"/>
    </w:p>
    <w:p w14:paraId="55B6F8C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服务目录中包含服务级别协议的内容。服务目录是决定客户期望的关键文件，客户和支持人员应该能方便地使用该文件以作为服务级别协议的参考。</w:t>
      </w:r>
    </w:p>
    <w:p w14:paraId="1DD7BB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服务目录以表格的形式展现，服务目录（包括编码、名称）、服务详述（包括如服务对象、服务分类、服务内容、服务频度、响应时间、交付方式、交付成果等）。</w:t>
      </w:r>
    </w:p>
    <w:p w14:paraId="4BF06F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具体内容与形式参见《</w:t>
      </w:r>
      <w:r>
        <w:rPr>
          <w:rFonts w:hint="eastAsia" w:ascii="宋体" w:hAnsi="宋体" w:eastAsia="宋体" w:cs="宋体"/>
          <w:spacing w:val="-1"/>
          <w:sz w:val="24"/>
          <w:szCs w:val="24"/>
          <w:lang w:val="en-US" w:eastAsia="zh-CN"/>
        </w:rPr>
        <w:t>公司运行维护</w:t>
      </w:r>
      <w:r>
        <w:rPr>
          <w:rFonts w:ascii="宋体" w:hAnsi="宋体" w:eastAsia="宋体" w:cs="宋体"/>
          <w:spacing w:val="-1"/>
          <w:sz w:val="24"/>
          <w:szCs w:val="24"/>
        </w:rPr>
        <w:t>服务目录》。</w:t>
      </w:r>
    </w:p>
    <w:p w14:paraId="0EADF06C">
      <w:pPr>
        <w:pStyle w:val="22"/>
        <w:bidi w:val="0"/>
      </w:pPr>
      <w:bookmarkStart w:id="15" w:name="_Toc22974"/>
      <w:r>
        <w:t>注意事项</w:t>
      </w:r>
      <w:bookmarkEnd w:id="15"/>
    </w:p>
    <w:p w14:paraId="40B6DD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服务目录的需求应满足服务目录阅读者需求。为了满足客户管理和内部管理的需要，在提供服务目录前需要</w:t>
      </w:r>
      <w:r>
        <w:rPr>
          <w:rFonts w:hint="eastAsia" w:ascii="宋体" w:hAnsi="宋体" w:eastAsia="宋体" w:cs="宋体"/>
          <w:spacing w:val="-1"/>
          <w:sz w:val="24"/>
          <w:szCs w:val="24"/>
          <w:lang w:val="en-US" w:eastAsia="zh-CN"/>
        </w:rPr>
        <w:t>由</w:t>
      </w:r>
      <w:r>
        <w:rPr>
          <w:rFonts w:ascii="宋体" w:hAnsi="宋体" w:eastAsia="宋体" w:cs="宋体"/>
          <w:spacing w:val="-1"/>
          <w:sz w:val="24"/>
          <w:szCs w:val="24"/>
        </w:rPr>
        <w:t>运维服务部与</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部就服务目录进行协商并将协商结果记录下来。</w:t>
      </w:r>
    </w:p>
    <w:p w14:paraId="66606AA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服务目录的储存、分发和维护应建有规范的制度，相关的管理人员和流程负责人对服务目录管理流程的文档负责。建立健全文档的访问控制机制，服务目录储存位置应对</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服务管理人员公布。项目级服务目录存储位置仅对项目相关的</w:t>
      </w:r>
      <w:r>
        <w:rPr>
          <w:rFonts w:hint="eastAsia" w:ascii="宋体" w:hAnsi="宋体" w:eastAsia="宋体" w:cs="宋体"/>
          <w:spacing w:val="-1"/>
          <w:sz w:val="24"/>
          <w:szCs w:val="24"/>
          <w:lang w:eastAsia="zh-CN"/>
        </w:rPr>
        <w:t>营销中心</w:t>
      </w:r>
      <w:r>
        <w:rPr>
          <w:rFonts w:ascii="宋体" w:hAnsi="宋体" w:eastAsia="宋体" w:cs="宋体"/>
          <w:spacing w:val="-1"/>
          <w:sz w:val="24"/>
          <w:szCs w:val="24"/>
        </w:rPr>
        <w:t>、服务管理人员公布。文档应定期检查，保证可用。</w:t>
      </w:r>
    </w:p>
    <w:p w14:paraId="5D0CE6F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为了避免服务目录流于形式，成为无意义的劳动，</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服务管理人员和流程负责人应充分利用服务服务目录，每年定期或根据实际情况对服务目录进行回顾，提高决策的科学性。</w:t>
      </w:r>
      <w:bookmarkStart w:id="29" w:name="_GoBack"/>
    </w:p>
    <w:bookmarkEnd w:id="29"/>
    <w:p w14:paraId="3B27C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服务目录的更新应通过变更与发布管理过程进行。</w:t>
      </w:r>
    </w:p>
    <w:p w14:paraId="722FAD84">
      <w:pPr>
        <w:pStyle w:val="21"/>
        <w:bidi w:val="0"/>
      </w:pPr>
      <w:bookmarkStart w:id="16" w:name="_Toc12868"/>
      <w:r>
        <w:t>服务目录管理流程</w:t>
      </w:r>
      <w:bookmarkEnd w:id="16"/>
    </w:p>
    <w:p w14:paraId="7F226D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服务目录管理流程的范围包括提供和维护所有服务的准确信息。包括所有在转换或已转换到生产环境中的服务。</w:t>
      </w:r>
      <w:bookmarkStart w:id="17" w:name="bookmark27"/>
      <w:bookmarkEnd w:id="17"/>
    </w:p>
    <w:p w14:paraId="6BBF928E">
      <w:pPr>
        <w:pStyle w:val="22"/>
        <w:bidi w:val="0"/>
      </w:pPr>
      <w:bookmarkStart w:id="18" w:name="_Toc24767"/>
      <w:r>
        <w:t>管理流程图</w:t>
      </w:r>
      <w:bookmarkEnd w:id="18"/>
    </w:p>
    <w:p w14:paraId="5867660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pPr>
      <w:r>
        <w:drawing>
          <wp:inline distT="0" distB="0" distL="114300" distR="114300">
            <wp:extent cx="5375910" cy="529018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375910" cy="5290185"/>
                    </a:xfrm>
                    <a:prstGeom prst="rect">
                      <a:avLst/>
                    </a:prstGeom>
                    <a:noFill/>
                    <a:ln>
                      <a:noFill/>
                    </a:ln>
                  </pic:spPr>
                </pic:pic>
              </a:graphicData>
            </a:graphic>
          </wp:inline>
        </w:drawing>
      </w:r>
    </w:p>
    <w:p w14:paraId="3B14E5A7">
      <w:pPr>
        <w:pStyle w:val="22"/>
        <w:bidi w:val="0"/>
      </w:pPr>
      <w:bookmarkStart w:id="19" w:name="_Toc15188"/>
      <w:r>
        <w:t>过程描述</w:t>
      </w:r>
      <w:bookmarkEnd w:id="19"/>
    </w:p>
    <w:tbl>
      <w:tblPr>
        <w:tblStyle w:val="19"/>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19"/>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hint="eastAsia" w:ascii="宋体" w:hAnsi="宋体" w:eastAsia="宋体" w:cs="宋体"/>
                <w:sz w:val="20"/>
                <w:szCs w:val="20"/>
                <w:lang w:eastAsia="zh-CN"/>
              </w:rPr>
            </w:pPr>
            <w:r>
              <w:rPr>
                <w:rFonts w:ascii="宋体" w:hAnsi="宋体" w:eastAsia="宋体" w:cs="宋体"/>
                <w:spacing w:val="6"/>
                <w:sz w:val="20"/>
                <w:szCs w:val="20"/>
              </w:rPr>
              <w:t>运维服务部和</w:t>
            </w:r>
            <w:r>
              <w:rPr>
                <w:rFonts w:hint="eastAsia" w:ascii="宋体" w:hAnsi="宋体" w:eastAsia="宋体" w:cs="宋体"/>
                <w:spacing w:val="6"/>
                <w:sz w:val="20"/>
                <w:szCs w:val="20"/>
                <w:lang w:eastAsia="zh-CN"/>
              </w:rPr>
              <w:t>营销中心</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服务目录负责人配合运维服务部和</w:t>
            </w:r>
            <w:r>
              <w:rPr>
                <w:rFonts w:hint="eastAsia" w:ascii="宋体" w:hAnsi="宋体" w:eastAsia="宋体" w:cs="宋体"/>
                <w:spacing w:val="8"/>
                <w:sz w:val="20"/>
                <w:szCs w:val="20"/>
                <w:lang w:eastAsia="zh-CN"/>
              </w:rPr>
              <w:t>营销中心</w:t>
            </w:r>
            <w:r>
              <w:rPr>
                <w:rFonts w:ascii="宋体" w:hAnsi="宋体" w:eastAsia="宋体" w:cs="宋体"/>
                <w:spacing w:val="8"/>
                <w:sz w:val="20"/>
                <w:szCs w:val="20"/>
              </w:rPr>
              <w:t>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服务目录负责人协调运维服务部和</w:t>
            </w:r>
            <w:r>
              <w:rPr>
                <w:rFonts w:hint="eastAsia" w:ascii="宋体" w:hAnsi="宋体" w:eastAsia="宋体" w:cs="宋体"/>
                <w:spacing w:val="9"/>
                <w:sz w:val="20"/>
                <w:szCs w:val="20"/>
                <w:lang w:eastAsia="zh-CN"/>
              </w:rPr>
              <w:t>营销中心</w:t>
            </w:r>
            <w:r>
              <w:rPr>
                <w:rFonts w:ascii="宋体" w:hAnsi="宋体" w:eastAsia="宋体" w:cs="宋体"/>
                <w:spacing w:val="9"/>
                <w:sz w:val="20"/>
                <w:szCs w:val="20"/>
              </w:rPr>
              <w:t>，对服务目录进行评审。如服务目录能够满足新业务和内部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6CCB3868">
      <w:pPr>
        <w:pStyle w:val="21"/>
        <w:bidi w:val="0"/>
      </w:pPr>
      <w:bookmarkStart w:id="20" w:name="_Toc3826"/>
      <w:r>
        <w:t>服务目录价值</w:t>
      </w:r>
      <w:bookmarkEnd w:id="20"/>
    </w:p>
    <w:p w14:paraId="6C8CD8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组织管理层决策有支撑：服务目录准确描述基于客户需求（客户视角），组织能为客户提供什么样的运维服务，从而围绕服务目录开展相关的人员、资源、技术和过程建设。为组织管理层提供决策支撑。</w:t>
      </w:r>
    </w:p>
    <w:p w14:paraId="77F0E3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运维服务可量化：运维服务作为无形无界的特殊产物，往往很难被衡量价值，所以运维服务通过服务目录的细化，可渐趋产品化，为性能度量提供一准；</w:t>
      </w:r>
    </w:p>
    <w:p w14:paraId="652D5A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运维服务可被客户所识别：运维服务最终的交付对象是客户，所以运维服务通过服务目录（客户视角），能清晰展示组织的服务范围、服务能力、服务时效等，易被客户所理解，认同。作为</w:t>
      </w:r>
      <w:r>
        <w:rPr>
          <w:rFonts w:hint="eastAsia" w:ascii="宋体" w:hAnsi="宋体" w:eastAsia="宋体" w:cs="宋体"/>
          <w:spacing w:val="-1"/>
          <w:sz w:val="24"/>
          <w:szCs w:val="24"/>
          <w:lang w:eastAsia="zh-CN"/>
        </w:rPr>
        <w:t>营销中心</w:t>
      </w:r>
      <w:r>
        <w:rPr>
          <w:rFonts w:ascii="宋体" w:hAnsi="宋体" w:eastAsia="宋体" w:cs="宋体"/>
          <w:spacing w:val="-1"/>
          <w:sz w:val="24"/>
          <w:szCs w:val="24"/>
        </w:rPr>
        <w:t>与客户的沟通工具，以及客户的决策依据；</w:t>
      </w:r>
    </w:p>
    <w:p w14:paraId="494AD5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运维服务等级可区分：运维服务在服务目录中进行细化后，采用不同的服务搭配与组合以及实现不同的服务承诺，让客户可以根据自己的需要去选择适合自己的服务。</w:t>
      </w:r>
    </w:p>
    <w:p w14:paraId="19ED2AFC">
      <w:pPr>
        <w:pStyle w:val="21"/>
        <w:bidi w:val="0"/>
      </w:pPr>
      <w:bookmarkStart w:id="21" w:name="_Toc27061"/>
      <w:r>
        <w:t>与其他过程的关系</w:t>
      </w:r>
      <w:bookmarkEnd w:id="21"/>
    </w:p>
    <w:p w14:paraId="5927FC02">
      <w:pPr>
        <w:pStyle w:val="22"/>
        <w:bidi w:val="0"/>
      </w:pPr>
      <w:bookmarkStart w:id="22" w:name="bookmark28"/>
      <w:bookmarkEnd w:id="22"/>
      <w:bookmarkStart w:id="23" w:name="_Toc6536"/>
      <w:r>
        <w:t>与服务级别管理过程的关系</w:t>
      </w:r>
      <w:bookmarkEnd w:id="23"/>
    </w:p>
    <w:p w14:paraId="358046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在组织中，以同样的方式向所有或大多数客户提供一个标准级别的支持，因此对于大多数用户服务目录成为了实际上的 SLA。只有那些用户需要一个不同的服务等级时将需要有一个 SLA，并且 SLA 只需要定义什么项目不同于标准服务目录。服务目录制定后，将作为服务级别管理的输入。</w:t>
      </w:r>
    </w:p>
    <w:p w14:paraId="39A7C033">
      <w:pPr>
        <w:pStyle w:val="22"/>
        <w:bidi w:val="0"/>
      </w:pPr>
      <w:bookmarkStart w:id="24" w:name="_Toc18150"/>
      <w:r>
        <w:t>与变更与发布管理过程的关系</w:t>
      </w:r>
      <w:bookmarkEnd w:id="24"/>
    </w:p>
    <w:p w14:paraId="282B2FA5">
      <w:pPr>
        <w:spacing w:before="79" w:line="219" w:lineRule="auto"/>
        <w:ind w:left="481"/>
      </w:pPr>
      <w:r>
        <w:rPr>
          <w:rFonts w:ascii="宋体" w:hAnsi="宋体" w:eastAsia="宋体" w:cs="宋体"/>
          <w:spacing w:val="-2"/>
          <w:sz w:val="24"/>
          <w:szCs w:val="24"/>
        </w:rPr>
        <w:t>服务目录在修订后，需经由变更与发布管理流</w:t>
      </w:r>
      <w:r>
        <w:rPr>
          <w:rFonts w:ascii="宋体" w:hAnsi="宋体" w:eastAsia="宋体" w:cs="宋体"/>
          <w:spacing w:val="-3"/>
          <w:sz w:val="24"/>
          <w:szCs w:val="24"/>
        </w:rPr>
        <w:t>程进行重新发布。</w:t>
      </w:r>
    </w:p>
    <w:p w14:paraId="0BE2FAAC">
      <w:pPr>
        <w:pStyle w:val="21"/>
        <w:bidi w:val="0"/>
      </w:pPr>
      <w:bookmarkStart w:id="25" w:name="_Toc20663"/>
      <w:r>
        <w:t>服务目录管理过程持续改进</w:t>
      </w:r>
      <w:bookmarkEnd w:id="25"/>
    </w:p>
    <w:p w14:paraId="004957F7">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改进的输入：</w:t>
      </w:r>
    </w:p>
    <w:p w14:paraId="50D32176">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改进方法：</w:t>
      </w:r>
    </w:p>
    <w:p w14:paraId="4A83758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5"/>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5DA231A6">
      <w:pPr>
        <w:pStyle w:val="21"/>
        <w:bidi w:val="0"/>
      </w:pPr>
      <w:bookmarkStart w:id="26" w:name="_Toc25655"/>
      <w:r>
        <w:t>相关文件与记录</w:t>
      </w:r>
      <w:bookmarkEnd w:id="26"/>
    </w:p>
    <w:p w14:paraId="4251E3BB">
      <w:pPr>
        <w:pStyle w:val="22"/>
        <w:bidi w:val="0"/>
      </w:pPr>
      <w:bookmarkStart w:id="27" w:name="bookmark29"/>
      <w:bookmarkEnd w:id="27"/>
      <w:bookmarkStart w:id="28" w:name="_Toc8912"/>
      <w:r>
        <w:t>记录文件</w:t>
      </w:r>
      <w:bookmarkEnd w:id="28"/>
    </w:p>
    <w:p w14:paraId="1685229B">
      <w:pPr>
        <w:keepNext w:val="0"/>
        <w:keepLines w:val="0"/>
        <w:pageBreakBefore w:val="0"/>
        <w:widowControl/>
        <w:kinsoku w:val="0"/>
        <w:wordWrap/>
        <w:overflowPunct/>
        <w:topLinePunct w:val="0"/>
        <w:autoSpaceDE w:val="0"/>
        <w:autoSpaceDN w:val="0"/>
        <w:bidi w:val="0"/>
        <w:adjustRightInd w:val="0"/>
        <w:snapToGrid w:val="0"/>
        <w:spacing w:line="219"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w:t>
      </w:r>
      <w:r>
        <w:rPr>
          <w:rFonts w:hint="eastAsia" w:ascii="宋体" w:hAnsi="宋体" w:eastAsia="宋体" w:cs="宋体"/>
          <w:spacing w:val="-4"/>
          <w:sz w:val="24"/>
          <w:szCs w:val="24"/>
        </w:rPr>
        <w:t>公司运行维护服务目录</w:t>
      </w:r>
      <w:r>
        <w:rPr>
          <w:rFonts w:ascii="宋体" w:hAnsi="宋体" w:eastAsia="宋体" w:cs="宋体"/>
          <w:spacing w:val="-4"/>
          <w:sz w:val="24"/>
          <w:szCs w:val="24"/>
        </w:rPr>
        <w:t>》</w:t>
      </w:r>
    </w:p>
    <w:sectPr>
      <w:footerReference r:id="rId7"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0D84F"/>
    <w:multiLevelType w:val="multilevel"/>
    <w:tmpl w:val="E8E0D84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420"/>
        </w:tabs>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EB7E60"/>
    <w:rsid w:val="01E7687A"/>
    <w:rsid w:val="0270686F"/>
    <w:rsid w:val="02D432A2"/>
    <w:rsid w:val="03E42E9A"/>
    <w:rsid w:val="04245B63"/>
    <w:rsid w:val="04F17C1F"/>
    <w:rsid w:val="06184D36"/>
    <w:rsid w:val="065D710A"/>
    <w:rsid w:val="0696086E"/>
    <w:rsid w:val="07593D76"/>
    <w:rsid w:val="079923C4"/>
    <w:rsid w:val="08061E89"/>
    <w:rsid w:val="093F6F9B"/>
    <w:rsid w:val="09970B85"/>
    <w:rsid w:val="0A3B59B5"/>
    <w:rsid w:val="0ADA4240"/>
    <w:rsid w:val="0C171DEF"/>
    <w:rsid w:val="0C5D60B6"/>
    <w:rsid w:val="0C992E66"/>
    <w:rsid w:val="0CB97065"/>
    <w:rsid w:val="0D0E5602"/>
    <w:rsid w:val="0D464D9C"/>
    <w:rsid w:val="0D5A25F6"/>
    <w:rsid w:val="0D6C40D7"/>
    <w:rsid w:val="0EE4486D"/>
    <w:rsid w:val="0F1F58A5"/>
    <w:rsid w:val="10611EED"/>
    <w:rsid w:val="10BE2E9B"/>
    <w:rsid w:val="10FD39C4"/>
    <w:rsid w:val="12A02444"/>
    <w:rsid w:val="13C07028"/>
    <w:rsid w:val="143D5130"/>
    <w:rsid w:val="14CB3DD9"/>
    <w:rsid w:val="151D2886"/>
    <w:rsid w:val="1542409B"/>
    <w:rsid w:val="1776002C"/>
    <w:rsid w:val="18B828C6"/>
    <w:rsid w:val="18F57676"/>
    <w:rsid w:val="19D90D46"/>
    <w:rsid w:val="1A562397"/>
    <w:rsid w:val="1A8B2040"/>
    <w:rsid w:val="1B260F16"/>
    <w:rsid w:val="1B3721C8"/>
    <w:rsid w:val="1B4D4249"/>
    <w:rsid w:val="1B972C67"/>
    <w:rsid w:val="1BDE2644"/>
    <w:rsid w:val="1C56667E"/>
    <w:rsid w:val="1C8431EB"/>
    <w:rsid w:val="1C9D42AD"/>
    <w:rsid w:val="1D7768AC"/>
    <w:rsid w:val="1D8B05A9"/>
    <w:rsid w:val="1DB304E7"/>
    <w:rsid w:val="1DD04C16"/>
    <w:rsid w:val="1E342337"/>
    <w:rsid w:val="1E854FF8"/>
    <w:rsid w:val="1F552C1D"/>
    <w:rsid w:val="1FD75D28"/>
    <w:rsid w:val="2041588F"/>
    <w:rsid w:val="20EE157B"/>
    <w:rsid w:val="225B2C40"/>
    <w:rsid w:val="227E5313"/>
    <w:rsid w:val="2358717F"/>
    <w:rsid w:val="236C49D9"/>
    <w:rsid w:val="23C6233B"/>
    <w:rsid w:val="244760E7"/>
    <w:rsid w:val="2536529E"/>
    <w:rsid w:val="2597287E"/>
    <w:rsid w:val="25DC7BF4"/>
    <w:rsid w:val="26DB60FD"/>
    <w:rsid w:val="28243AD4"/>
    <w:rsid w:val="29DF4157"/>
    <w:rsid w:val="29F40FCC"/>
    <w:rsid w:val="29F50BEE"/>
    <w:rsid w:val="2A490D41"/>
    <w:rsid w:val="2ACB46DB"/>
    <w:rsid w:val="2ADE440E"/>
    <w:rsid w:val="2BEA3A96"/>
    <w:rsid w:val="2C0C0B07"/>
    <w:rsid w:val="2D8172D3"/>
    <w:rsid w:val="2E112405"/>
    <w:rsid w:val="3186135C"/>
    <w:rsid w:val="333472C1"/>
    <w:rsid w:val="34CA77B1"/>
    <w:rsid w:val="3639699D"/>
    <w:rsid w:val="36527A5E"/>
    <w:rsid w:val="36F32FEF"/>
    <w:rsid w:val="36F74CEE"/>
    <w:rsid w:val="372E2279"/>
    <w:rsid w:val="393F42CA"/>
    <w:rsid w:val="3A151659"/>
    <w:rsid w:val="3AF31662"/>
    <w:rsid w:val="3C033CD5"/>
    <w:rsid w:val="3D617264"/>
    <w:rsid w:val="3DD84CED"/>
    <w:rsid w:val="3EB30C70"/>
    <w:rsid w:val="3EC60FE9"/>
    <w:rsid w:val="3F051B12"/>
    <w:rsid w:val="3FE931E1"/>
    <w:rsid w:val="40420B44"/>
    <w:rsid w:val="407F58F4"/>
    <w:rsid w:val="40DE261A"/>
    <w:rsid w:val="4148218A"/>
    <w:rsid w:val="41536D89"/>
    <w:rsid w:val="415B2A37"/>
    <w:rsid w:val="419158DF"/>
    <w:rsid w:val="41943621"/>
    <w:rsid w:val="42611755"/>
    <w:rsid w:val="42A87384"/>
    <w:rsid w:val="43503578"/>
    <w:rsid w:val="43A55856"/>
    <w:rsid w:val="43CF0940"/>
    <w:rsid w:val="451A3E3D"/>
    <w:rsid w:val="45B95404"/>
    <w:rsid w:val="46774EA5"/>
    <w:rsid w:val="47013507"/>
    <w:rsid w:val="471A0124"/>
    <w:rsid w:val="480D4D62"/>
    <w:rsid w:val="489E5A83"/>
    <w:rsid w:val="49464848"/>
    <w:rsid w:val="49562880"/>
    <w:rsid w:val="4A6D4A0F"/>
    <w:rsid w:val="4BD50ABE"/>
    <w:rsid w:val="4C4D68A6"/>
    <w:rsid w:val="4CEA67EB"/>
    <w:rsid w:val="4CEC4311"/>
    <w:rsid w:val="4D2F0C57"/>
    <w:rsid w:val="4D6C0FAE"/>
    <w:rsid w:val="4D812CAB"/>
    <w:rsid w:val="4DCB3F26"/>
    <w:rsid w:val="4E5A0E12"/>
    <w:rsid w:val="4E6116C1"/>
    <w:rsid w:val="4F11005F"/>
    <w:rsid w:val="504968C3"/>
    <w:rsid w:val="50881FD3"/>
    <w:rsid w:val="50A62A29"/>
    <w:rsid w:val="513A1AEF"/>
    <w:rsid w:val="5144296E"/>
    <w:rsid w:val="51932FAD"/>
    <w:rsid w:val="51F24D8E"/>
    <w:rsid w:val="520B5239"/>
    <w:rsid w:val="520D1996"/>
    <w:rsid w:val="53312A7E"/>
    <w:rsid w:val="53D17DBD"/>
    <w:rsid w:val="53FF0DCE"/>
    <w:rsid w:val="5415239F"/>
    <w:rsid w:val="546D21DB"/>
    <w:rsid w:val="54AF45A2"/>
    <w:rsid w:val="54D538DD"/>
    <w:rsid w:val="554923E8"/>
    <w:rsid w:val="55524F2D"/>
    <w:rsid w:val="55566ECB"/>
    <w:rsid w:val="569E667C"/>
    <w:rsid w:val="57B329C5"/>
    <w:rsid w:val="58F76517"/>
    <w:rsid w:val="59ED3476"/>
    <w:rsid w:val="5B5F2152"/>
    <w:rsid w:val="5B8B6CF3"/>
    <w:rsid w:val="5CD6186D"/>
    <w:rsid w:val="5D467A6D"/>
    <w:rsid w:val="5DA12EF6"/>
    <w:rsid w:val="5E8720EC"/>
    <w:rsid w:val="5E993BCD"/>
    <w:rsid w:val="5ED8293E"/>
    <w:rsid w:val="5EF86B45"/>
    <w:rsid w:val="5F3C5F70"/>
    <w:rsid w:val="5F4B136B"/>
    <w:rsid w:val="5FBA3DFB"/>
    <w:rsid w:val="5FFC2665"/>
    <w:rsid w:val="60003F04"/>
    <w:rsid w:val="60787F3E"/>
    <w:rsid w:val="60840144"/>
    <w:rsid w:val="60C82547"/>
    <w:rsid w:val="6125657E"/>
    <w:rsid w:val="61C947C9"/>
    <w:rsid w:val="633D721D"/>
    <w:rsid w:val="63700B0C"/>
    <w:rsid w:val="647B07F4"/>
    <w:rsid w:val="64BB489D"/>
    <w:rsid w:val="64E060B2"/>
    <w:rsid w:val="65B25CA0"/>
    <w:rsid w:val="662817F5"/>
    <w:rsid w:val="66860EDB"/>
    <w:rsid w:val="67AE693B"/>
    <w:rsid w:val="67C25F42"/>
    <w:rsid w:val="687C4343"/>
    <w:rsid w:val="6A274783"/>
    <w:rsid w:val="6A535578"/>
    <w:rsid w:val="6AA95198"/>
    <w:rsid w:val="6BF1329A"/>
    <w:rsid w:val="6D203E37"/>
    <w:rsid w:val="6D860AC1"/>
    <w:rsid w:val="6EC25149"/>
    <w:rsid w:val="6FB6638D"/>
    <w:rsid w:val="70EC0B68"/>
    <w:rsid w:val="710120FE"/>
    <w:rsid w:val="726E4074"/>
    <w:rsid w:val="7318735E"/>
    <w:rsid w:val="73221F8B"/>
    <w:rsid w:val="73A6496A"/>
    <w:rsid w:val="74373814"/>
    <w:rsid w:val="749869A9"/>
    <w:rsid w:val="78FF6FF6"/>
    <w:rsid w:val="7A85177D"/>
    <w:rsid w:val="7B073F40"/>
    <w:rsid w:val="7BF2699E"/>
    <w:rsid w:val="7C23124E"/>
    <w:rsid w:val="7CA83501"/>
    <w:rsid w:val="7CBC59EA"/>
    <w:rsid w:val="7D4274B2"/>
    <w:rsid w:val="7D5F238E"/>
    <w:rsid w:val="7EAA3560"/>
    <w:rsid w:val="7F2B2374"/>
    <w:rsid w:val="7F3B68AE"/>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3366</Words>
  <Characters>3527</Characters>
  <TotalTime>8</TotalTime>
  <ScaleCrop>false</ScaleCrop>
  <LinksUpToDate>false</LinksUpToDate>
  <CharactersWithSpaces>3682</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2025-08-29T03:33:12Z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