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11"/>
        <w:spacing w:line="252" w:lineRule="auto"/>
      </w:pPr>
    </w:p>
    <w:p w14:paraId="79F5E7C2">
      <w:pPr>
        <w:pStyle w:val="11"/>
        <w:spacing w:line="252" w:lineRule="auto"/>
      </w:pPr>
    </w:p>
    <w:p w14:paraId="69A27816">
      <w:pPr>
        <w:pStyle w:val="11"/>
        <w:spacing w:line="253" w:lineRule="auto"/>
      </w:pPr>
    </w:p>
    <w:p w14:paraId="0066984A">
      <w:pPr>
        <w:pStyle w:val="11"/>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11"/>
        <w:spacing w:line="263" w:lineRule="auto"/>
      </w:pPr>
    </w:p>
    <w:p w14:paraId="61E3369C">
      <w:pPr>
        <w:pStyle w:val="11"/>
        <w:spacing w:line="264" w:lineRule="auto"/>
      </w:pPr>
    </w:p>
    <w:p w14:paraId="65F9D46F">
      <w:pPr>
        <w:pStyle w:val="11"/>
        <w:spacing w:line="264" w:lineRule="auto"/>
      </w:pPr>
    </w:p>
    <w:p w14:paraId="099DFFA2">
      <w:pPr>
        <w:pStyle w:val="11"/>
        <w:spacing w:line="264" w:lineRule="auto"/>
      </w:pPr>
    </w:p>
    <w:p w14:paraId="13F9B45E">
      <w:pPr>
        <w:pStyle w:val="11"/>
        <w:spacing w:line="264" w:lineRule="auto"/>
      </w:pPr>
    </w:p>
    <w:p w14:paraId="4543CCE7">
      <w:pPr>
        <w:pStyle w:val="11"/>
        <w:spacing w:line="264" w:lineRule="auto"/>
      </w:pPr>
    </w:p>
    <w:p w14:paraId="0581DA96">
      <w:pPr>
        <w:pStyle w:val="11"/>
        <w:spacing w:line="264" w:lineRule="auto"/>
      </w:pPr>
    </w:p>
    <w:p w14:paraId="53F08860">
      <w:pPr>
        <w:pStyle w:val="11"/>
        <w:spacing w:line="264" w:lineRule="auto"/>
      </w:pPr>
    </w:p>
    <w:p w14:paraId="13BEB03D">
      <w:pPr>
        <w:pStyle w:val="11"/>
        <w:spacing w:line="264" w:lineRule="auto"/>
      </w:pPr>
    </w:p>
    <w:p w14:paraId="6D547F0D">
      <w:pPr>
        <w:spacing w:line="1282" w:lineRule="exact"/>
        <w:ind w:firstLine="2238"/>
      </w:pPr>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3200" cy="814450"/>
                    </a:xfrm>
                    <a:prstGeom prst="rect">
                      <a:avLst/>
                    </a:prstGeom>
                  </pic:spPr>
                </pic:pic>
              </a:graphicData>
            </a:graphic>
          </wp:inline>
        </w:drawing>
      </w:r>
    </w:p>
    <w:p w14:paraId="70C40B5C">
      <w:pPr>
        <w:pStyle w:val="11"/>
        <w:spacing w:line="245" w:lineRule="auto"/>
      </w:pPr>
    </w:p>
    <w:p w14:paraId="2F805B01">
      <w:pPr>
        <w:pStyle w:val="11"/>
        <w:spacing w:line="245" w:lineRule="auto"/>
      </w:pPr>
    </w:p>
    <w:p w14:paraId="41D7EFAF">
      <w:pPr>
        <w:pStyle w:val="11"/>
        <w:spacing w:line="245" w:lineRule="auto"/>
      </w:pPr>
    </w:p>
    <w:p w14:paraId="344F4925">
      <w:pPr>
        <w:pStyle w:val="11"/>
        <w:spacing w:line="245" w:lineRule="auto"/>
      </w:pPr>
    </w:p>
    <w:p w14:paraId="43FD36F0">
      <w:pPr>
        <w:pStyle w:val="11"/>
        <w:spacing w:line="245" w:lineRule="auto"/>
      </w:pPr>
    </w:p>
    <w:p w14:paraId="5456D49E">
      <w:pPr>
        <w:pStyle w:val="11"/>
        <w:spacing w:line="245" w:lineRule="auto"/>
      </w:pPr>
    </w:p>
    <w:p w14:paraId="465A67A9">
      <w:pPr>
        <w:pStyle w:val="11"/>
        <w:spacing w:line="245" w:lineRule="auto"/>
      </w:pPr>
    </w:p>
    <w:p w14:paraId="513CCC64">
      <w:pPr>
        <w:pStyle w:val="11"/>
        <w:spacing w:line="245" w:lineRule="auto"/>
      </w:pPr>
    </w:p>
    <w:p w14:paraId="6BEA7710">
      <w:pPr>
        <w:pStyle w:val="11"/>
        <w:spacing w:line="245" w:lineRule="auto"/>
      </w:pPr>
    </w:p>
    <w:p w14:paraId="28BB0CA3">
      <w:pPr>
        <w:pStyle w:val="11"/>
        <w:spacing w:line="245" w:lineRule="auto"/>
      </w:pPr>
    </w:p>
    <w:p w14:paraId="2C27795A">
      <w:pPr>
        <w:pStyle w:val="11"/>
        <w:spacing w:line="245" w:lineRule="auto"/>
      </w:pPr>
    </w:p>
    <w:p w14:paraId="03A9CD89">
      <w:pPr>
        <w:pStyle w:val="11"/>
        <w:spacing w:line="245" w:lineRule="auto"/>
      </w:pPr>
    </w:p>
    <w:p w14:paraId="7A55DCBB">
      <w:pPr>
        <w:pStyle w:val="11"/>
        <w:spacing w:line="245" w:lineRule="auto"/>
      </w:pPr>
    </w:p>
    <w:p w14:paraId="5D684539">
      <w:pPr>
        <w:pStyle w:val="11"/>
        <w:spacing w:line="245" w:lineRule="auto"/>
      </w:pPr>
    </w:p>
    <w:p w14:paraId="0B08CEC9">
      <w:pPr>
        <w:pStyle w:val="11"/>
        <w:spacing w:line="245" w:lineRule="auto"/>
      </w:pPr>
    </w:p>
    <w:p w14:paraId="1F90E10D">
      <w:pPr>
        <w:pStyle w:val="11"/>
        <w:spacing w:line="245" w:lineRule="auto"/>
      </w:pPr>
    </w:p>
    <w:p w14:paraId="519361E3">
      <w:pPr>
        <w:pStyle w:val="11"/>
        <w:spacing w:line="245" w:lineRule="auto"/>
      </w:pPr>
    </w:p>
    <w:p w14:paraId="08613F3B">
      <w:pPr>
        <w:pStyle w:val="11"/>
        <w:spacing w:line="245" w:lineRule="auto"/>
      </w:pPr>
    </w:p>
    <w:p w14:paraId="515644C5">
      <w:pPr>
        <w:pStyle w:val="11"/>
        <w:spacing w:line="245" w:lineRule="auto"/>
      </w:pPr>
    </w:p>
    <w:p w14:paraId="24F71F0B">
      <w:pPr>
        <w:pStyle w:val="11"/>
        <w:spacing w:line="245" w:lineRule="auto"/>
      </w:pPr>
    </w:p>
    <w:p w14:paraId="0740982D">
      <w:pPr>
        <w:pStyle w:val="11"/>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bookmarkStart w:id="0" w:name="_Toc9562"/>
      <w:r>
        <w:rPr>
          <w:rFonts w:ascii="宋体" w:hAnsi="宋体" w:eastAsia="宋体" w:cs="宋体"/>
          <w:spacing w:val="-5"/>
          <w:sz w:val="28"/>
          <w:szCs w:val="28"/>
        </w:rPr>
        <w:t>文档信息</w:t>
      </w:r>
      <w:bookmarkEnd w:id="0"/>
    </w:p>
    <w:p w14:paraId="7EC3C678">
      <w:pPr>
        <w:spacing w:line="100" w:lineRule="exact"/>
      </w:pPr>
    </w:p>
    <w:tbl>
      <w:tblPr>
        <w:tblStyle w:val="19"/>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ascii="宋体" w:hAnsi="宋体" w:eastAsia="宋体" w:cs="宋体"/>
                <w:sz w:val="20"/>
                <w:szCs w:val="20"/>
              </w:rPr>
            </w:pPr>
            <w:r>
              <w:rPr>
                <w:rFonts w:ascii="宋体" w:hAnsi="宋体" w:eastAsia="宋体" w:cs="宋体"/>
                <w:sz w:val="20"/>
                <w:szCs w:val="20"/>
              </w:rPr>
              <w:t>宫海亭</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20"/>
            </w:pPr>
          </w:p>
        </w:tc>
        <w:tc>
          <w:tcPr>
            <w:tcW w:w="1695" w:type="dxa"/>
            <w:vAlign w:val="top"/>
          </w:tcPr>
          <w:p w14:paraId="32D265DC">
            <w:pPr>
              <w:pStyle w:val="20"/>
            </w:pPr>
          </w:p>
        </w:tc>
        <w:tc>
          <w:tcPr>
            <w:tcW w:w="2301" w:type="dxa"/>
            <w:vAlign w:val="top"/>
          </w:tcPr>
          <w:p w14:paraId="76F0915A">
            <w:pPr>
              <w:pStyle w:val="20"/>
            </w:pPr>
          </w:p>
        </w:tc>
        <w:tc>
          <w:tcPr>
            <w:tcW w:w="1556" w:type="dxa"/>
            <w:vAlign w:val="top"/>
          </w:tcPr>
          <w:p w14:paraId="217EB92C">
            <w:pPr>
              <w:pStyle w:val="20"/>
            </w:pPr>
          </w:p>
        </w:tc>
        <w:tc>
          <w:tcPr>
            <w:tcW w:w="1956" w:type="dxa"/>
            <w:vAlign w:val="top"/>
          </w:tcPr>
          <w:p w14:paraId="62AD4583">
            <w:pPr>
              <w:pStyle w:val="20"/>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20"/>
            </w:pPr>
          </w:p>
        </w:tc>
        <w:tc>
          <w:tcPr>
            <w:tcW w:w="1695" w:type="dxa"/>
            <w:vAlign w:val="top"/>
          </w:tcPr>
          <w:p w14:paraId="68CF7294">
            <w:pPr>
              <w:pStyle w:val="20"/>
            </w:pPr>
          </w:p>
        </w:tc>
        <w:tc>
          <w:tcPr>
            <w:tcW w:w="2301" w:type="dxa"/>
            <w:vAlign w:val="top"/>
          </w:tcPr>
          <w:p w14:paraId="072EF7A8">
            <w:pPr>
              <w:pStyle w:val="20"/>
            </w:pPr>
          </w:p>
        </w:tc>
        <w:tc>
          <w:tcPr>
            <w:tcW w:w="1556" w:type="dxa"/>
            <w:vAlign w:val="top"/>
          </w:tcPr>
          <w:p w14:paraId="4B5DEF23">
            <w:pPr>
              <w:pStyle w:val="20"/>
            </w:pPr>
          </w:p>
        </w:tc>
        <w:tc>
          <w:tcPr>
            <w:tcW w:w="1956" w:type="dxa"/>
            <w:vAlign w:val="top"/>
          </w:tcPr>
          <w:p w14:paraId="63AB09F1">
            <w:pPr>
              <w:pStyle w:val="20"/>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20"/>
            </w:pPr>
          </w:p>
        </w:tc>
        <w:tc>
          <w:tcPr>
            <w:tcW w:w="1695" w:type="dxa"/>
            <w:vAlign w:val="top"/>
          </w:tcPr>
          <w:p w14:paraId="0F6E52E6">
            <w:pPr>
              <w:pStyle w:val="20"/>
            </w:pPr>
          </w:p>
        </w:tc>
        <w:tc>
          <w:tcPr>
            <w:tcW w:w="2301" w:type="dxa"/>
            <w:vAlign w:val="top"/>
          </w:tcPr>
          <w:p w14:paraId="63F29EA1">
            <w:pPr>
              <w:pStyle w:val="20"/>
            </w:pPr>
          </w:p>
        </w:tc>
        <w:tc>
          <w:tcPr>
            <w:tcW w:w="1556" w:type="dxa"/>
            <w:vAlign w:val="top"/>
          </w:tcPr>
          <w:p w14:paraId="2F0DFEB5">
            <w:pPr>
              <w:pStyle w:val="20"/>
            </w:pPr>
          </w:p>
        </w:tc>
        <w:tc>
          <w:tcPr>
            <w:tcW w:w="1956" w:type="dxa"/>
            <w:vAlign w:val="top"/>
          </w:tcPr>
          <w:p w14:paraId="4200FBAF">
            <w:pPr>
              <w:pStyle w:val="20"/>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20"/>
            </w:pPr>
          </w:p>
        </w:tc>
        <w:tc>
          <w:tcPr>
            <w:tcW w:w="1695" w:type="dxa"/>
            <w:vAlign w:val="top"/>
          </w:tcPr>
          <w:p w14:paraId="1A69E707">
            <w:pPr>
              <w:pStyle w:val="20"/>
            </w:pPr>
          </w:p>
        </w:tc>
        <w:tc>
          <w:tcPr>
            <w:tcW w:w="2301" w:type="dxa"/>
            <w:vAlign w:val="top"/>
          </w:tcPr>
          <w:p w14:paraId="739A86DF">
            <w:pPr>
              <w:pStyle w:val="20"/>
            </w:pPr>
          </w:p>
        </w:tc>
        <w:tc>
          <w:tcPr>
            <w:tcW w:w="1556" w:type="dxa"/>
            <w:vAlign w:val="top"/>
          </w:tcPr>
          <w:p w14:paraId="05524B85">
            <w:pPr>
              <w:pStyle w:val="20"/>
            </w:pPr>
          </w:p>
        </w:tc>
        <w:tc>
          <w:tcPr>
            <w:tcW w:w="1956" w:type="dxa"/>
            <w:vAlign w:val="top"/>
          </w:tcPr>
          <w:p w14:paraId="474D594E">
            <w:pPr>
              <w:pStyle w:val="20"/>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20"/>
            </w:pPr>
          </w:p>
        </w:tc>
        <w:tc>
          <w:tcPr>
            <w:tcW w:w="1695" w:type="dxa"/>
            <w:vAlign w:val="top"/>
          </w:tcPr>
          <w:p w14:paraId="3892A269">
            <w:pPr>
              <w:pStyle w:val="20"/>
            </w:pPr>
          </w:p>
        </w:tc>
        <w:tc>
          <w:tcPr>
            <w:tcW w:w="2301" w:type="dxa"/>
            <w:vAlign w:val="top"/>
          </w:tcPr>
          <w:p w14:paraId="70B110F5">
            <w:pPr>
              <w:pStyle w:val="20"/>
            </w:pPr>
          </w:p>
        </w:tc>
        <w:tc>
          <w:tcPr>
            <w:tcW w:w="1556" w:type="dxa"/>
            <w:vAlign w:val="top"/>
          </w:tcPr>
          <w:p w14:paraId="70DCCB00">
            <w:pPr>
              <w:pStyle w:val="20"/>
            </w:pPr>
          </w:p>
        </w:tc>
        <w:tc>
          <w:tcPr>
            <w:tcW w:w="1956" w:type="dxa"/>
            <w:vAlign w:val="top"/>
          </w:tcPr>
          <w:p w14:paraId="5CE815F4">
            <w:pPr>
              <w:pStyle w:val="20"/>
            </w:pPr>
          </w:p>
        </w:tc>
      </w:tr>
    </w:tbl>
    <w:p w14:paraId="31A6AC6C">
      <w:pPr>
        <w:pStyle w:val="11"/>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Arial"/>
          <w:snapToGrid w:val="0"/>
          <w:color w:val="000000"/>
          <w:kern w:val="0"/>
          <w:sz w:val="21"/>
          <w:szCs w:val="21"/>
          <w:lang w:val="en-US" w:eastAsia="en-US" w:bidi="ar-SA"/>
        </w:rPr>
        <w:id w:val="147458789"/>
        <w15:color w:val="DBDBDB"/>
        <w:docPartObj>
          <w:docPartGallery w:val="Table of Contents"/>
          <w:docPartUnique/>
        </w:docPartObj>
      </w:sdtPr>
      <w:sdtEndPr>
        <w:rPr>
          <w:rFonts w:ascii="Calibri" w:hAnsi="Calibri" w:eastAsia="Calibri" w:cs="Calibri"/>
          <w:snapToGrid w:val="0"/>
          <w:color w:val="000000"/>
          <w:kern w:val="0"/>
          <w:sz w:val="21"/>
          <w:szCs w:val="19"/>
          <w:lang w:val="en-US" w:eastAsia="en-US" w:bidi="ar-SA"/>
        </w:rPr>
      </w:sdtEndPr>
      <w:sdtContent>
        <w:p w14:paraId="37F4FF2D">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6B01F718">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6C0D41">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_Toc31210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_Toc31210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DCD5E4">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8577D21">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D1C61BD">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输入与输出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_Toc24324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F5809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4.1. 主要输入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A13126">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4.2. 主要输出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1034E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_Toc7558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职责权限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_Toc7558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B26AA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_Toc22863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服务目录管理机制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_Toc22863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DB52D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6.1. 服务目录内容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B37C35">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6.2. 受众和目标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F139B0">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6.3. 基本要求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E85FC9">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6.4. 内容形式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3184D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_Toc27393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6.5. 注意事项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_Toc27393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88A5485">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_Toc7073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服务目录管理流程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_Toc7073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D4F64">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_Toc19882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7.1. 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_Toc19882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2425CA">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_Toc14406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7.2. 过程描述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_Toc14406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874D97">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服务目录价值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7F56E2">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 与其他过程的关系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5F3C95">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9.1. 与服务级别管理过程的关系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6F588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_Toc21285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9.2. 与变更与发布管理过程的关系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_Toc21285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BA9750">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_Toc9827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 服务目录管理过程持续改进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_Toc9827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E54B1E">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_Toc30511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相关文件与记录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_Toc30511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BBA6DC">
          <w:pPr>
            <w:pStyle w:val="16"/>
            <w:tabs>
              <w:tab w:val="right" w:leader="dot" w:pos="9140"/>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11.1. 记录文件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E0C561">
          <w:pPr>
            <w:spacing w:line="228" w:lineRule="auto"/>
            <w:rPr>
              <w:rFonts w:ascii="Calibri" w:hAnsi="Calibri" w:eastAsia="Calibri" w:cs="Calibri"/>
              <w:snapToGrid w:val="0"/>
              <w:color w:val="000000"/>
              <w:kern w:val="0"/>
              <w:sz w:val="21"/>
              <w:szCs w:val="19"/>
              <w:lang w:val="en-US" w:eastAsia="en-US" w:bidi="ar-SA"/>
            </w:rPr>
          </w:pPr>
          <w:r>
            <w:rPr>
              <w:rFonts w:hint="eastAsia" w:ascii="Microsoft JhengHei" w:hAnsi="Microsoft JhengHei" w:eastAsia="Microsoft JhengHei" w:cs="Microsoft JhengHei"/>
              <w:szCs w:val="24"/>
            </w:rPr>
            <w:fldChar w:fldCharType="end"/>
          </w:r>
        </w:p>
      </w:sdtContent>
    </w:sdt>
    <w:p w14:paraId="357DA7A7">
      <w:pPr>
        <w:spacing w:line="228" w:lineRule="auto"/>
        <w:rPr>
          <w:rFonts w:ascii="Calibri" w:hAnsi="Calibri" w:eastAsia="Calibri" w:cs="Calibri"/>
          <w:snapToGrid w:val="0"/>
          <w:color w:val="000000"/>
          <w:kern w:val="0"/>
          <w:sz w:val="21"/>
          <w:szCs w:val="19"/>
          <w:lang w:val="en-US" w:eastAsia="en-US" w:bidi="ar-SA"/>
        </w:rPr>
        <w:sectPr>
          <w:footerReference r:id="rId6" w:type="default"/>
          <w:pgSz w:w="11906" w:h="16840"/>
          <w:pgMar w:top="1431" w:right="1154" w:bottom="1144" w:left="1612" w:header="0" w:footer="978" w:gutter="0"/>
          <w:cols w:space="720" w:num="1"/>
        </w:sectPr>
      </w:pPr>
    </w:p>
    <w:p w14:paraId="50735549">
      <w:pPr>
        <w:pStyle w:val="22"/>
        <w:bidi w:val="0"/>
      </w:pPr>
      <w:bookmarkStart w:id="1" w:name="_Toc31210"/>
      <w:r>
        <w:t>目的</w:t>
      </w:r>
      <w:bookmarkEnd w:id="1"/>
    </w:p>
    <w:p w14:paraId="04C544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3655B2DD">
      <w:pPr>
        <w:pStyle w:val="21"/>
        <w:bidi w:val="0"/>
      </w:pPr>
      <w:bookmarkStart w:id="2" w:name="_Toc14562"/>
      <w:r>
        <w:t>范围</w:t>
      </w:r>
      <w:bookmarkEnd w:id="2"/>
    </w:p>
    <w:p w14:paraId="207A2D0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本程序适用于运维服务部。</w:t>
      </w:r>
    </w:p>
    <w:p w14:paraId="491834B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包括提供和维护所有服务的准确信息，包括所有正在转换或已转换到生产环境中的服务。</w:t>
      </w:r>
    </w:p>
    <w:p w14:paraId="075B9C3E">
      <w:pPr>
        <w:pStyle w:val="21"/>
        <w:bidi w:val="0"/>
      </w:pPr>
      <w:bookmarkStart w:id="3" w:name="_Toc6706"/>
      <w:r>
        <w:t>定义</w:t>
      </w:r>
      <w:bookmarkEnd w:id="3"/>
    </w:p>
    <w:p w14:paraId="4E70A3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服务目录：是用于记录所有服务项目的相关信息的一个数据库或结构化文档资料，包括业务服务目录和技术服务目录。</w:t>
      </w:r>
    </w:p>
    <w:p w14:paraId="7C139B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定义服务目录的目的是为IT服务提供文件资料和建立其它服务管理组成的基础。本质上，它清晰地定义了从IT组织可得到什么服务和按商业目标和需求定位那些服务。它可以作为SLA的基准，在组织中它也成为为规程和流程提供文件资料的基础。</w:t>
      </w:r>
    </w:p>
    <w:p w14:paraId="7CFC7B74">
      <w:pPr>
        <w:pStyle w:val="21"/>
        <w:bidi w:val="0"/>
      </w:pPr>
      <w:bookmarkStart w:id="4" w:name="_Toc24324"/>
      <w:r>
        <w:t>输入与输出</w:t>
      </w:r>
      <w:bookmarkEnd w:id="4"/>
    </w:p>
    <w:p w14:paraId="1C04B79C">
      <w:pPr>
        <w:pStyle w:val="22"/>
        <w:bidi w:val="0"/>
      </w:pPr>
      <w:bookmarkStart w:id="5" w:name="bookmark25"/>
      <w:bookmarkEnd w:id="5"/>
      <w:bookmarkStart w:id="6" w:name="_Toc19450"/>
      <w:r>
        <w:t>主要输入</w:t>
      </w:r>
      <w:bookmarkEnd w:id="6"/>
    </w:p>
    <w:tbl>
      <w:tblPr>
        <w:tblStyle w:val="19"/>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4FD71004">
      <w:pPr>
        <w:pStyle w:val="22"/>
        <w:bidi w:val="0"/>
      </w:pPr>
      <w:bookmarkStart w:id="7" w:name="_Toc12742"/>
      <w:r>
        <w:t>主要输出</w:t>
      </w:r>
      <w:bookmarkEnd w:id="7"/>
    </w:p>
    <w:p w14:paraId="67A9D28E"/>
    <w:tbl>
      <w:tblPr>
        <w:tblStyle w:val="19"/>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hint="eastAsia" w:ascii="宋体" w:hAnsi="宋体" w:eastAsia="宋体" w:cs="宋体"/>
                <w:sz w:val="22"/>
                <w:szCs w:val="22"/>
                <w:lang w:val="en-US" w:eastAsia="zh-CN"/>
              </w:rPr>
            </w:pPr>
            <w:r>
              <w:rPr>
                <w:rFonts w:ascii="宋体" w:hAnsi="宋体" w:eastAsia="宋体" w:cs="宋体"/>
                <w:spacing w:val="-2"/>
                <w:sz w:val="22"/>
                <w:szCs w:val="22"/>
              </w:rPr>
              <w:t>运维服务部/质量中心</w:t>
            </w:r>
          </w:p>
        </w:tc>
      </w:tr>
    </w:tbl>
    <w:p w14:paraId="19709B12">
      <w:pPr>
        <w:pStyle w:val="11"/>
        <w:spacing w:line="342" w:lineRule="auto"/>
      </w:pPr>
    </w:p>
    <w:p w14:paraId="4C029605">
      <w:pPr>
        <w:pStyle w:val="21"/>
        <w:bidi w:val="0"/>
      </w:pPr>
      <w:bookmarkStart w:id="8" w:name="_Toc7558"/>
      <w:r>
        <w:t>职责权限</w:t>
      </w:r>
      <w:bookmarkEnd w:id="8"/>
    </w:p>
    <w:tbl>
      <w:tblPr>
        <w:tblStyle w:val="19"/>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20"/>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与销售部就服务目录的发布达成共识等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20"/>
              <w:spacing w:line="260" w:lineRule="auto"/>
            </w:pPr>
          </w:p>
          <w:p w14:paraId="61DF2B10">
            <w:pPr>
              <w:pStyle w:val="20"/>
              <w:spacing w:line="261" w:lineRule="auto"/>
            </w:pPr>
          </w:p>
          <w:p w14:paraId="5B3EB18D">
            <w:pPr>
              <w:pStyle w:val="20"/>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024D64BA">
      <w:pPr>
        <w:pStyle w:val="21"/>
        <w:bidi w:val="0"/>
      </w:pPr>
      <w:bookmarkStart w:id="9" w:name="_Toc22863"/>
      <w:r>
        <w:t>服务目录管理机制</w:t>
      </w:r>
      <w:bookmarkEnd w:id="9"/>
    </w:p>
    <w:p w14:paraId="7C4EEBA1">
      <w:pPr>
        <w:pStyle w:val="22"/>
        <w:bidi w:val="0"/>
      </w:pPr>
      <w:bookmarkStart w:id="10" w:name="bookmark26"/>
      <w:bookmarkEnd w:id="10"/>
      <w:bookmarkStart w:id="11" w:name="_Toc25997"/>
      <w:r>
        <w:t>服务目录内容</w:t>
      </w:r>
      <w:bookmarkEnd w:id="11"/>
    </w:p>
    <w:p w14:paraId="6590B6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服务目录覆盖组织当前所有服务能力范围内可以提供的服务，服务目录应包括：</w:t>
      </w:r>
    </w:p>
    <w:p w14:paraId="3148A1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服务目录（包括编码、名称）、服务详述（包括如服务对象、服务分类、服务内容、服务频度、响应时间、交付方式、交付成果等）</w:t>
      </w:r>
    </w:p>
    <w:p w14:paraId="1A7F33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未来服务目录可在服务产品化的基础上，增加运维服务部门、服务时长、服务人员所需最低技能，服务报价等细项；以及增加通过服务搭配与组合以实现不同级别的服务承诺。</w:t>
      </w:r>
    </w:p>
    <w:p w14:paraId="4E9593E4">
      <w:pPr>
        <w:pStyle w:val="22"/>
        <w:bidi w:val="0"/>
      </w:pPr>
      <w:bookmarkStart w:id="12" w:name="_Toc3062"/>
      <w:r>
        <w:t>受众和目标</w:t>
      </w:r>
      <w:bookmarkEnd w:id="12"/>
    </w:p>
    <w:p w14:paraId="00336E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服务目录的目标是成为组织（IT 服务供方）与客户（IT 服务需方）之间的一个桥梁。对客户准确、完整地介绍组织的IT服务能力范围；对组织可以利用服务目录以及客户对服务目录的反馈，开展自身IT服务能力建设的依据。有利于服务的不断改进和资源匹配率的不断提升。</w:t>
      </w:r>
    </w:p>
    <w:p w14:paraId="00A48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服务目录：在服务目录建立后，原则上每年年初修编一次。若遇外部重大环境变化、内部重大战略转型也可按需进行修编。受众主要包括：</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、运维服务部、潜在购买服务客户。</w:t>
      </w:r>
    </w:p>
    <w:p w14:paraId="31AD8D4B">
      <w:pPr>
        <w:pStyle w:val="22"/>
        <w:bidi w:val="0"/>
      </w:pPr>
      <w:bookmarkStart w:id="13" w:name="_Toc22914"/>
      <w:r>
        <w:t>基本要求</w:t>
      </w:r>
      <w:bookmarkEnd w:id="13"/>
    </w:p>
    <w:p w14:paraId="75C16A69">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60" w:hangingChars="200"/>
        <w:textAlignment w:val="baseline"/>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服务目录应被制定并形成文档记录，在提供运维服务的过程中得到了应用；</w:t>
      </w:r>
    </w:p>
    <w:p w14:paraId="4A93DD55">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服务目录应在每年年初进行修编；</w:t>
      </w:r>
    </w:p>
    <w:p w14:paraId="30613DF7">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所有服务目录应包括服务列表，列表层次结构需符合 GB/T 29264-2012的要求</w:t>
      </w:r>
    </w:p>
    <w:p w14:paraId="678F707F">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服务目录应全面覆盖组织当前运维服务能力下可提供的运维服务；</w:t>
      </w:r>
    </w:p>
    <w:p w14:paraId="16DE7194">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服务目录应简明易懂，并对每个服务项有相关说明，容易被客户理解。</w:t>
      </w:r>
    </w:p>
    <w:p w14:paraId="4C3AC52F">
      <w:pPr>
        <w:pStyle w:val="22"/>
        <w:bidi w:val="0"/>
      </w:pPr>
      <w:bookmarkStart w:id="14" w:name="_Toc2037"/>
      <w:r>
        <w:t>内容形式</w:t>
      </w:r>
      <w:bookmarkEnd w:id="14"/>
    </w:p>
    <w:p w14:paraId="55B6F8C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服务目录中包含服务级别协议的内容。服务目录是决定客户期望的关键文件，客户和支持人员应该能方便地使用该文件以作为服务级别协议的参考。</w:t>
      </w:r>
    </w:p>
    <w:p w14:paraId="1DD7BB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服务目录以表格的形式展现，服务目录（包括编码、名称）、服务详述（包括如服务对象、服务分类、服务内容、服务频度、响应时间、交付方式、交付成果等）。</w:t>
      </w:r>
    </w:p>
    <w:p w14:paraId="4BF06F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具体内容与形式参见《运维服务目录》。</w:t>
      </w:r>
    </w:p>
    <w:p w14:paraId="0EADF06C">
      <w:pPr>
        <w:pStyle w:val="22"/>
        <w:bidi w:val="0"/>
      </w:pPr>
      <w:bookmarkStart w:id="15" w:name="_Toc27393"/>
      <w:r>
        <w:t>注意事项</w:t>
      </w:r>
      <w:bookmarkEnd w:id="15"/>
    </w:p>
    <w:p w14:paraId="40B6DD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服务目录的需求应满足服务目录阅读者需求。为了满足客户管理和内部管理的需要，在提供服务目录前需要</w:t>
      </w:r>
      <w:r>
        <w:rPr>
          <w:rFonts w:hint="eastAsia" w:ascii="宋体" w:hAnsi="宋体" w:eastAsia="宋体" w:cs="宋体"/>
          <w:spacing w:val="-1"/>
          <w:sz w:val="24"/>
          <w:szCs w:val="24"/>
          <w:lang w:val="en-US" w:eastAsia="zh-CN"/>
        </w:rPr>
        <w:t>由</w:t>
      </w:r>
      <w:r>
        <w:rPr>
          <w:rFonts w:ascii="宋体" w:hAnsi="宋体" w:eastAsia="宋体" w:cs="宋体"/>
          <w:spacing w:val="-1"/>
          <w:sz w:val="24"/>
          <w:szCs w:val="24"/>
        </w:rPr>
        <w:t>运维服务部与</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部就服务目录进行协商并将协商结果记录下来。</w:t>
      </w:r>
    </w:p>
    <w:p w14:paraId="66606AA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服务目录的储存、分发和维护应建有规范的制度，相关的管理人员和流程负责人对服务目录管理流程的文档负责。建立健全文档的访问控制机制，服务目录储存位置应对</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服务管理人员公布。项目级服务目录存储位置仅对项目相关的销售部、服务管理人员公布。文档应定期检查，保证可用。</w:t>
      </w:r>
    </w:p>
    <w:p w14:paraId="5D0CE6F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为了避免服务目录流于形式，成为无意义的劳动，</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w:t>
      </w:r>
      <w:bookmarkStart w:id="29" w:name="_GoBack"/>
      <w:r>
        <w:rPr>
          <w:rFonts w:ascii="宋体" w:hAnsi="宋体" w:eastAsia="宋体" w:cs="宋体"/>
          <w:spacing w:val="-1"/>
          <w:sz w:val="24"/>
          <w:szCs w:val="24"/>
        </w:rPr>
        <w:t>管理人员</w:t>
      </w:r>
      <w:bookmarkEnd w:id="29"/>
      <w:r>
        <w:rPr>
          <w:rFonts w:ascii="宋体" w:hAnsi="宋体" w:eastAsia="宋体" w:cs="宋体"/>
          <w:spacing w:val="-1"/>
          <w:sz w:val="24"/>
          <w:szCs w:val="24"/>
        </w:rPr>
        <w:t>和流程负责人应充分利用服务服务目录，每年定期或根据实际情况对服务目录进行回顾，提高决策的科学性。</w:t>
      </w:r>
    </w:p>
    <w:p w14:paraId="3B27C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服务目录的更新应通过变更与发布管理过程进行。</w:t>
      </w:r>
    </w:p>
    <w:p w14:paraId="722FAD84">
      <w:pPr>
        <w:pStyle w:val="21"/>
        <w:bidi w:val="0"/>
      </w:pPr>
      <w:bookmarkStart w:id="16" w:name="_Toc7073"/>
      <w:r>
        <w:t>服务目录管理流程</w:t>
      </w:r>
      <w:bookmarkEnd w:id="16"/>
    </w:p>
    <w:p w14:paraId="7F226D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服务目录管理流程的范围包括提供和维护所有服务的准确信息。包括所有在转换或已转换到生产环境中的服务。</w:t>
      </w:r>
      <w:bookmarkStart w:id="17" w:name="bookmark27"/>
      <w:bookmarkEnd w:id="17"/>
    </w:p>
    <w:p w14:paraId="6BBF928E">
      <w:pPr>
        <w:pStyle w:val="22"/>
        <w:bidi w:val="0"/>
      </w:pPr>
      <w:bookmarkStart w:id="18" w:name="_Toc19882"/>
      <w:r>
        <w:t>管理流程图</w:t>
      </w:r>
      <w:bookmarkEnd w:id="18"/>
    </w:p>
    <w:p w14:paraId="586766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rPr>
          <w:position w:val="-181"/>
        </w:rPr>
        <w:drawing>
          <wp:inline distT="0" distB="0" distL="0" distR="0">
            <wp:extent cx="5681345" cy="4497705"/>
            <wp:effectExtent l="0" t="0" r="3175" b="13335"/>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5681345" cy="4497705"/>
                    </a:xfrm>
                    <a:prstGeom prst="rect">
                      <a:avLst/>
                    </a:prstGeom>
                  </pic:spPr>
                </pic:pic>
              </a:graphicData>
            </a:graphic>
          </wp:inline>
        </w:drawing>
      </w:r>
    </w:p>
    <w:p w14:paraId="3B14E5A7">
      <w:pPr>
        <w:pStyle w:val="22"/>
        <w:bidi w:val="0"/>
      </w:pPr>
      <w:bookmarkStart w:id="19" w:name="_Toc14406"/>
      <w:r>
        <w:t>过程描述</w:t>
      </w:r>
      <w:bookmarkEnd w:id="19"/>
    </w:p>
    <w:tbl>
      <w:tblPr>
        <w:tblStyle w:val="19"/>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19"/>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ascii="宋体" w:hAnsi="宋体" w:eastAsia="宋体" w:cs="宋体"/>
                <w:spacing w:val="6"/>
                <w:sz w:val="20"/>
                <w:szCs w:val="20"/>
              </w:rPr>
              <w:t>运维服务部和销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6CCB3868">
      <w:pPr>
        <w:pStyle w:val="21"/>
        <w:bidi w:val="0"/>
      </w:pPr>
      <w:bookmarkStart w:id="20" w:name="_Toc20733"/>
      <w:r>
        <w:t>服务目录价值</w:t>
      </w:r>
      <w:bookmarkEnd w:id="20"/>
    </w:p>
    <w:p w14:paraId="6C8CD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组织管理层决策有支撑：服务目录准确描述基于客户需求（客户视角），组织能为客户提供什么样的运维服务，从而围绕服务目录开展相关的人员、资源、技术和过程建设。为组织管理层提供决策支撑。</w:t>
      </w:r>
    </w:p>
    <w:p w14:paraId="77F0E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运维服务可量化：运维服务作为无形无界的特殊产物，往往很难被衡量价值，所以运维服务通过服务目录的细化，可渐趋产品化，为性能度量提供一准；</w:t>
      </w:r>
    </w:p>
    <w:p w14:paraId="652D5A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被客户所识别：运维服务最终的交付对象是客户，所以运维服务通过服务目录（客户视角），能清晰展示组织的服务范围、服务能力、服务时效等，易被客户所理解，认同。作为销售部与客户的沟通工具，以及客户的决策依据；</w:t>
      </w:r>
    </w:p>
    <w:p w14:paraId="494AD5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运维服务等级可区分：运维服务在服务目录中进行细化后，采用不同的服务搭配与组合以及实现不同的服务承诺，让客户可以根据自己的需要去选择适合自己的服务。</w:t>
      </w:r>
    </w:p>
    <w:p w14:paraId="19ED2AFC">
      <w:pPr>
        <w:pStyle w:val="21"/>
        <w:bidi w:val="0"/>
      </w:pPr>
      <w:bookmarkStart w:id="21" w:name="_Toc11556"/>
      <w:r>
        <w:t>与其他过程的关系</w:t>
      </w:r>
      <w:bookmarkEnd w:id="21"/>
    </w:p>
    <w:p w14:paraId="5927FC02">
      <w:pPr>
        <w:pStyle w:val="22"/>
        <w:bidi w:val="0"/>
      </w:pPr>
      <w:bookmarkStart w:id="22" w:name="bookmark28"/>
      <w:bookmarkEnd w:id="22"/>
      <w:bookmarkStart w:id="23" w:name="_Toc22005"/>
      <w:r>
        <w:t>与服务级别管理过程的关系</w:t>
      </w:r>
      <w:bookmarkEnd w:id="23"/>
    </w:p>
    <w:p w14:paraId="358046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在组织中，以同样的方式向所有或大多数客户提供一个标准级别的支持，因此对于大多数用户服务目录成为了实际上的 SLA。只有那些用户需要一个不同的服务等级时将需要有一个 SLA，并且 SLA 只需要定义什么项目不同于标准服务目录。服务目录制定后，将作为服务级别管理的输入。</w:t>
      </w:r>
    </w:p>
    <w:p w14:paraId="39A7C033">
      <w:pPr>
        <w:pStyle w:val="22"/>
        <w:bidi w:val="0"/>
      </w:pPr>
      <w:bookmarkStart w:id="24" w:name="_Toc21285"/>
      <w:r>
        <w:t>与变更与发布管理过程的关系</w:t>
      </w:r>
      <w:bookmarkEnd w:id="24"/>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pStyle w:val="21"/>
        <w:bidi w:val="0"/>
      </w:pPr>
      <w:bookmarkStart w:id="25" w:name="_Toc9827"/>
      <w:r>
        <w:t>服务目录管理过程持续改进</w:t>
      </w:r>
      <w:bookmarkEnd w:id="25"/>
    </w:p>
    <w:p w14:paraId="004957F7">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改进的输入：</w:t>
      </w:r>
    </w:p>
    <w:p w14:paraId="50D32176">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改进方法：</w:t>
      </w:r>
    </w:p>
    <w:p w14:paraId="4A83758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5DA231A6">
      <w:pPr>
        <w:pStyle w:val="21"/>
        <w:bidi w:val="0"/>
      </w:pPr>
      <w:bookmarkStart w:id="26" w:name="_Toc30511"/>
      <w:r>
        <w:t>相关文件与记录</w:t>
      </w:r>
      <w:bookmarkEnd w:id="26"/>
    </w:p>
    <w:p w14:paraId="4251E3BB">
      <w:pPr>
        <w:pStyle w:val="22"/>
        <w:bidi w:val="0"/>
      </w:pPr>
      <w:bookmarkStart w:id="27" w:name="bookmark29"/>
      <w:bookmarkEnd w:id="27"/>
      <w:bookmarkStart w:id="28" w:name="_Toc25704"/>
      <w:r>
        <w:t>记录文件</w:t>
      </w:r>
      <w:bookmarkEnd w:id="28"/>
    </w:p>
    <w:p w14:paraId="0B6A5C77">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《运维服务目录》</w:t>
      </w:r>
    </w:p>
    <w:p w14:paraId="5797EAD2">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《服务级别协议》</w:t>
      </w:r>
    </w:p>
    <w:p w14:paraId="1685229B">
      <w:pPr>
        <w:keepNext w:val="0"/>
        <w:keepLines w:val="0"/>
        <w:pageBreakBefore w:val="0"/>
        <w:widowControl/>
        <w:kinsoku w:val="0"/>
        <w:wordWrap/>
        <w:overflowPunct/>
        <w:topLinePunct w:val="0"/>
        <w:autoSpaceDE w:val="0"/>
        <w:autoSpaceDN w:val="0"/>
        <w:bidi w:val="0"/>
        <w:adjustRightInd w:val="0"/>
        <w:snapToGrid w:val="0"/>
        <w:spacing w:line="218"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《运维服务报告》</w:t>
      </w:r>
    </w:p>
    <w:sectPr>
      <w:footerReference r:id="rId7"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0D84F"/>
    <w:multiLevelType w:val="multilevel"/>
    <w:tmpl w:val="E8E0D84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420"/>
        </w:tabs>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EB7E60"/>
    <w:rsid w:val="01E7687A"/>
    <w:rsid w:val="02D432A2"/>
    <w:rsid w:val="03E42E9A"/>
    <w:rsid w:val="06184D36"/>
    <w:rsid w:val="065D710A"/>
    <w:rsid w:val="0696086E"/>
    <w:rsid w:val="07593D76"/>
    <w:rsid w:val="079923C4"/>
    <w:rsid w:val="08061E89"/>
    <w:rsid w:val="093F6F9B"/>
    <w:rsid w:val="09970B85"/>
    <w:rsid w:val="0A3B59B5"/>
    <w:rsid w:val="0C171DEF"/>
    <w:rsid w:val="0C992E66"/>
    <w:rsid w:val="0CB97065"/>
    <w:rsid w:val="0D0E5602"/>
    <w:rsid w:val="0D464D9C"/>
    <w:rsid w:val="0D5A25F6"/>
    <w:rsid w:val="0D6C40D7"/>
    <w:rsid w:val="0EE4486D"/>
    <w:rsid w:val="0F1F58A5"/>
    <w:rsid w:val="10BE2E9B"/>
    <w:rsid w:val="10FD39C4"/>
    <w:rsid w:val="12A02444"/>
    <w:rsid w:val="13C07028"/>
    <w:rsid w:val="143D5130"/>
    <w:rsid w:val="14CB3DD9"/>
    <w:rsid w:val="1542409B"/>
    <w:rsid w:val="1776002C"/>
    <w:rsid w:val="18B828C6"/>
    <w:rsid w:val="18F57676"/>
    <w:rsid w:val="19D90D46"/>
    <w:rsid w:val="1A562397"/>
    <w:rsid w:val="1A8B2040"/>
    <w:rsid w:val="1B260F16"/>
    <w:rsid w:val="1B3721C8"/>
    <w:rsid w:val="1B4D4249"/>
    <w:rsid w:val="1B972C67"/>
    <w:rsid w:val="1BDE2644"/>
    <w:rsid w:val="1C56667E"/>
    <w:rsid w:val="1C9D42AD"/>
    <w:rsid w:val="1D7768AC"/>
    <w:rsid w:val="1D8B05A9"/>
    <w:rsid w:val="1DB304E7"/>
    <w:rsid w:val="1DD04C16"/>
    <w:rsid w:val="1E342337"/>
    <w:rsid w:val="1E854FF8"/>
    <w:rsid w:val="1F552C1D"/>
    <w:rsid w:val="20EE157B"/>
    <w:rsid w:val="225B2C40"/>
    <w:rsid w:val="227E5313"/>
    <w:rsid w:val="23C6233B"/>
    <w:rsid w:val="244760E7"/>
    <w:rsid w:val="25DC7BF4"/>
    <w:rsid w:val="26DB60FD"/>
    <w:rsid w:val="29DF4157"/>
    <w:rsid w:val="2ACB46DB"/>
    <w:rsid w:val="2ADE440E"/>
    <w:rsid w:val="2C0C0B07"/>
    <w:rsid w:val="2D8172D3"/>
    <w:rsid w:val="3186135C"/>
    <w:rsid w:val="333472C1"/>
    <w:rsid w:val="34CA77B1"/>
    <w:rsid w:val="3639699D"/>
    <w:rsid w:val="36527A5E"/>
    <w:rsid w:val="36F32FEF"/>
    <w:rsid w:val="393F42CA"/>
    <w:rsid w:val="3A151659"/>
    <w:rsid w:val="3AF31662"/>
    <w:rsid w:val="3D617264"/>
    <w:rsid w:val="3DD84CED"/>
    <w:rsid w:val="3EB30C70"/>
    <w:rsid w:val="3EC60FE9"/>
    <w:rsid w:val="3F051B12"/>
    <w:rsid w:val="3FE931E1"/>
    <w:rsid w:val="40420B44"/>
    <w:rsid w:val="407F58F4"/>
    <w:rsid w:val="40DE261A"/>
    <w:rsid w:val="4148218A"/>
    <w:rsid w:val="41536D89"/>
    <w:rsid w:val="415B2A37"/>
    <w:rsid w:val="419158DF"/>
    <w:rsid w:val="41943621"/>
    <w:rsid w:val="42A87384"/>
    <w:rsid w:val="43503578"/>
    <w:rsid w:val="43A55856"/>
    <w:rsid w:val="451A3E3D"/>
    <w:rsid w:val="45B95404"/>
    <w:rsid w:val="46774EA5"/>
    <w:rsid w:val="47013507"/>
    <w:rsid w:val="471A0124"/>
    <w:rsid w:val="480D4D62"/>
    <w:rsid w:val="489E5A83"/>
    <w:rsid w:val="49464848"/>
    <w:rsid w:val="49562880"/>
    <w:rsid w:val="4BD50ABE"/>
    <w:rsid w:val="4C4D68A6"/>
    <w:rsid w:val="4CEA67EB"/>
    <w:rsid w:val="4D2F0C57"/>
    <w:rsid w:val="4D812CAB"/>
    <w:rsid w:val="4DCB3F26"/>
    <w:rsid w:val="4E5A0E12"/>
    <w:rsid w:val="4E6116C1"/>
    <w:rsid w:val="4F11005F"/>
    <w:rsid w:val="504968C3"/>
    <w:rsid w:val="50881FD3"/>
    <w:rsid w:val="513A1AEF"/>
    <w:rsid w:val="5144296E"/>
    <w:rsid w:val="51932FAD"/>
    <w:rsid w:val="51F24D8E"/>
    <w:rsid w:val="520D1996"/>
    <w:rsid w:val="53312A7E"/>
    <w:rsid w:val="5415239F"/>
    <w:rsid w:val="546D21DB"/>
    <w:rsid w:val="54D538DD"/>
    <w:rsid w:val="554923E8"/>
    <w:rsid w:val="55524F2D"/>
    <w:rsid w:val="569E667C"/>
    <w:rsid w:val="57B329C5"/>
    <w:rsid w:val="58F76517"/>
    <w:rsid w:val="59ED3476"/>
    <w:rsid w:val="5B5F2152"/>
    <w:rsid w:val="5B8B6CF3"/>
    <w:rsid w:val="5CD6186D"/>
    <w:rsid w:val="5D467A6D"/>
    <w:rsid w:val="5DA12EF6"/>
    <w:rsid w:val="5E993BCD"/>
    <w:rsid w:val="5ED8293E"/>
    <w:rsid w:val="5EF86B45"/>
    <w:rsid w:val="5F3C5F70"/>
    <w:rsid w:val="5F4B136B"/>
    <w:rsid w:val="5FBA3DFB"/>
    <w:rsid w:val="5FFC2665"/>
    <w:rsid w:val="60003F04"/>
    <w:rsid w:val="60787F3E"/>
    <w:rsid w:val="60840144"/>
    <w:rsid w:val="60C82547"/>
    <w:rsid w:val="6125657E"/>
    <w:rsid w:val="61C947C9"/>
    <w:rsid w:val="633D721D"/>
    <w:rsid w:val="647B07F4"/>
    <w:rsid w:val="64BB489D"/>
    <w:rsid w:val="64E060B2"/>
    <w:rsid w:val="65B25CA0"/>
    <w:rsid w:val="66860EDB"/>
    <w:rsid w:val="67AE693B"/>
    <w:rsid w:val="67C25F42"/>
    <w:rsid w:val="687C4343"/>
    <w:rsid w:val="6A274783"/>
    <w:rsid w:val="6A535578"/>
    <w:rsid w:val="6AA95198"/>
    <w:rsid w:val="6BF1329A"/>
    <w:rsid w:val="6D203E37"/>
    <w:rsid w:val="6D860AC1"/>
    <w:rsid w:val="6FB6638D"/>
    <w:rsid w:val="70EC0B68"/>
    <w:rsid w:val="726E4074"/>
    <w:rsid w:val="7318735E"/>
    <w:rsid w:val="73221F8B"/>
    <w:rsid w:val="73A6496A"/>
    <w:rsid w:val="749869A9"/>
    <w:rsid w:val="78FF6FF6"/>
    <w:rsid w:val="7A85177D"/>
    <w:rsid w:val="7B073F40"/>
    <w:rsid w:val="7BF2699E"/>
    <w:rsid w:val="7C23124E"/>
    <w:rsid w:val="7CA83501"/>
    <w:rsid w:val="7CBC59EA"/>
    <w:rsid w:val="7D4274B2"/>
    <w:rsid w:val="7EAA3560"/>
    <w:rsid w:val="7F2B2374"/>
    <w:rsid w:val="7F3B68A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3359</Words>
  <Characters>3520</Characters>
  <TotalTime>7</TotalTime>
  <ScaleCrop>false</ScaleCrop>
  <LinksUpToDate>false</LinksUpToDate>
  <CharactersWithSpaces>3677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2025-08-26T07:58:00Z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