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06C0E3">
      <w:pPr>
        <w:pStyle w:val="11"/>
        <w:spacing w:line="252" w:lineRule="auto"/>
      </w:pPr>
    </w:p>
    <w:p w14:paraId="79F5E7C2">
      <w:pPr>
        <w:pStyle w:val="11"/>
        <w:spacing w:line="252" w:lineRule="auto"/>
      </w:pPr>
    </w:p>
    <w:p w14:paraId="69A27816">
      <w:pPr>
        <w:pStyle w:val="11"/>
        <w:spacing w:line="253" w:lineRule="auto"/>
      </w:pPr>
    </w:p>
    <w:p w14:paraId="0066984A">
      <w:pPr>
        <w:pStyle w:val="11"/>
        <w:spacing w:line="253" w:lineRule="auto"/>
      </w:pPr>
    </w:p>
    <w:p w14:paraId="10CC6363">
      <w:pPr>
        <w:spacing w:before="169" w:line="220" w:lineRule="auto"/>
        <w:ind w:left="1839"/>
        <w:rPr>
          <w:rFonts w:ascii="宋体" w:hAnsi="宋体" w:eastAsia="宋体" w:cs="宋体"/>
          <w:sz w:val="52"/>
          <w:szCs w:val="52"/>
        </w:rPr>
      </w:pPr>
      <w:r>
        <w:rPr>
          <w:rFonts w:ascii="宋体" w:hAnsi="宋体" w:eastAsia="宋体" w:cs="宋体"/>
          <w:spacing w:val="-4"/>
          <w:sz w:val="52"/>
          <w:szCs w:val="52"/>
        </w:rPr>
        <w:t>运维服务目录管理规范</w:t>
      </w:r>
    </w:p>
    <w:p w14:paraId="20E45162">
      <w:pPr>
        <w:pStyle w:val="11"/>
        <w:spacing w:line="263" w:lineRule="auto"/>
      </w:pPr>
    </w:p>
    <w:p w14:paraId="61E3369C">
      <w:pPr>
        <w:pStyle w:val="11"/>
        <w:spacing w:line="264" w:lineRule="auto"/>
      </w:pPr>
    </w:p>
    <w:p w14:paraId="65F9D46F">
      <w:pPr>
        <w:pStyle w:val="11"/>
        <w:spacing w:line="264" w:lineRule="auto"/>
      </w:pPr>
    </w:p>
    <w:p w14:paraId="099DFFA2">
      <w:pPr>
        <w:pStyle w:val="11"/>
        <w:spacing w:line="264" w:lineRule="auto"/>
      </w:pPr>
    </w:p>
    <w:p w14:paraId="13F9B45E">
      <w:pPr>
        <w:pStyle w:val="11"/>
        <w:spacing w:line="264" w:lineRule="auto"/>
      </w:pPr>
    </w:p>
    <w:p w14:paraId="4543CCE7">
      <w:pPr>
        <w:pStyle w:val="11"/>
        <w:spacing w:line="264" w:lineRule="auto"/>
      </w:pPr>
    </w:p>
    <w:p w14:paraId="0581DA96">
      <w:pPr>
        <w:pStyle w:val="11"/>
        <w:spacing w:line="264" w:lineRule="auto"/>
      </w:pPr>
    </w:p>
    <w:p w14:paraId="53F08860">
      <w:pPr>
        <w:pStyle w:val="11"/>
        <w:spacing w:line="264" w:lineRule="auto"/>
      </w:pPr>
    </w:p>
    <w:p w14:paraId="13BEB03D">
      <w:pPr>
        <w:pStyle w:val="11"/>
        <w:spacing w:line="264" w:lineRule="auto"/>
      </w:pPr>
    </w:p>
    <w:p w14:paraId="6D547F0D">
      <w:pPr>
        <w:spacing w:line="1282" w:lineRule="exact"/>
        <w:ind w:firstLine="2238"/>
      </w:pPr>
      <w:r>
        <w:rPr>
          <w:position w:val="-25"/>
        </w:rPr>
        <w:drawing>
          <wp:inline distT="0" distB="0" distL="0" distR="0">
            <wp:extent cx="2743200" cy="81407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2743200" cy="814450"/>
                    </a:xfrm>
                    <a:prstGeom prst="rect">
                      <a:avLst/>
                    </a:prstGeom>
                  </pic:spPr>
                </pic:pic>
              </a:graphicData>
            </a:graphic>
          </wp:inline>
        </w:drawing>
      </w:r>
    </w:p>
    <w:p w14:paraId="70C40B5C">
      <w:pPr>
        <w:pStyle w:val="11"/>
        <w:spacing w:line="245" w:lineRule="auto"/>
      </w:pPr>
    </w:p>
    <w:p w14:paraId="2F805B01">
      <w:pPr>
        <w:pStyle w:val="11"/>
        <w:spacing w:line="245" w:lineRule="auto"/>
      </w:pPr>
    </w:p>
    <w:p w14:paraId="41D7EFAF">
      <w:pPr>
        <w:pStyle w:val="11"/>
        <w:spacing w:line="245" w:lineRule="auto"/>
      </w:pPr>
    </w:p>
    <w:p w14:paraId="344F4925">
      <w:pPr>
        <w:pStyle w:val="11"/>
        <w:spacing w:line="245" w:lineRule="auto"/>
      </w:pPr>
    </w:p>
    <w:p w14:paraId="43FD36F0">
      <w:pPr>
        <w:pStyle w:val="11"/>
        <w:spacing w:line="245" w:lineRule="auto"/>
      </w:pPr>
    </w:p>
    <w:p w14:paraId="5456D49E">
      <w:pPr>
        <w:pStyle w:val="11"/>
        <w:spacing w:line="245" w:lineRule="auto"/>
      </w:pPr>
    </w:p>
    <w:p w14:paraId="465A67A9">
      <w:pPr>
        <w:pStyle w:val="11"/>
        <w:spacing w:line="245" w:lineRule="auto"/>
      </w:pPr>
    </w:p>
    <w:p w14:paraId="513CCC64">
      <w:pPr>
        <w:pStyle w:val="11"/>
        <w:spacing w:line="245" w:lineRule="auto"/>
      </w:pPr>
    </w:p>
    <w:p w14:paraId="6BEA7710">
      <w:pPr>
        <w:pStyle w:val="11"/>
        <w:spacing w:line="245" w:lineRule="auto"/>
      </w:pPr>
    </w:p>
    <w:p w14:paraId="28BB0CA3">
      <w:pPr>
        <w:pStyle w:val="11"/>
        <w:spacing w:line="245" w:lineRule="auto"/>
      </w:pPr>
    </w:p>
    <w:p w14:paraId="2C27795A">
      <w:pPr>
        <w:pStyle w:val="11"/>
        <w:spacing w:line="245" w:lineRule="auto"/>
      </w:pPr>
    </w:p>
    <w:p w14:paraId="03A9CD89">
      <w:pPr>
        <w:pStyle w:val="11"/>
        <w:spacing w:line="245" w:lineRule="auto"/>
      </w:pPr>
    </w:p>
    <w:p w14:paraId="7A55DCBB">
      <w:pPr>
        <w:pStyle w:val="11"/>
        <w:spacing w:line="245" w:lineRule="auto"/>
      </w:pPr>
    </w:p>
    <w:p w14:paraId="5D684539">
      <w:pPr>
        <w:pStyle w:val="11"/>
        <w:spacing w:line="245" w:lineRule="auto"/>
      </w:pPr>
    </w:p>
    <w:p w14:paraId="0B08CEC9">
      <w:pPr>
        <w:pStyle w:val="11"/>
        <w:spacing w:line="245" w:lineRule="auto"/>
      </w:pPr>
    </w:p>
    <w:p w14:paraId="1F90E10D">
      <w:pPr>
        <w:pStyle w:val="11"/>
        <w:spacing w:line="245" w:lineRule="auto"/>
      </w:pPr>
    </w:p>
    <w:p w14:paraId="519361E3">
      <w:pPr>
        <w:pStyle w:val="11"/>
        <w:spacing w:line="245" w:lineRule="auto"/>
      </w:pPr>
    </w:p>
    <w:p w14:paraId="08613F3B">
      <w:pPr>
        <w:pStyle w:val="11"/>
        <w:spacing w:line="245" w:lineRule="auto"/>
      </w:pPr>
    </w:p>
    <w:p w14:paraId="515644C5">
      <w:pPr>
        <w:pStyle w:val="11"/>
        <w:spacing w:line="245" w:lineRule="auto"/>
      </w:pPr>
    </w:p>
    <w:p w14:paraId="24F71F0B">
      <w:pPr>
        <w:pStyle w:val="11"/>
        <w:spacing w:line="245" w:lineRule="auto"/>
      </w:pPr>
    </w:p>
    <w:p w14:paraId="0740982D">
      <w:pPr>
        <w:pStyle w:val="11"/>
        <w:spacing w:line="245" w:lineRule="auto"/>
      </w:pPr>
    </w:p>
    <w:p w14:paraId="1E69E876">
      <w:pPr>
        <w:spacing w:before="114" w:line="224" w:lineRule="auto"/>
        <w:ind w:left="1907"/>
        <w:rPr>
          <w:rFonts w:ascii="宋体" w:hAnsi="宋体" w:eastAsia="宋体" w:cs="宋体"/>
          <w:sz w:val="35"/>
          <w:szCs w:val="35"/>
        </w:rPr>
      </w:pPr>
      <w:r>
        <w:rPr>
          <w:rFonts w:ascii="宋体" w:hAnsi="宋体" w:eastAsia="宋体" w:cs="宋体"/>
          <w:spacing w:val="7"/>
          <w:sz w:val="35"/>
          <w:szCs w:val="35"/>
        </w:rPr>
        <w:t>青岛慧海联创信息技术有限公司</w:t>
      </w:r>
    </w:p>
    <w:p w14:paraId="58FF5BFF">
      <w:pPr>
        <w:spacing w:before="196" w:line="225" w:lineRule="auto"/>
        <w:ind w:left="3176"/>
        <w:rPr>
          <w:rFonts w:ascii="宋体" w:hAnsi="宋体" w:eastAsia="宋体" w:cs="宋体"/>
          <w:sz w:val="35"/>
          <w:szCs w:val="35"/>
        </w:rPr>
      </w:pPr>
      <w:r>
        <w:rPr>
          <w:rFonts w:ascii="宋体" w:hAnsi="宋体" w:eastAsia="宋体" w:cs="宋体"/>
          <w:spacing w:val="-9"/>
          <w:sz w:val="35"/>
          <w:szCs w:val="35"/>
        </w:rPr>
        <w:t>2025年 1</w:t>
      </w:r>
      <w:r>
        <w:rPr>
          <w:rFonts w:ascii="宋体" w:hAnsi="宋体" w:eastAsia="宋体" w:cs="宋体"/>
          <w:spacing w:val="-47"/>
          <w:sz w:val="35"/>
          <w:szCs w:val="35"/>
        </w:rPr>
        <w:t xml:space="preserve"> </w:t>
      </w:r>
      <w:r>
        <w:rPr>
          <w:rFonts w:ascii="宋体" w:hAnsi="宋体" w:eastAsia="宋体" w:cs="宋体"/>
          <w:spacing w:val="-9"/>
          <w:sz w:val="35"/>
          <w:szCs w:val="35"/>
        </w:rPr>
        <w:t>月</w:t>
      </w:r>
      <w:r>
        <w:rPr>
          <w:rFonts w:ascii="宋体" w:hAnsi="宋体" w:eastAsia="宋体" w:cs="宋体"/>
          <w:spacing w:val="-64"/>
          <w:sz w:val="35"/>
          <w:szCs w:val="35"/>
        </w:rPr>
        <w:t xml:space="preserve"> </w:t>
      </w:r>
      <w:r>
        <w:rPr>
          <w:rFonts w:ascii="宋体" w:hAnsi="宋体" w:eastAsia="宋体" w:cs="宋体"/>
          <w:spacing w:val="-9"/>
          <w:sz w:val="35"/>
          <w:szCs w:val="35"/>
        </w:rPr>
        <w:t>4 日</w:t>
      </w:r>
    </w:p>
    <w:p w14:paraId="4CE6061C">
      <w:pPr>
        <w:spacing w:line="225" w:lineRule="auto"/>
        <w:rPr>
          <w:rFonts w:ascii="宋体" w:hAnsi="宋体" w:eastAsia="宋体" w:cs="宋体"/>
          <w:sz w:val="35"/>
          <w:szCs w:val="35"/>
        </w:rPr>
        <w:sectPr>
          <w:pgSz w:w="11906" w:h="16840"/>
          <w:pgMar w:top="1431" w:right="1785" w:bottom="0" w:left="1785" w:header="0" w:footer="0" w:gutter="0"/>
          <w:cols w:space="720" w:num="1"/>
        </w:sectPr>
      </w:pPr>
    </w:p>
    <w:p w14:paraId="6C3EAB15">
      <w:pPr>
        <w:spacing w:before="197" w:line="220" w:lineRule="auto"/>
        <w:ind w:left="3945"/>
        <w:outlineLvl w:val="0"/>
        <w:rPr>
          <w:rFonts w:ascii="宋体" w:hAnsi="宋体" w:eastAsia="宋体" w:cs="宋体"/>
          <w:sz w:val="28"/>
          <w:szCs w:val="28"/>
        </w:rPr>
      </w:pPr>
      <w:bookmarkStart w:id="0" w:name="_Toc9562"/>
      <w:r>
        <w:rPr>
          <w:rFonts w:ascii="宋体" w:hAnsi="宋体" w:eastAsia="宋体" w:cs="宋体"/>
          <w:spacing w:val="-5"/>
          <w:sz w:val="28"/>
          <w:szCs w:val="28"/>
        </w:rPr>
        <w:t>文档信息</w:t>
      </w:r>
      <w:bookmarkEnd w:id="0"/>
    </w:p>
    <w:p w14:paraId="7EC3C678">
      <w:pPr>
        <w:spacing w:line="100" w:lineRule="exact"/>
      </w:pPr>
    </w:p>
    <w:tbl>
      <w:tblPr>
        <w:tblStyle w:val="19"/>
        <w:tblW w:w="9075"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67"/>
        <w:gridCol w:w="1695"/>
        <w:gridCol w:w="2301"/>
        <w:gridCol w:w="1556"/>
        <w:gridCol w:w="1956"/>
      </w:tblGrid>
      <w:tr w14:paraId="46CDBBD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0" w:hRule="atLeast"/>
        </w:trPr>
        <w:tc>
          <w:tcPr>
            <w:tcW w:w="1567" w:type="dxa"/>
            <w:vAlign w:val="top"/>
          </w:tcPr>
          <w:p w14:paraId="44947EEB">
            <w:pPr>
              <w:spacing w:before="215" w:line="228" w:lineRule="auto"/>
              <w:ind w:left="168"/>
              <w:rPr>
                <w:rFonts w:ascii="宋体" w:hAnsi="宋体" w:eastAsia="宋体" w:cs="宋体"/>
                <w:sz w:val="20"/>
                <w:szCs w:val="20"/>
              </w:rPr>
            </w:pPr>
            <w:r>
              <w:rPr>
                <w:rFonts w:ascii="宋体" w:hAnsi="宋体" w:eastAsia="宋体" w:cs="宋体"/>
                <w:spacing w:val="6"/>
                <w:sz w:val="20"/>
                <w:szCs w:val="20"/>
              </w:rPr>
              <w:t>文档名称编号</w:t>
            </w:r>
          </w:p>
        </w:tc>
        <w:tc>
          <w:tcPr>
            <w:tcW w:w="7508" w:type="dxa"/>
            <w:gridSpan w:val="4"/>
            <w:vAlign w:val="top"/>
          </w:tcPr>
          <w:p w14:paraId="475CB4F2">
            <w:pPr>
              <w:spacing w:before="215" w:line="228" w:lineRule="auto"/>
              <w:ind w:left="116"/>
              <w:rPr>
                <w:rFonts w:ascii="宋体" w:hAnsi="宋体" w:eastAsia="宋体" w:cs="宋体"/>
                <w:sz w:val="20"/>
                <w:szCs w:val="20"/>
              </w:rPr>
            </w:pPr>
            <w:r>
              <w:rPr>
                <w:rFonts w:ascii="宋体" w:hAnsi="宋体" w:eastAsia="宋体" w:cs="宋体"/>
                <w:spacing w:val="11"/>
                <w:sz w:val="20"/>
                <w:szCs w:val="20"/>
              </w:rPr>
              <w:t>运维服务目录管理规范（</w:t>
            </w:r>
            <w:r>
              <w:rPr>
                <w:rFonts w:ascii="宋体" w:hAnsi="宋体" w:eastAsia="宋体" w:cs="宋体"/>
                <w:sz w:val="20"/>
                <w:szCs w:val="20"/>
              </w:rPr>
              <w:t>HHLC</w:t>
            </w:r>
            <w:r>
              <w:rPr>
                <w:rFonts w:ascii="宋体" w:hAnsi="宋体" w:eastAsia="宋体" w:cs="宋体"/>
                <w:spacing w:val="11"/>
                <w:sz w:val="20"/>
                <w:szCs w:val="20"/>
              </w:rPr>
              <w:t>-</w:t>
            </w:r>
            <w:r>
              <w:rPr>
                <w:rFonts w:ascii="宋体" w:hAnsi="宋体" w:eastAsia="宋体" w:cs="宋体"/>
                <w:sz w:val="20"/>
                <w:szCs w:val="20"/>
              </w:rPr>
              <w:t>ITSS</w:t>
            </w:r>
            <w:r>
              <w:rPr>
                <w:rFonts w:ascii="宋体" w:hAnsi="宋体" w:eastAsia="宋体" w:cs="宋体"/>
                <w:spacing w:val="11"/>
                <w:sz w:val="20"/>
                <w:szCs w:val="20"/>
              </w:rPr>
              <w:t>-</w:t>
            </w:r>
            <w:r>
              <w:rPr>
                <w:rFonts w:ascii="宋体" w:hAnsi="宋体" w:eastAsia="宋体" w:cs="宋体"/>
                <w:sz w:val="20"/>
                <w:szCs w:val="20"/>
              </w:rPr>
              <w:t>FWMLGL</w:t>
            </w:r>
            <w:r>
              <w:rPr>
                <w:rFonts w:ascii="宋体" w:hAnsi="宋体" w:eastAsia="宋体" w:cs="宋体"/>
                <w:spacing w:val="11"/>
                <w:sz w:val="20"/>
                <w:szCs w:val="20"/>
              </w:rPr>
              <w:t>）</w:t>
            </w:r>
          </w:p>
        </w:tc>
      </w:tr>
      <w:tr w14:paraId="14DC3A9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1" w:hRule="atLeast"/>
        </w:trPr>
        <w:tc>
          <w:tcPr>
            <w:tcW w:w="1567" w:type="dxa"/>
            <w:vAlign w:val="top"/>
          </w:tcPr>
          <w:p w14:paraId="13BC1741">
            <w:pPr>
              <w:spacing w:before="209" w:line="228" w:lineRule="auto"/>
              <w:ind w:left="377"/>
              <w:rPr>
                <w:rFonts w:ascii="宋体" w:hAnsi="宋体" w:eastAsia="宋体" w:cs="宋体"/>
                <w:sz w:val="20"/>
                <w:szCs w:val="20"/>
              </w:rPr>
            </w:pPr>
            <w:r>
              <w:rPr>
                <w:rFonts w:ascii="宋体" w:hAnsi="宋体" w:eastAsia="宋体" w:cs="宋体"/>
                <w:spacing w:val="5"/>
                <w:sz w:val="20"/>
                <w:szCs w:val="20"/>
              </w:rPr>
              <w:t>编制单位</w:t>
            </w:r>
          </w:p>
        </w:tc>
        <w:tc>
          <w:tcPr>
            <w:tcW w:w="7508" w:type="dxa"/>
            <w:gridSpan w:val="4"/>
            <w:vAlign w:val="top"/>
          </w:tcPr>
          <w:p w14:paraId="0F04835B">
            <w:pPr>
              <w:spacing w:before="209" w:line="227" w:lineRule="auto"/>
              <w:ind w:left="116"/>
              <w:rPr>
                <w:rFonts w:ascii="宋体" w:hAnsi="宋体" w:eastAsia="宋体" w:cs="宋体"/>
                <w:sz w:val="20"/>
                <w:szCs w:val="20"/>
              </w:rPr>
            </w:pPr>
            <w:r>
              <w:rPr>
                <w:rFonts w:ascii="宋体" w:hAnsi="宋体" w:eastAsia="宋体" w:cs="宋体"/>
                <w:spacing w:val="8"/>
                <w:sz w:val="20"/>
                <w:szCs w:val="20"/>
              </w:rPr>
              <w:t>青岛慧海联创信息技术有限公司</w:t>
            </w:r>
          </w:p>
        </w:tc>
      </w:tr>
      <w:tr w14:paraId="00BB68F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11" w:hRule="atLeast"/>
        </w:trPr>
        <w:tc>
          <w:tcPr>
            <w:tcW w:w="1567" w:type="dxa"/>
            <w:vAlign w:val="top"/>
          </w:tcPr>
          <w:p w14:paraId="105BDF5E">
            <w:pPr>
              <w:spacing w:before="210" w:line="227" w:lineRule="auto"/>
              <w:ind w:left="377"/>
              <w:rPr>
                <w:rFonts w:ascii="宋体" w:hAnsi="宋体" w:eastAsia="宋体" w:cs="宋体"/>
                <w:sz w:val="20"/>
                <w:szCs w:val="20"/>
              </w:rPr>
            </w:pPr>
            <w:r>
              <w:rPr>
                <w:rFonts w:ascii="宋体" w:hAnsi="宋体" w:eastAsia="宋体" w:cs="宋体"/>
                <w:spacing w:val="5"/>
                <w:sz w:val="20"/>
                <w:szCs w:val="20"/>
              </w:rPr>
              <w:t>文档版本</w:t>
            </w:r>
          </w:p>
        </w:tc>
        <w:tc>
          <w:tcPr>
            <w:tcW w:w="1695" w:type="dxa"/>
            <w:vAlign w:val="top"/>
          </w:tcPr>
          <w:p w14:paraId="3DC9E59E">
            <w:pPr>
              <w:spacing w:before="210" w:line="227" w:lineRule="auto"/>
              <w:ind w:left="439"/>
              <w:rPr>
                <w:rFonts w:ascii="宋体" w:hAnsi="宋体" w:eastAsia="宋体" w:cs="宋体"/>
                <w:sz w:val="20"/>
                <w:szCs w:val="20"/>
              </w:rPr>
            </w:pPr>
            <w:r>
              <w:rPr>
                <w:rFonts w:ascii="宋体" w:hAnsi="宋体" w:eastAsia="宋体" w:cs="宋体"/>
                <w:spacing w:val="5"/>
                <w:sz w:val="20"/>
                <w:szCs w:val="20"/>
              </w:rPr>
              <w:t>版本日期</w:t>
            </w:r>
          </w:p>
        </w:tc>
        <w:tc>
          <w:tcPr>
            <w:tcW w:w="2301" w:type="dxa"/>
            <w:vAlign w:val="top"/>
          </w:tcPr>
          <w:p w14:paraId="61B7230A">
            <w:pPr>
              <w:spacing w:before="210" w:line="227" w:lineRule="auto"/>
              <w:ind w:left="745"/>
              <w:rPr>
                <w:rFonts w:ascii="宋体" w:hAnsi="宋体" w:eastAsia="宋体" w:cs="宋体"/>
                <w:sz w:val="20"/>
                <w:szCs w:val="20"/>
              </w:rPr>
            </w:pPr>
            <w:r>
              <w:rPr>
                <w:rFonts w:ascii="宋体" w:hAnsi="宋体" w:eastAsia="宋体" w:cs="宋体"/>
                <w:spacing w:val="5"/>
                <w:sz w:val="20"/>
                <w:szCs w:val="20"/>
              </w:rPr>
              <w:t>版本说明</w:t>
            </w:r>
          </w:p>
        </w:tc>
        <w:tc>
          <w:tcPr>
            <w:tcW w:w="1556" w:type="dxa"/>
            <w:vAlign w:val="top"/>
          </w:tcPr>
          <w:p w14:paraId="0FF305B5">
            <w:pPr>
              <w:spacing w:before="213" w:line="228" w:lineRule="auto"/>
              <w:ind w:left="585"/>
              <w:rPr>
                <w:rFonts w:ascii="宋体" w:hAnsi="宋体" w:eastAsia="宋体" w:cs="宋体"/>
                <w:sz w:val="20"/>
                <w:szCs w:val="20"/>
              </w:rPr>
            </w:pPr>
            <w:r>
              <w:rPr>
                <w:rFonts w:ascii="宋体" w:hAnsi="宋体" w:eastAsia="宋体" w:cs="宋体"/>
                <w:spacing w:val="3"/>
                <w:sz w:val="20"/>
                <w:szCs w:val="20"/>
              </w:rPr>
              <w:t>作者</w:t>
            </w:r>
          </w:p>
        </w:tc>
        <w:tc>
          <w:tcPr>
            <w:tcW w:w="1956" w:type="dxa"/>
            <w:vAlign w:val="top"/>
          </w:tcPr>
          <w:p w14:paraId="50C83E58">
            <w:pPr>
              <w:spacing w:before="213" w:line="228" w:lineRule="auto"/>
              <w:ind w:left="803"/>
              <w:rPr>
                <w:rFonts w:ascii="宋体" w:hAnsi="宋体" w:eastAsia="宋体" w:cs="宋体"/>
                <w:sz w:val="20"/>
                <w:szCs w:val="20"/>
              </w:rPr>
            </w:pPr>
            <w:r>
              <w:rPr>
                <w:rFonts w:ascii="宋体" w:hAnsi="宋体" w:eastAsia="宋体" w:cs="宋体"/>
                <w:spacing w:val="-3"/>
                <w:sz w:val="20"/>
                <w:szCs w:val="20"/>
              </w:rPr>
              <w:t>审核</w:t>
            </w:r>
          </w:p>
        </w:tc>
      </w:tr>
      <w:tr w14:paraId="7684B60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4EB62F21">
            <w:pPr>
              <w:spacing w:before="194" w:line="268" w:lineRule="exact"/>
              <w:ind w:left="574"/>
              <w:rPr>
                <w:rFonts w:ascii="宋体" w:hAnsi="宋体" w:eastAsia="宋体" w:cs="宋体"/>
                <w:sz w:val="20"/>
                <w:szCs w:val="20"/>
              </w:rPr>
            </w:pPr>
            <w:r>
              <w:rPr>
                <w:rFonts w:ascii="宋体" w:hAnsi="宋体" w:eastAsia="宋体" w:cs="宋体"/>
                <w:spacing w:val="3"/>
                <w:position w:val="1"/>
                <w:sz w:val="20"/>
                <w:szCs w:val="20"/>
              </w:rPr>
              <w:t>V1.0</w:t>
            </w:r>
          </w:p>
        </w:tc>
        <w:tc>
          <w:tcPr>
            <w:tcW w:w="1695" w:type="dxa"/>
            <w:vAlign w:val="top"/>
          </w:tcPr>
          <w:p w14:paraId="7F714B87">
            <w:pPr>
              <w:spacing w:before="194" w:line="269" w:lineRule="exact"/>
              <w:ind w:left="443"/>
              <w:rPr>
                <w:rFonts w:ascii="宋体" w:hAnsi="宋体" w:eastAsia="宋体" w:cs="宋体"/>
                <w:sz w:val="20"/>
                <w:szCs w:val="20"/>
              </w:rPr>
            </w:pPr>
            <w:r>
              <w:rPr>
                <w:rFonts w:ascii="宋体" w:hAnsi="宋体" w:eastAsia="宋体" w:cs="宋体"/>
                <w:spacing w:val="2"/>
                <w:position w:val="1"/>
                <w:sz w:val="20"/>
                <w:szCs w:val="20"/>
              </w:rPr>
              <w:t>2025-1-4</w:t>
            </w:r>
          </w:p>
        </w:tc>
        <w:tc>
          <w:tcPr>
            <w:tcW w:w="2301" w:type="dxa"/>
            <w:vAlign w:val="top"/>
          </w:tcPr>
          <w:p w14:paraId="24A0280D">
            <w:pPr>
              <w:spacing w:before="146" w:line="227" w:lineRule="auto"/>
              <w:ind w:left="750"/>
              <w:rPr>
                <w:rFonts w:ascii="宋体" w:hAnsi="宋体" w:eastAsia="宋体" w:cs="宋体"/>
                <w:sz w:val="20"/>
                <w:szCs w:val="20"/>
              </w:rPr>
            </w:pPr>
            <w:r>
              <w:rPr>
                <w:rFonts w:ascii="宋体" w:hAnsi="宋体" w:eastAsia="宋体" w:cs="宋体"/>
                <w:spacing w:val="4"/>
                <w:sz w:val="20"/>
                <w:szCs w:val="20"/>
              </w:rPr>
              <w:t>发布版本</w:t>
            </w:r>
          </w:p>
        </w:tc>
        <w:tc>
          <w:tcPr>
            <w:tcW w:w="1556" w:type="dxa"/>
            <w:vAlign w:val="top"/>
          </w:tcPr>
          <w:p w14:paraId="2E0AE67C">
            <w:pPr>
              <w:spacing w:before="149" w:line="228" w:lineRule="auto"/>
              <w:ind w:left="501"/>
              <w:rPr>
                <w:rFonts w:ascii="宋体" w:hAnsi="宋体" w:eastAsia="宋体" w:cs="宋体"/>
                <w:sz w:val="20"/>
                <w:szCs w:val="20"/>
              </w:rPr>
            </w:pPr>
            <w:r>
              <w:rPr>
                <w:rFonts w:ascii="宋体" w:hAnsi="宋体" w:eastAsia="宋体" w:cs="宋体"/>
                <w:sz w:val="20"/>
                <w:szCs w:val="20"/>
              </w:rPr>
              <w:t>宫海亭</w:t>
            </w:r>
          </w:p>
        </w:tc>
        <w:tc>
          <w:tcPr>
            <w:tcW w:w="1956" w:type="dxa"/>
            <w:vAlign w:val="top"/>
          </w:tcPr>
          <w:p w14:paraId="2CACCA5F">
            <w:pPr>
              <w:spacing w:before="146" w:line="228" w:lineRule="auto"/>
              <w:ind w:left="689"/>
              <w:rPr>
                <w:rFonts w:ascii="宋体" w:hAnsi="宋体" w:eastAsia="宋体" w:cs="宋体"/>
                <w:sz w:val="20"/>
                <w:szCs w:val="20"/>
              </w:rPr>
            </w:pPr>
            <w:r>
              <w:rPr>
                <w:rFonts w:ascii="宋体" w:hAnsi="宋体" w:eastAsia="宋体" w:cs="宋体"/>
                <w:spacing w:val="2"/>
                <w:sz w:val="20"/>
                <w:szCs w:val="20"/>
              </w:rPr>
              <w:t>张仲全</w:t>
            </w:r>
          </w:p>
        </w:tc>
      </w:tr>
      <w:tr w14:paraId="42B412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8" w:hRule="atLeast"/>
        </w:trPr>
        <w:tc>
          <w:tcPr>
            <w:tcW w:w="1567" w:type="dxa"/>
            <w:vAlign w:val="top"/>
          </w:tcPr>
          <w:p w14:paraId="73E24F9C">
            <w:pPr>
              <w:pStyle w:val="20"/>
            </w:pPr>
          </w:p>
        </w:tc>
        <w:tc>
          <w:tcPr>
            <w:tcW w:w="1695" w:type="dxa"/>
            <w:vAlign w:val="top"/>
          </w:tcPr>
          <w:p w14:paraId="32D265DC">
            <w:pPr>
              <w:pStyle w:val="20"/>
            </w:pPr>
          </w:p>
        </w:tc>
        <w:tc>
          <w:tcPr>
            <w:tcW w:w="2301" w:type="dxa"/>
            <w:vAlign w:val="top"/>
          </w:tcPr>
          <w:p w14:paraId="76F0915A">
            <w:pPr>
              <w:pStyle w:val="20"/>
            </w:pPr>
          </w:p>
        </w:tc>
        <w:tc>
          <w:tcPr>
            <w:tcW w:w="1556" w:type="dxa"/>
            <w:vAlign w:val="top"/>
          </w:tcPr>
          <w:p w14:paraId="217EB92C">
            <w:pPr>
              <w:pStyle w:val="20"/>
            </w:pPr>
          </w:p>
        </w:tc>
        <w:tc>
          <w:tcPr>
            <w:tcW w:w="1956" w:type="dxa"/>
            <w:vAlign w:val="top"/>
          </w:tcPr>
          <w:p w14:paraId="62AD4583">
            <w:pPr>
              <w:pStyle w:val="20"/>
            </w:pPr>
          </w:p>
        </w:tc>
      </w:tr>
      <w:tr w14:paraId="337C1D8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128FA311">
            <w:pPr>
              <w:pStyle w:val="20"/>
            </w:pPr>
          </w:p>
        </w:tc>
        <w:tc>
          <w:tcPr>
            <w:tcW w:w="1695" w:type="dxa"/>
            <w:vAlign w:val="top"/>
          </w:tcPr>
          <w:p w14:paraId="68CF7294">
            <w:pPr>
              <w:pStyle w:val="20"/>
            </w:pPr>
          </w:p>
        </w:tc>
        <w:tc>
          <w:tcPr>
            <w:tcW w:w="2301" w:type="dxa"/>
            <w:vAlign w:val="top"/>
          </w:tcPr>
          <w:p w14:paraId="072EF7A8">
            <w:pPr>
              <w:pStyle w:val="20"/>
            </w:pPr>
          </w:p>
        </w:tc>
        <w:tc>
          <w:tcPr>
            <w:tcW w:w="1556" w:type="dxa"/>
            <w:vAlign w:val="top"/>
          </w:tcPr>
          <w:p w14:paraId="4B5DEF23">
            <w:pPr>
              <w:pStyle w:val="20"/>
            </w:pPr>
          </w:p>
        </w:tc>
        <w:tc>
          <w:tcPr>
            <w:tcW w:w="1956" w:type="dxa"/>
            <w:vAlign w:val="top"/>
          </w:tcPr>
          <w:p w14:paraId="63AB09F1">
            <w:pPr>
              <w:pStyle w:val="20"/>
            </w:pPr>
          </w:p>
        </w:tc>
      </w:tr>
      <w:tr w14:paraId="39CBA6A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9" w:hRule="atLeast"/>
        </w:trPr>
        <w:tc>
          <w:tcPr>
            <w:tcW w:w="1567" w:type="dxa"/>
            <w:vAlign w:val="top"/>
          </w:tcPr>
          <w:p w14:paraId="42768374">
            <w:pPr>
              <w:pStyle w:val="20"/>
            </w:pPr>
          </w:p>
        </w:tc>
        <w:tc>
          <w:tcPr>
            <w:tcW w:w="1695" w:type="dxa"/>
            <w:vAlign w:val="top"/>
          </w:tcPr>
          <w:p w14:paraId="0F6E52E6">
            <w:pPr>
              <w:pStyle w:val="20"/>
            </w:pPr>
          </w:p>
        </w:tc>
        <w:tc>
          <w:tcPr>
            <w:tcW w:w="2301" w:type="dxa"/>
            <w:vAlign w:val="top"/>
          </w:tcPr>
          <w:p w14:paraId="63F29EA1">
            <w:pPr>
              <w:pStyle w:val="20"/>
            </w:pPr>
          </w:p>
        </w:tc>
        <w:tc>
          <w:tcPr>
            <w:tcW w:w="1556" w:type="dxa"/>
            <w:vAlign w:val="top"/>
          </w:tcPr>
          <w:p w14:paraId="2F0DFEB5">
            <w:pPr>
              <w:pStyle w:val="20"/>
            </w:pPr>
          </w:p>
        </w:tc>
        <w:tc>
          <w:tcPr>
            <w:tcW w:w="1956" w:type="dxa"/>
            <w:vAlign w:val="top"/>
          </w:tcPr>
          <w:p w14:paraId="4200FBAF">
            <w:pPr>
              <w:pStyle w:val="20"/>
            </w:pPr>
          </w:p>
        </w:tc>
      </w:tr>
      <w:tr w14:paraId="1DE17C0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2" w:hRule="atLeast"/>
        </w:trPr>
        <w:tc>
          <w:tcPr>
            <w:tcW w:w="1567" w:type="dxa"/>
            <w:vAlign w:val="top"/>
          </w:tcPr>
          <w:p w14:paraId="59ADFBAC">
            <w:pPr>
              <w:pStyle w:val="20"/>
            </w:pPr>
          </w:p>
        </w:tc>
        <w:tc>
          <w:tcPr>
            <w:tcW w:w="1695" w:type="dxa"/>
            <w:vAlign w:val="top"/>
          </w:tcPr>
          <w:p w14:paraId="1A69E707">
            <w:pPr>
              <w:pStyle w:val="20"/>
            </w:pPr>
          </w:p>
        </w:tc>
        <w:tc>
          <w:tcPr>
            <w:tcW w:w="2301" w:type="dxa"/>
            <w:vAlign w:val="top"/>
          </w:tcPr>
          <w:p w14:paraId="739A86DF">
            <w:pPr>
              <w:pStyle w:val="20"/>
            </w:pPr>
          </w:p>
        </w:tc>
        <w:tc>
          <w:tcPr>
            <w:tcW w:w="1556" w:type="dxa"/>
            <w:vAlign w:val="top"/>
          </w:tcPr>
          <w:p w14:paraId="05524B85">
            <w:pPr>
              <w:pStyle w:val="20"/>
            </w:pPr>
          </w:p>
        </w:tc>
        <w:tc>
          <w:tcPr>
            <w:tcW w:w="1956" w:type="dxa"/>
            <w:vAlign w:val="top"/>
          </w:tcPr>
          <w:p w14:paraId="474D594E">
            <w:pPr>
              <w:pStyle w:val="20"/>
            </w:pPr>
          </w:p>
        </w:tc>
      </w:tr>
      <w:tr w14:paraId="4B1A064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8" w:hRule="atLeast"/>
        </w:trPr>
        <w:tc>
          <w:tcPr>
            <w:tcW w:w="1567" w:type="dxa"/>
            <w:vAlign w:val="top"/>
          </w:tcPr>
          <w:p w14:paraId="48292C97">
            <w:pPr>
              <w:pStyle w:val="20"/>
            </w:pPr>
          </w:p>
        </w:tc>
        <w:tc>
          <w:tcPr>
            <w:tcW w:w="1695" w:type="dxa"/>
            <w:vAlign w:val="top"/>
          </w:tcPr>
          <w:p w14:paraId="3892A269">
            <w:pPr>
              <w:pStyle w:val="20"/>
            </w:pPr>
          </w:p>
        </w:tc>
        <w:tc>
          <w:tcPr>
            <w:tcW w:w="2301" w:type="dxa"/>
            <w:vAlign w:val="top"/>
          </w:tcPr>
          <w:p w14:paraId="70B110F5">
            <w:pPr>
              <w:pStyle w:val="20"/>
            </w:pPr>
          </w:p>
        </w:tc>
        <w:tc>
          <w:tcPr>
            <w:tcW w:w="1556" w:type="dxa"/>
            <w:vAlign w:val="top"/>
          </w:tcPr>
          <w:p w14:paraId="70DCCB00">
            <w:pPr>
              <w:pStyle w:val="20"/>
            </w:pPr>
          </w:p>
        </w:tc>
        <w:tc>
          <w:tcPr>
            <w:tcW w:w="1956" w:type="dxa"/>
            <w:vAlign w:val="top"/>
          </w:tcPr>
          <w:p w14:paraId="5CE815F4">
            <w:pPr>
              <w:pStyle w:val="20"/>
            </w:pPr>
          </w:p>
        </w:tc>
      </w:tr>
    </w:tbl>
    <w:p w14:paraId="31A6AC6C">
      <w:pPr>
        <w:pStyle w:val="11"/>
      </w:pPr>
    </w:p>
    <w:p w14:paraId="5FF2EBAB">
      <w:pPr>
        <w:sectPr>
          <w:footerReference r:id="rId5" w:type="default"/>
          <w:pgSz w:w="11906" w:h="16840"/>
          <w:pgMar w:top="1431" w:right="1117" w:bottom="1144" w:left="1708" w:header="0" w:footer="978" w:gutter="0"/>
          <w:cols w:space="720" w:num="1"/>
        </w:sectPr>
      </w:pPr>
    </w:p>
    <w:sdt>
      <w:sdtPr>
        <w:rPr>
          <w:rFonts w:ascii="宋体" w:hAnsi="宋体" w:eastAsia="宋体" w:cs="Arial"/>
          <w:snapToGrid w:val="0"/>
          <w:color w:val="000000"/>
          <w:kern w:val="0"/>
          <w:sz w:val="21"/>
          <w:szCs w:val="21"/>
          <w:lang w:val="en-US" w:eastAsia="en-US" w:bidi="ar-SA"/>
        </w:rPr>
        <w:id w:val="147458789"/>
        <w15:color w:val="DBDBDB"/>
        <w:docPartObj>
          <w:docPartGallery w:val="Table of Contents"/>
          <w:docPartUnique/>
        </w:docPartObj>
      </w:sdtPr>
      <w:sdtEndPr>
        <w:rPr>
          <w:rFonts w:ascii="Calibri" w:hAnsi="Calibri" w:eastAsia="Calibri" w:cs="Calibri"/>
          <w:snapToGrid w:val="0"/>
          <w:color w:val="000000"/>
          <w:kern w:val="0"/>
          <w:sz w:val="21"/>
          <w:szCs w:val="19"/>
          <w:lang w:val="en-US" w:eastAsia="en-US" w:bidi="ar-SA"/>
        </w:rPr>
      </w:sdtEndPr>
      <w:sdtContent>
        <w:p w14:paraId="37F4FF2D">
          <w:pPr>
            <w:spacing w:before="0" w:beforeLines="0" w:after="0" w:afterLines="0" w:line="240" w:lineRule="auto"/>
            <w:ind w:left="0" w:leftChars="0" w:right="0" w:rightChars="0" w:firstLine="0" w:firstLineChars="0"/>
            <w:jc w:val="center"/>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t>目录</w:t>
          </w:r>
        </w:p>
        <w:p w14:paraId="6B01F718">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TOC \o "1-3" \h \u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_Toc9562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5"/>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_Toc9562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26C0D41">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_Toc31210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 目的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_Toc31210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4DCD5E4">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_Toc14562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范围</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_Toc14562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8577D21">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_Toc6706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3. 定义</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_Toc6706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D1C61BD">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_Toc24324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 输入与输出</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_Toc24324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6F58093">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_Toc19450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4.1. 主要输入</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_Toc19450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BA13126">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_Toc12742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4.2. 主要输出</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_Toc12742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61034E9">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_Toc7558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 职责权限</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_Toc7558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5B26AAF">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_Toc22863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 服务目录管理机制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_Toc22863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3DB52DF">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_Toc25997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6.1. 服务目录内容</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_Toc25997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2B37C35">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_Toc3062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6.2. 受众和目标</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_Toc3062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2F139B0">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_Toc22914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6.3. 基本要求</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_Toc22914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3E85FC9">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_Toc2037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6.4. 内容形式</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_Toc2037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83184DF">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_Toc27393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6.5. 注意事项</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_Toc27393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88A5485">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_Toc7073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 服务目录管理流程</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_Toc7073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2FD4F64">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_Toc19882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7.1. 管理流程图</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_Toc19882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82425CA">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_Toc14406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7.2. 过程描述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_Toc14406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6874D97">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_Toc20733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 服务目录价值</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_Toc20733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67F56E2">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_Toc11556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 与其他过程的关系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_Toc11556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C5F3C95">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_Toc22005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9.1. 与服务级别管理过程的关系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_Toc22005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B6F5883">
          <w:pPr>
            <w:pStyle w:val="16"/>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_Toc21285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9.2. 与变更与发布管理过程的关系</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_Toc21285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4BA9750">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_Toc9827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 服务目录管理过程持续改进</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_Toc9827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DE54B1E">
          <w:pPr>
            <w:pStyle w:val="15"/>
            <w:tabs>
              <w:tab w:val="right" w:leader="dot" w:pos="9140"/>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_Toc30511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 相关文件与记录</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_Toc30511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3BBA6DC">
          <w:pPr>
            <w:pStyle w:val="16"/>
            <w:tabs>
              <w:tab w:val="right" w:leader="dot" w:pos="9140"/>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_Toc25704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11.1. 记录文件</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_Toc25704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BE0C561">
          <w:pPr>
            <w:spacing w:line="228" w:lineRule="auto"/>
            <w:rPr>
              <w:rFonts w:ascii="Calibri" w:hAnsi="Calibri" w:eastAsia="Calibri" w:cs="Calibri"/>
              <w:snapToGrid w:val="0"/>
              <w:color w:val="000000"/>
              <w:kern w:val="0"/>
              <w:sz w:val="21"/>
              <w:szCs w:val="19"/>
              <w:lang w:val="en-US" w:eastAsia="en-US" w:bidi="ar-SA"/>
            </w:rPr>
          </w:pPr>
          <w:r>
            <w:rPr>
              <w:rFonts w:hint="eastAsia" w:ascii="Microsoft JhengHei" w:hAnsi="Microsoft JhengHei" w:eastAsia="Microsoft JhengHei" w:cs="Microsoft JhengHei"/>
              <w:szCs w:val="24"/>
            </w:rPr>
            <w:fldChar w:fldCharType="end"/>
          </w:r>
        </w:p>
      </w:sdtContent>
    </w:sdt>
    <w:p w14:paraId="357DA7A7">
      <w:pPr>
        <w:spacing w:line="228" w:lineRule="auto"/>
        <w:rPr>
          <w:rFonts w:ascii="Calibri" w:hAnsi="Calibri" w:eastAsia="Calibri" w:cs="Calibri"/>
          <w:snapToGrid w:val="0"/>
          <w:color w:val="000000"/>
          <w:kern w:val="0"/>
          <w:sz w:val="21"/>
          <w:szCs w:val="19"/>
          <w:lang w:val="en-US" w:eastAsia="en-US" w:bidi="ar-SA"/>
        </w:rPr>
        <w:sectPr>
          <w:footerReference r:id="rId6" w:type="default"/>
          <w:pgSz w:w="11906" w:h="16840"/>
          <w:pgMar w:top="1431" w:right="1154" w:bottom="1144" w:left="1612" w:header="0" w:footer="978" w:gutter="0"/>
          <w:cols w:space="720" w:num="1"/>
        </w:sectPr>
      </w:pPr>
    </w:p>
    <w:p w14:paraId="50735549">
      <w:pPr>
        <w:pStyle w:val="22"/>
        <w:bidi w:val="0"/>
      </w:pPr>
      <w:bookmarkStart w:id="1" w:name="_Toc31210"/>
      <w:r>
        <w:t>目的</w:t>
      </w:r>
      <w:bookmarkEnd w:id="1"/>
    </w:p>
    <w:p w14:paraId="04C544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ascii="宋体" w:hAnsi="宋体" w:eastAsia="宋体" w:cs="宋体"/>
          <w:spacing w:val="-1"/>
          <w:sz w:val="24"/>
          <w:szCs w:val="24"/>
        </w:rPr>
        <w:t>服务目录管理过程的目的是通过服务定义，建立与维护服务目录，奠定整个运维服务能力体系设计的基文件。对所有提供的服务保证其信息来源的一致性，并且确保那些</w:t>
      </w:r>
      <w:r>
        <w:rPr>
          <w:rFonts w:ascii="宋体" w:hAnsi="宋体" w:eastAsia="宋体" w:cs="宋体"/>
          <w:spacing w:val="-4"/>
          <w:sz w:val="24"/>
          <w:szCs w:val="24"/>
        </w:rPr>
        <w:t>已经获准访问者能够最大程度的使用它。</w:t>
      </w:r>
    </w:p>
    <w:p w14:paraId="3655B2DD">
      <w:pPr>
        <w:pStyle w:val="21"/>
        <w:bidi w:val="0"/>
      </w:pPr>
      <w:bookmarkStart w:id="2" w:name="_Toc14562"/>
      <w:r>
        <w:t>范围</w:t>
      </w:r>
      <w:bookmarkEnd w:id="2"/>
    </w:p>
    <w:p w14:paraId="207A2D0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本程序适用于运维服务部。</w:t>
      </w:r>
    </w:p>
    <w:p w14:paraId="491834B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包括提供和维护所有服务的准确信息，包括所有正在转换或已转换到生产环境中的服务。</w:t>
      </w:r>
    </w:p>
    <w:p w14:paraId="075B9C3E">
      <w:pPr>
        <w:pStyle w:val="21"/>
        <w:bidi w:val="0"/>
      </w:pPr>
      <w:bookmarkStart w:id="3" w:name="_Toc6706"/>
      <w:r>
        <w:t>定义</w:t>
      </w:r>
      <w:bookmarkEnd w:id="3"/>
    </w:p>
    <w:p w14:paraId="4E70A39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服务目录：是用于记录所有服务项目的相关信息的一个数据库或结构化文档资料，包括业务服务目录和技术服务目录。</w:t>
      </w:r>
    </w:p>
    <w:p w14:paraId="7C139B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定义服务目录的目的是为IT服务提供文件资料和建立其它服务管理组成的基础。本质上，它清晰地定义了从IT组织可得到什么服务和按商业目标和需求定位那些服务。它可以作为SLA的基准，在组织中它也成为为规程和流程提供文件资料的基础。</w:t>
      </w:r>
    </w:p>
    <w:p w14:paraId="7CFC7B74">
      <w:pPr>
        <w:pStyle w:val="21"/>
        <w:bidi w:val="0"/>
      </w:pPr>
      <w:bookmarkStart w:id="4" w:name="_Toc24324"/>
      <w:r>
        <w:t>输入与输出</w:t>
      </w:r>
      <w:bookmarkEnd w:id="4"/>
    </w:p>
    <w:p w14:paraId="1C04B79C">
      <w:pPr>
        <w:pStyle w:val="22"/>
        <w:bidi w:val="0"/>
      </w:pPr>
      <w:bookmarkStart w:id="5" w:name="bookmark25"/>
      <w:bookmarkEnd w:id="5"/>
      <w:bookmarkStart w:id="6" w:name="_Toc19450"/>
      <w:r>
        <w:t>主要输入</w:t>
      </w:r>
      <w:bookmarkEnd w:id="6"/>
    </w:p>
    <w:tbl>
      <w:tblPr>
        <w:tblStyle w:val="19"/>
        <w:tblW w:w="8919" w:type="dxa"/>
        <w:tblInd w:w="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966"/>
        <w:gridCol w:w="5953"/>
      </w:tblGrid>
      <w:tr w14:paraId="010326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9" w:hRule="atLeast"/>
        </w:trPr>
        <w:tc>
          <w:tcPr>
            <w:tcW w:w="2966" w:type="dxa"/>
            <w:tcBorders>
              <w:top w:val="single" w:color="000000" w:sz="2" w:space="0"/>
              <w:left w:val="single" w:color="000000" w:sz="2" w:space="0"/>
            </w:tcBorders>
            <w:shd w:val="clear" w:color="auto" w:fill="BFBFBF"/>
            <w:vAlign w:val="top"/>
          </w:tcPr>
          <w:p w14:paraId="18495358">
            <w:pPr>
              <w:spacing w:before="65" w:line="213" w:lineRule="auto"/>
              <w:ind w:left="84"/>
              <w:rPr>
                <w:rFonts w:ascii="宋体" w:hAnsi="宋体" w:eastAsia="宋体" w:cs="宋体"/>
                <w:sz w:val="22"/>
                <w:szCs w:val="22"/>
              </w:rPr>
            </w:pPr>
            <w:r>
              <w:rPr>
                <w:rFonts w:ascii="宋体" w:hAnsi="宋体" w:eastAsia="宋体" w:cs="宋体"/>
                <w:spacing w:val="-4"/>
                <w:sz w:val="22"/>
                <w:szCs w:val="22"/>
              </w:rPr>
              <w:t>输入</w:t>
            </w:r>
          </w:p>
        </w:tc>
        <w:tc>
          <w:tcPr>
            <w:tcW w:w="5953" w:type="dxa"/>
            <w:tcBorders>
              <w:top w:val="single" w:color="000000" w:sz="2" w:space="0"/>
              <w:right w:val="single" w:color="000000" w:sz="2" w:space="0"/>
            </w:tcBorders>
            <w:shd w:val="clear" w:color="auto" w:fill="BFBFBF"/>
            <w:vAlign w:val="top"/>
          </w:tcPr>
          <w:p w14:paraId="76541478">
            <w:pPr>
              <w:spacing w:before="65" w:line="213" w:lineRule="auto"/>
              <w:ind w:left="79"/>
              <w:rPr>
                <w:rFonts w:ascii="宋体" w:hAnsi="宋体" w:eastAsia="宋体" w:cs="宋体"/>
                <w:sz w:val="22"/>
                <w:szCs w:val="22"/>
              </w:rPr>
            </w:pPr>
            <w:r>
              <w:rPr>
                <w:rFonts w:ascii="宋体" w:hAnsi="宋体" w:eastAsia="宋体" w:cs="宋体"/>
                <w:spacing w:val="-5"/>
                <w:sz w:val="22"/>
                <w:szCs w:val="22"/>
              </w:rPr>
              <w:t>来源</w:t>
            </w:r>
          </w:p>
        </w:tc>
      </w:tr>
      <w:tr w14:paraId="52811D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2966" w:type="dxa"/>
            <w:tcBorders>
              <w:left w:val="single" w:color="000000" w:sz="2" w:space="0"/>
            </w:tcBorders>
            <w:vAlign w:val="top"/>
          </w:tcPr>
          <w:p w14:paraId="2D543A29">
            <w:pPr>
              <w:spacing w:before="52" w:line="212" w:lineRule="auto"/>
              <w:ind w:left="85"/>
              <w:rPr>
                <w:rFonts w:ascii="宋体" w:hAnsi="宋体" w:eastAsia="宋体" w:cs="宋体"/>
                <w:sz w:val="22"/>
                <w:szCs w:val="22"/>
              </w:rPr>
            </w:pPr>
            <w:r>
              <w:rPr>
                <w:rFonts w:ascii="宋体" w:hAnsi="宋体" w:eastAsia="宋体" w:cs="宋体"/>
                <w:spacing w:val="-2"/>
                <w:sz w:val="22"/>
                <w:szCs w:val="22"/>
              </w:rPr>
              <w:t>信息技术服务分类与代码</w:t>
            </w:r>
          </w:p>
        </w:tc>
        <w:tc>
          <w:tcPr>
            <w:tcW w:w="5953" w:type="dxa"/>
            <w:tcBorders>
              <w:right w:val="single" w:color="000000" w:sz="2" w:space="0"/>
            </w:tcBorders>
            <w:vAlign w:val="top"/>
          </w:tcPr>
          <w:p w14:paraId="45F1833F">
            <w:pPr>
              <w:spacing w:before="52" w:line="212" w:lineRule="auto"/>
              <w:ind w:left="73"/>
              <w:rPr>
                <w:rFonts w:ascii="宋体" w:hAnsi="宋体" w:eastAsia="宋体" w:cs="宋体"/>
                <w:sz w:val="22"/>
                <w:szCs w:val="22"/>
              </w:rPr>
            </w:pPr>
            <w:r>
              <w:rPr>
                <w:rFonts w:ascii="宋体" w:hAnsi="宋体" w:eastAsia="宋体" w:cs="宋体"/>
                <w:sz w:val="22"/>
                <w:szCs w:val="22"/>
              </w:rPr>
              <w:t>GB/T 29264-2012 《信息技</w:t>
            </w:r>
            <w:r>
              <w:rPr>
                <w:rFonts w:ascii="宋体" w:hAnsi="宋体" w:eastAsia="宋体" w:cs="宋体"/>
                <w:spacing w:val="-1"/>
                <w:sz w:val="22"/>
                <w:szCs w:val="22"/>
              </w:rPr>
              <w:t>术服务 分类与代码》</w:t>
            </w:r>
          </w:p>
        </w:tc>
      </w:tr>
      <w:tr w14:paraId="1961D7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3F5E95D2">
            <w:pPr>
              <w:spacing w:before="72" w:line="228" w:lineRule="auto"/>
              <w:ind w:left="122" w:right="135" w:hanging="32"/>
              <w:rPr>
                <w:rFonts w:ascii="宋体" w:hAnsi="宋体" w:eastAsia="宋体" w:cs="宋体"/>
                <w:sz w:val="22"/>
                <w:szCs w:val="22"/>
              </w:rPr>
            </w:pPr>
            <w:r>
              <w:rPr>
                <w:rFonts w:ascii="宋体" w:hAnsi="宋体" w:eastAsia="宋体" w:cs="宋体"/>
                <w:spacing w:val="-7"/>
                <w:sz w:val="22"/>
                <w:szCs w:val="22"/>
              </w:rPr>
              <w:t>组织业务和 IT</w:t>
            </w:r>
            <w:r>
              <w:rPr>
                <w:rFonts w:ascii="宋体" w:hAnsi="宋体" w:eastAsia="宋体" w:cs="宋体"/>
                <w:spacing w:val="-31"/>
                <w:sz w:val="22"/>
                <w:szCs w:val="22"/>
              </w:rPr>
              <w:t xml:space="preserve"> </w:t>
            </w:r>
            <w:r>
              <w:rPr>
                <w:rFonts w:ascii="宋体" w:hAnsi="宋体" w:eastAsia="宋体" w:cs="宋体"/>
                <w:spacing w:val="-7"/>
                <w:sz w:val="22"/>
                <w:szCs w:val="22"/>
              </w:rPr>
              <w:t>策略、计划中</w:t>
            </w:r>
            <w:r>
              <w:rPr>
                <w:rFonts w:ascii="宋体" w:hAnsi="宋体" w:eastAsia="宋体" w:cs="宋体"/>
                <w:spacing w:val="-9"/>
                <w:sz w:val="22"/>
                <w:szCs w:val="22"/>
              </w:rPr>
              <w:t>的业务信息</w:t>
            </w:r>
          </w:p>
        </w:tc>
        <w:tc>
          <w:tcPr>
            <w:tcW w:w="5953" w:type="dxa"/>
            <w:tcBorders>
              <w:right w:val="single" w:color="000000" w:sz="2" w:space="0"/>
            </w:tcBorders>
            <w:vAlign w:val="top"/>
          </w:tcPr>
          <w:p w14:paraId="294FBF43">
            <w:pPr>
              <w:spacing w:before="212" w:line="220" w:lineRule="auto"/>
              <w:ind w:left="83"/>
              <w:rPr>
                <w:rFonts w:ascii="宋体" w:hAnsi="宋体" w:eastAsia="宋体" w:cs="宋体"/>
                <w:sz w:val="22"/>
                <w:szCs w:val="22"/>
              </w:rPr>
            </w:pPr>
            <w:r>
              <w:rPr>
                <w:rFonts w:ascii="宋体" w:hAnsi="宋体" w:eastAsia="宋体" w:cs="宋体"/>
                <w:spacing w:val="-2"/>
                <w:sz w:val="22"/>
                <w:szCs w:val="22"/>
              </w:rPr>
              <w:t>组织的发展战略、规划，业务影响分析</w:t>
            </w:r>
          </w:p>
        </w:tc>
      </w:tr>
      <w:tr w14:paraId="36AA7F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648D08E0">
            <w:pPr>
              <w:spacing w:before="74" w:line="227" w:lineRule="auto"/>
              <w:ind w:left="128" w:right="250" w:hanging="43"/>
              <w:rPr>
                <w:rFonts w:ascii="宋体" w:hAnsi="宋体" w:eastAsia="宋体" w:cs="宋体"/>
                <w:sz w:val="22"/>
                <w:szCs w:val="22"/>
              </w:rPr>
            </w:pPr>
            <w:r>
              <w:rPr>
                <w:rFonts w:ascii="宋体" w:hAnsi="宋体" w:eastAsia="宋体" w:cs="宋体"/>
                <w:spacing w:val="-2"/>
                <w:sz w:val="22"/>
                <w:szCs w:val="22"/>
              </w:rPr>
              <w:t>服务级别协议、运维服务合</w:t>
            </w:r>
            <w:r>
              <w:rPr>
                <w:rFonts w:ascii="宋体" w:hAnsi="宋体" w:eastAsia="宋体" w:cs="宋体"/>
                <w:sz w:val="22"/>
                <w:szCs w:val="22"/>
              </w:rPr>
              <w:t>同</w:t>
            </w:r>
          </w:p>
        </w:tc>
        <w:tc>
          <w:tcPr>
            <w:tcW w:w="5953" w:type="dxa"/>
            <w:tcBorders>
              <w:right w:val="single" w:color="000000" w:sz="2" w:space="0"/>
            </w:tcBorders>
            <w:vAlign w:val="top"/>
          </w:tcPr>
          <w:p w14:paraId="1A03304B">
            <w:pPr>
              <w:spacing w:before="214" w:line="220" w:lineRule="auto"/>
              <w:ind w:left="79"/>
              <w:rPr>
                <w:rFonts w:ascii="宋体" w:hAnsi="宋体" w:eastAsia="宋体" w:cs="宋体"/>
                <w:sz w:val="22"/>
                <w:szCs w:val="22"/>
              </w:rPr>
            </w:pPr>
            <w:r>
              <w:rPr>
                <w:rFonts w:ascii="宋体" w:hAnsi="宋体" w:eastAsia="宋体" w:cs="宋体"/>
                <w:spacing w:val="-2"/>
                <w:sz w:val="22"/>
                <w:szCs w:val="22"/>
              </w:rPr>
              <w:t>过往服务级别协议、运维服务合同</w:t>
            </w:r>
          </w:p>
        </w:tc>
      </w:tr>
      <w:tr w14:paraId="3DC2B3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6" w:hRule="atLeast"/>
        </w:trPr>
        <w:tc>
          <w:tcPr>
            <w:tcW w:w="2966" w:type="dxa"/>
            <w:tcBorders>
              <w:left w:val="single" w:color="000000" w:sz="2" w:space="0"/>
            </w:tcBorders>
            <w:vAlign w:val="top"/>
          </w:tcPr>
          <w:p w14:paraId="15F19D51">
            <w:pPr>
              <w:spacing w:before="216" w:line="220" w:lineRule="auto"/>
              <w:ind w:left="99"/>
              <w:rPr>
                <w:rFonts w:ascii="宋体" w:hAnsi="宋体" w:eastAsia="宋体" w:cs="宋体"/>
                <w:sz w:val="22"/>
                <w:szCs w:val="22"/>
              </w:rPr>
            </w:pPr>
            <w:r>
              <w:rPr>
                <w:rFonts w:ascii="宋体" w:hAnsi="宋体" w:eastAsia="宋体" w:cs="宋体"/>
                <w:spacing w:val="-3"/>
                <w:sz w:val="22"/>
                <w:szCs w:val="22"/>
              </w:rPr>
              <w:t>公司运维服务能力证明</w:t>
            </w:r>
          </w:p>
        </w:tc>
        <w:tc>
          <w:tcPr>
            <w:tcW w:w="5953" w:type="dxa"/>
            <w:tcBorders>
              <w:right w:val="single" w:color="000000" w:sz="2" w:space="0"/>
            </w:tcBorders>
            <w:vAlign w:val="top"/>
          </w:tcPr>
          <w:p w14:paraId="242BD5D8">
            <w:pPr>
              <w:spacing w:before="77" w:line="226" w:lineRule="auto"/>
              <w:ind w:left="79" w:right="44" w:hanging="1"/>
              <w:rPr>
                <w:rFonts w:ascii="宋体" w:hAnsi="宋体" w:eastAsia="宋体" w:cs="宋体"/>
                <w:sz w:val="22"/>
                <w:szCs w:val="22"/>
              </w:rPr>
            </w:pPr>
            <w:r>
              <w:rPr>
                <w:rFonts w:ascii="宋体" w:hAnsi="宋体" w:eastAsia="宋体" w:cs="宋体"/>
                <w:spacing w:val="-5"/>
                <w:sz w:val="22"/>
                <w:szCs w:val="22"/>
              </w:rPr>
              <w:t>对运维服务部运维服务能力的评估（包括人员、资源、流程、技术）</w:t>
            </w:r>
          </w:p>
        </w:tc>
      </w:tr>
      <w:tr w14:paraId="7396E9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0" w:hRule="atLeast"/>
        </w:trPr>
        <w:tc>
          <w:tcPr>
            <w:tcW w:w="2966" w:type="dxa"/>
            <w:tcBorders>
              <w:left w:val="single" w:color="000000" w:sz="2" w:space="0"/>
              <w:bottom w:val="single" w:color="000000" w:sz="2" w:space="0"/>
            </w:tcBorders>
            <w:vAlign w:val="top"/>
          </w:tcPr>
          <w:p w14:paraId="1A163541">
            <w:pPr>
              <w:spacing w:before="58" w:line="211" w:lineRule="auto"/>
              <w:ind w:left="89"/>
              <w:rPr>
                <w:rFonts w:ascii="宋体" w:hAnsi="宋体" w:eastAsia="宋体" w:cs="宋体"/>
                <w:sz w:val="22"/>
                <w:szCs w:val="22"/>
              </w:rPr>
            </w:pPr>
            <w:r>
              <w:rPr>
                <w:rFonts w:ascii="宋体" w:hAnsi="宋体" w:eastAsia="宋体" w:cs="宋体"/>
                <w:spacing w:val="-3"/>
                <w:sz w:val="22"/>
                <w:szCs w:val="22"/>
              </w:rPr>
              <w:t>其它服务需求</w:t>
            </w:r>
          </w:p>
        </w:tc>
        <w:tc>
          <w:tcPr>
            <w:tcW w:w="5953" w:type="dxa"/>
            <w:tcBorders>
              <w:bottom w:val="single" w:color="000000" w:sz="2" w:space="0"/>
              <w:right w:val="single" w:color="000000" w:sz="2" w:space="0"/>
            </w:tcBorders>
            <w:vAlign w:val="top"/>
          </w:tcPr>
          <w:p w14:paraId="1F91312E">
            <w:pPr>
              <w:spacing w:before="58" w:line="211" w:lineRule="auto"/>
              <w:ind w:left="93"/>
              <w:rPr>
                <w:rFonts w:ascii="宋体" w:hAnsi="宋体" w:eastAsia="宋体" w:cs="宋体"/>
                <w:sz w:val="22"/>
                <w:szCs w:val="22"/>
              </w:rPr>
            </w:pPr>
            <w:r>
              <w:rPr>
                <w:rFonts w:ascii="宋体" w:hAnsi="宋体" w:eastAsia="宋体" w:cs="宋体"/>
                <w:spacing w:val="-2"/>
                <w:sz w:val="22"/>
                <w:szCs w:val="22"/>
              </w:rPr>
              <w:t>收集分析其他服务需求的数据和指标</w:t>
            </w:r>
          </w:p>
        </w:tc>
      </w:tr>
    </w:tbl>
    <w:p w14:paraId="4FD71004">
      <w:pPr>
        <w:pStyle w:val="22"/>
        <w:bidi w:val="0"/>
      </w:pPr>
      <w:bookmarkStart w:id="7" w:name="_Toc12742"/>
      <w:r>
        <w:t>主要输出</w:t>
      </w:r>
      <w:bookmarkEnd w:id="7"/>
    </w:p>
    <w:p w14:paraId="67A9D28E"/>
    <w:tbl>
      <w:tblPr>
        <w:tblStyle w:val="19"/>
        <w:tblW w:w="8919" w:type="dxa"/>
        <w:tblInd w:w="8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664"/>
        <w:gridCol w:w="6255"/>
      </w:tblGrid>
      <w:tr w14:paraId="40FFB38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3" w:hRule="atLeast"/>
        </w:trPr>
        <w:tc>
          <w:tcPr>
            <w:tcW w:w="2664" w:type="dxa"/>
            <w:tcBorders>
              <w:bottom w:val="single" w:color="000000" w:sz="4" w:space="0"/>
              <w:right w:val="single" w:color="000000" w:sz="4" w:space="0"/>
            </w:tcBorders>
            <w:shd w:val="clear" w:color="auto" w:fill="BFBFBF"/>
            <w:vAlign w:val="top"/>
          </w:tcPr>
          <w:p w14:paraId="2FFAACFF">
            <w:pPr>
              <w:spacing w:before="59" w:line="213" w:lineRule="auto"/>
              <w:ind w:left="83"/>
              <w:rPr>
                <w:rFonts w:ascii="宋体" w:hAnsi="宋体" w:eastAsia="宋体" w:cs="宋体"/>
                <w:sz w:val="22"/>
                <w:szCs w:val="22"/>
              </w:rPr>
            </w:pPr>
            <w:r>
              <w:rPr>
                <w:rFonts w:ascii="宋体" w:hAnsi="宋体" w:eastAsia="宋体" w:cs="宋体"/>
                <w:spacing w:val="-4"/>
                <w:sz w:val="22"/>
                <w:szCs w:val="22"/>
              </w:rPr>
              <w:t>输出</w:t>
            </w:r>
          </w:p>
        </w:tc>
        <w:tc>
          <w:tcPr>
            <w:tcW w:w="6255" w:type="dxa"/>
            <w:tcBorders>
              <w:left w:val="single" w:color="000000" w:sz="4" w:space="0"/>
              <w:bottom w:val="single" w:color="000000" w:sz="4" w:space="0"/>
            </w:tcBorders>
            <w:shd w:val="clear" w:color="auto" w:fill="BFBFBF"/>
            <w:vAlign w:val="top"/>
          </w:tcPr>
          <w:p w14:paraId="2C243CBC">
            <w:pPr>
              <w:spacing w:before="59" w:line="213" w:lineRule="auto"/>
              <w:ind w:left="85"/>
              <w:rPr>
                <w:rFonts w:ascii="宋体" w:hAnsi="宋体" w:eastAsia="宋体" w:cs="宋体"/>
                <w:sz w:val="22"/>
                <w:szCs w:val="22"/>
              </w:rPr>
            </w:pPr>
            <w:r>
              <w:rPr>
                <w:rFonts w:ascii="宋体" w:hAnsi="宋体" w:eastAsia="宋体" w:cs="宋体"/>
                <w:spacing w:val="-6"/>
                <w:sz w:val="22"/>
                <w:szCs w:val="22"/>
              </w:rPr>
              <w:t>去向</w:t>
            </w:r>
          </w:p>
        </w:tc>
      </w:tr>
      <w:tr w14:paraId="1A8918B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5" w:hRule="atLeast"/>
        </w:trPr>
        <w:tc>
          <w:tcPr>
            <w:tcW w:w="2664" w:type="dxa"/>
            <w:tcBorders>
              <w:top w:val="single" w:color="000000" w:sz="4" w:space="0"/>
              <w:right w:val="single" w:color="000000" w:sz="4" w:space="0"/>
            </w:tcBorders>
            <w:vAlign w:val="top"/>
          </w:tcPr>
          <w:p w14:paraId="0C7F55BD">
            <w:pPr>
              <w:spacing w:before="49" w:line="214" w:lineRule="auto"/>
              <w:ind w:left="87"/>
              <w:rPr>
                <w:rFonts w:ascii="宋体" w:hAnsi="宋体" w:eastAsia="宋体" w:cs="宋体"/>
                <w:sz w:val="22"/>
                <w:szCs w:val="22"/>
              </w:rPr>
            </w:pPr>
            <w:r>
              <w:rPr>
                <w:rFonts w:ascii="宋体" w:hAnsi="宋体" w:eastAsia="宋体" w:cs="宋体"/>
                <w:spacing w:val="-4"/>
                <w:sz w:val="22"/>
                <w:szCs w:val="22"/>
              </w:rPr>
              <w:t>服务目录（组织级）</w:t>
            </w:r>
          </w:p>
        </w:tc>
        <w:tc>
          <w:tcPr>
            <w:tcW w:w="6255" w:type="dxa"/>
            <w:tcBorders>
              <w:top w:val="single" w:color="000000" w:sz="4" w:space="0"/>
              <w:left w:val="single" w:color="000000" w:sz="4" w:space="0"/>
            </w:tcBorders>
            <w:vAlign w:val="top"/>
          </w:tcPr>
          <w:p w14:paraId="58DC4D00">
            <w:pPr>
              <w:spacing w:before="49" w:line="214" w:lineRule="auto"/>
              <w:ind w:left="79"/>
              <w:rPr>
                <w:rFonts w:hint="eastAsia" w:ascii="宋体" w:hAnsi="宋体" w:eastAsia="宋体" w:cs="宋体"/>
                <w:sz w:val="22"/>
                <w:szCs w:val="22"/>
                <w:lang w:val="en-US" w:eastAsia="zh-CN"/>
              </w:rPr>
            </w:pPr>
            <w:r>
              <w:rPr>
                <w:rFonts w:ascii="宋体" w:hAnsi="宋体" w:eastAsia="宋体" w:cs="宋体"/>
                <w:spacing w:val="-2"/>
                <w:sz w:val="22"/>
                <w:szCs w:val="22"/>
              </w:rPr>
              <w:t>运维服务部/质量中心</w:t>
            </w:r>
          </w:p>
        </w:tc>
      </w:tr>
    </w:tbl>
    <w:p w14:paraId="19709B12">
      <w:pPr>
        <w:pStyle w:val="11"/>
        <w:spacing w:line="342" w:lineRule="auto"/>
      </w:pPr>
    </w:p>
    <w:p w14:paraId="4C029605">
      <w:pPr>
        <w:pStyle w:val="21"/>
        <w:bidi w:val="0"/>
      </w:pPr>
      <w:bookmarkStart w:id="8" w:name="_Toc7558"/>
      <w:r>
        <w:t>职责权限</w:t>
      </w:r>
      <w:bookmarkEnd w:id="8"/>
    </w:p>
    <w:tbl>
      <w:tblPr>
        <w:tblStyle w:val="19"/>
        <w:tblW w:w="9146" w:type="dxa"/>
        <w:tblInd w:w="1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411"/>
        <w:gridCol w:w="6735"/>
      </w:tblGrid>
      <w:tr w14:paraId="20C03C3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8" w:hRule="atLeast"/>
        </w:trPr>
        <w:tc>
          <w:tcPr>
            <w:tcW w:w="2411" w:type="dxa"/>
            <w:tcBorders>
              <w:top w:val="single" w:color="000000" w:sz="10" w:space="0"/>
              <w:left w:val="single" w:color="000000" w:sz="10" w:space="0"/>
            </w:tcBorders>
            <w:shd w:val="clear" w:color="auto" w:fill="D9D9D9"/>
            <w:vAlign w:val="top"/>
          </w:tcPr>
          <w:p w14:paraId="0D176F4C">
            <w:pPr>
              <w:spacing w:before="103" w:line="219" w:lineRule="auto"/>
              <w:ind w:left="121"/>
              <w:rPr>
                <w:rFonts w:ascii="宋体" w:hAnsi="宋体" w:eastAsia="宋体" w:cs="宋体"/>
                <w:sz w:val="22"/>
                <w:szCs w:val="22"/>
              </w:rPr>
            </w:pPr>
            <w:r>
              <w:rPr>
                <w:rFonts w:ascii="宋体" w:hAnsi="宋体" w:eastAsia="宋体" w:cs="宋体"/>
                <w:b/>
                <w:bCs/>
                <w:spacing w:val="-8"/>
                <w:sz w:val="22"/>
                <w:szCs w:val="22"/>
              </w:rPr>
              <w:t>角</w:t>
            </w:r>
            <w:r>
              <w:rPr>
                <w:rFonts w:ascii="宋体" w:hAnsi="宋体" w:eastAsia="宋体" w:cs="宋体"/>
                <w:spacing w:val="11"/>
                <w:sz w:val="22"/>
                <w:szCs w:val="22"/>
              </w:rPr>
              <w:t xml:space="preserve"> </w:t>
            </w:r>
            <w:r>
              <w:rPr>
                <w:rFonts w:ascii="宋体" w:hAnsi="宋体" w:eastAsia="宋体" w:cs="宋体"/>
                <w:b/>
                <w:bCs/>
                <w:spacing w:val="-8"/>
                <w:sz w:val="22"/>
                <w:szCs w:val="22"/>
              </w:rPr>
              <w:t>色</w:t>
            </w:r>
          </w:p>
        </w:tc>
        <w:tc>
          <w:tcPr>
            <w:tcW w:w="6735" w:type="dxa"/>
            <w:tcBorders>
              <w:top w:val="single" w:color="000000" w:sz="10" w:space="0"/>
              <w:right w:val="single" w:color="000000" w:sz="10" w:space="0"/>
            </w:tcBorders>
            <w:shd w:val="clear" w:color="auto" w:fill="D9D9D9"/>
            <w:vAlign w:val="top"/>
          </w:tcPr>
          <w:p w14:paraId="2AA377F1">
            <w:pPr>
              <w:spacing w:before="102" w:line="222" w:lineRule="auto"/>
              <w:ind w:left="110"/>
              <w:rPr>
                <w:rFonts w:ascii="宋体" w:hAnsi="宋体" w:eastAsia="宋体" w:cs="宋体"/>
                <w:sz w:val="22"/>
                <w:szCs w:val="22"/>
              </w:rPr>
            </w:pPr>
            <w:r>
              <w:rPr>
                <w:rFonts w:ascii="宋体" w:hAnsi="宋体" w:eastAsia="宋体" w:cs="宋体"/>
                <w:b/>
                <w:bCs/>
                <w:spacing w:val="-7"/>
                <w:sz w:val="22"/>
                <w:szCs w:val="22"/>
              </w:rPr>
              <w:t>职</w:t>
            </w:r>
            <w:r>
              <w:rPr>
                <w:rFonts w:ascii="宋体" w:hAnsi="宋体" w:eastAsia="宋体" w:cs="宋体"/>
                <w:spacing w:val="26"/>
                <w:sz w:val="22"/>
                <w:szCs w:val="22"/>
              </w:rPr>
              <w:t xml:space="preserve"> </w:t>
            </w:r>
            <w:r>
              <w:rPr>
                <w:rFonts w:ascii="宋体" w:hAnsi="宋体" w:eastAsia="宋体" w:cs="宋体"/>
                <w:b/>
                <w:bCs/>
                <w:spacing w:val="-7"/>
                <w:sz w:val="22"/>
                <w:szCs w:val="22"/>
              </w:rPr>
              <w:t>责</w:t>
            </w:r>
          </w:p>
        </w:tc>
      </w:tr>
      <w:tr w14:paraId="40DAB0F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34" w:hRule="atLeast"/>
        </w:trPr>
        <w:tc>
          <w:tcPr>
            <w:tcW w:w="2411" w:type="dxa"/>
            <w:tcBorders>
              <w:left w:val="single" w:color="000000" w:sz="10" w:space="0"/>
            </w:tcBorders>
            <w:vAlign w:val="top"/>
          </w:tcPr>
          <w:p w14:paraId="2EEE4F21">
            <w:pPr>
              <w:pStyle w:val="20"/>
              <w:spacing w:line="453" w:lineRule="auto"/>
            </w:pPr>
          </w:p>
          <w:p w14:paraId="115E2C0C">
            <w:pPr>
              <w:spacing w:before="72" w:line="220" w:lineRule="auto"/>
              <w:ind w:left="113"/>
              <w:rPr>
                <w:rFonts w:ascii="宋体" w:hAnsi="宋体" w:eastAsia="宋体" w:cs="宋体"/>
                <w:sz w:val="22"/>
                <w:szCs w:val="22"/>
              </w:rPr>
            </w:pPr>
            <w:r>
              <w:rPr>
                <w:rFonts w:ascii="宋体" w:hAnsi="宋体" w:eastAsia="宋体" w:cs="宋体"/>
                <w:spacing w:val="-2"/>
                <w:sz w:val="22"/>
                <w:szCs w:val="22"/>
              </w:rPr>
              <w:t>服务目录管理负责人</w:t>
            </w:r>
          </w:p>
        </w:tc>
        <w:tc>
          <w:tcPr>
            <w:tcW w:w="6735" w:type="dxa"/>
            <w:tcBorders>
              <w:right w:val="single" w:color="000000" w:sz="10" w:space="0"/>
            </w:tcBorders>
            <w:vAlign w:val="top"/>
          </w:tcPr>
          <w:p w14:paraId="40CB994A">
            <w:pPr>
              <w:spacing w:before="79" w:line="231" w:lineRule="auto"/>
              <w:ind w:left="530" w:right="260" w:hanging="387"/>
              <w:rPr>
                <w:rFonts w:ascii="宋体" w:hAnsi="宋体" w:eastAsia="宋体" w:cs="宋体"/>
                <w:sz w:val="22"/>
                <w:szCs w:val="22"/>
              </w:rPr>
            </w:pPr>
            <w:r>
              <w:rPr>
                <w:rFonts w:ascii="宋体" w:hAnsi="宋体" w:eastAsia="宋体" w:cs="宋体"/>
                <w:spacing w:val="-2"/>
                <w:sz w:val="22"/>
                <w:szCs w:val="22"/>
              </w:rPr>
              <w:t>1.  负责监督服务目录流程管理，识别过程中存在的问题</w:t>
            </w:r>
            <w:r>
              <w:rPr>
                <w:rFonts w:ascii="宋体" w:hAnsi="宋体" w:eastAsia="宋体" w:cs="宋体"/>
                <w:spacing w:val="-3"/>
                <w:sz w:val="22"/>
                <w:szCs w:val="22"/>
              </w:rPr>
              <w:t>并提出改</w:t>
            </w:r>
            <w:r>
              <w:rPr>
                <w:rFonts w:ascii="宋体" w:hAnsi="宋体" w:eastAsia="宋体" w:cs="宋体"/>
                <w:spacing w:val="-8"/>
                <w:sz w:val="22"/>
                <w:szCs w:val="22"/>
              </w:rPr>
              <w:t>进措施；</w:t>
            </w:r>
          </w:p>
          <w:p w14:paraId="3686C316">
            <w:pPr>
              <w:spacing w:before="51" w:line="220" w:lineRule="auto"/>
              <w:ind w:left="115"/>
              <w:rPr>
                <w:rFonts w:ascii="宋体" w:hAnsi="宋体" w:eastAsia="宋体" w:cs="宋体"/>
                <w:sz w:val="22"/>
                <w:szCs w:val="22"/>
              </w:rPr>
            </w:pPr>
            <w:r>
              <w:rPr>
                <w:rFonts w:ascii="宋体" w:hAnsi="宋体" w:eastAsia="宋体" w:cs="宋体"/>
                <w:spacing w:val="-7"/>
                <w:sz w:val="22"/>
                <w:szCs w:val="22"/>
              </w:rPr>
              <w:t>2.  审批服务目录；</w:t>
            </w:r>
          </w:p>
          <w:p w14:paraId="2B506E52">
            <w:pPr>
              <w:spacing w:before="35" w:line="205" w:lineRule="auto"/>
              <w:ind w:left="119"/>
              <w:rPr>
                <w:rFonts w:ascii="宋体" w:hAnsi="宋体" w:eastAsia="宋体" w:cs="宋体"/>
                <w:sz w:val="22"/>
                <w:szCs w:val="22"/>
              </w:rPr>
            </w:pPr>
            <w:r>
              <w:rPr>
                <w:rFonts w:ascii="宋体" w:hAnsi="宋体" w:eastAsia="宋体" w:cs="宋体"/>
                <w:spacing w:val="-2"/>
                <w:sz w:val="22"/>
                <w:szCs w:val="22"/>
              </w:rPr>
              <w:t>3.  与销售部就服务目录的发布达成共识等</w:t>
            </w:r>
          </w:p>
        </w:tc>
      </w:tr>
      <w:tr w14:paraId="3284D3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96" w:hRule="atLeast"/>
        </w:trPr>
        <w:tc>
          <w:tcPr>
            <w:tcW w:w="2411" w:type="dxa"/>
            <w:tcBorders>
              <w:left w:val="single" w:color="000000" w:sz="10" w:space="0"/>
              <w:bottom w:val="single" w:color="000000" w:sz="10" w:space="0"/>
            </w:tcBorders>
            <w:vAlign w:val="top"/>
          </w:tcPr>
          <w:p w14:paraId="3CB2B9D3">
            <w:pPr>
              <w:pStyle w:val="20"/>
              <w:spacing w:line="260" w:lineRule="auto"/>
            </w:pPr>
          </w:p>
          <w:p w14:paraId="61DF2B10">
            <w:pPr>
              <w:pStyle w:val="20"/>
              <w:spacing w:line="261" w:lineRule="auto"/>
            </w:pPr>
          </w:p>
          <w:p w14:paraId="5B3EB18D">
            <w:pPr>
              <w:pStyle w:val="20"/>
              <w:spacing w:line="261" w:lineRule="auto"/>
            </w:pPr>
          </w:p>
          <w:p w14:paraId="0E85EF82">
            <w:pPr>
              <w:spacing w:before="71" w:line="220" w:lineRule="auto"/>
              <w:ind w:left="113"/>
              <w:rPr>
                <w:rFonts w:ascii="宋体" w:hAnsi="宋体" w:eastAsia="宋体" w:cs="宋体"/>
                <w:sz w:val="22"/>
                <w:szCs w:val="22"/>
              </w:rPr>
            </w:pPr>
            <w:r>
              <w:rPr>
                <w:rFonts w:ascii="宋体" w:hAnsi="宋体" w:eastAsia="宋体" w:cs="宋体"/>
                <w:spacing w:val="-2"/>
                <w:sz w:val="22"/>
                <w:szCs w:val="22"/>
              </w:rPr>
              <w:t>运维服务部</w:t>
            </w:r>
          </w:p>
        </w:tc>
        <w:tc>
          <w:tcPr>
            <w:tcW w:w="6735" w:type="dxa"/>
            <w:tcBorders>
              <w:bottom w:val="single" w:color="000000" w:sz="10" w:space="0"/>
              <w:right w:val="single" w:color="000000" w:sz="10" w:space="0"/>
            </w:tcBorders>
            <w:vAlign w:val="top"/>
          </w:tcPr>
          <w:p w14:paraId="32D3B24E">
            <w:pPr>
              <w:spacing w:before="81" w:line="220" w:lineRule="auto"/>
              <w:ind w:left="143"/>
              <w:rPr>
                <w:rFonts w:ascii="宋体" w:hAnsi="宋体" w:eastAsia="宋体" w:cs="宋体"/>
                <w:sz w:val="22"/>
                <w:szCs w:val="22"/>
              </w:rPr>
            </w:pPr>
            <w:r>
              <w:rPr>
                <w:rFonts w:ascii="宋体" w:hAnsi="宋体" w:eastAsia="宋体" w:cs="宋体"/>
                <w:spacing w:val="-6"/>
                <w:sz w:val="22"/>
                <w:szCs w:val="22"/>
              </w:rPr>
              <w:t>1.  负责调查了解、确定用户服务需求；</w:t>
            </w:r>
          </w:p>
          <w:p w14:paraId="62FB055F">
            <w:pPr>
              <w:spacing w:before="66" w:line="230" w:lineRule="auto"/>
              <w:ind w:left="548" w:right="263" w:hanging="433"/>
              <w:rPr>
                <w:rFonts w:ascii="宋体" w:hAnsi="宋体" w:eastAsia="宋体" w:cs="宋体"/>
                <w:sz w:val="22"/>
                <w:szCs w:val="22"/>
              </w:rPr>
            </w:pPr>
            <w:r>
              <w:rPr>
                <w:rFonts w:ascii="宋体" w:hAnsi="宋体" w:eastAsia="宋体" w:cs="宋体"/>
                <w:spacing w:val="-1"/>
                <w:sz w:val="22"/>
                <w:szCs w:val="22"/>
              </w:rPr>
              <w:t>2.  对运维业务的外部环境及发展状况提出意</w:t>
            </w:r>
            <w:r>
              <w:rPr>
                <w:rFonts w:ascii="宋体" w:hAnsi="宋体" w:eastAsia="宋体" w:cs="宋体"/>
                <w:spacing w:val="-2"/>
                <w:sz w:val="22"/>
                <w:szCs w:val="22"/>
              </w:rPr>
              <w:t>见，分析当前和未来</w:t>
            </w:r>
            <w:r>
              <w:rPr>
                <w:rFonts w:ascii="宋体" w:hAnsi="宋体" w:eastAsia="宋体" w:cs="宋体"/>
                <w:spacing w:val="-9"/>
                <w:sz w:val="22"/>
                <w:szCs w:val="22"/>
              </w:rPr>
              <w:t>公司运维业务；</w:t>
            </w:r>
          </w:p>
          <w:p w14:paraId="4D2D579B">
            <w:pPr>
              <w:spacing w:before="54" w:line="220" w:lineRule="auto"/>
              <w:ind w:left="119"/>
              <w:rPr>
                <w:rFonts w:ascii="宋体" w:hAnsi="宋体" w:eastAsia="宋体" w:cs="宋体"/>
                <w:sz w:val="22"/>
                <w:szCs w:val="22"/>
              </w:rPr>
            </w:pPr>
            <w:r>
              <w:rPr>
                <w:rFonts w:ascii="宋体" w:hAnsi="宋体" w:eastAsia="宋体" w:cs="宋体"/>
                <w:spacing w:val="-7"/>
                <w:sz w:val="22"/>
                <w:szCs w:val="22"/>
              </w:rPr>
              <w:t>3.  负责编制服务目录；</w:t>
            </w:r>
          </w:p>
          <w:p w14:paraId="3A73F784">
            <w:pPr>
              <w:spacing w:before="49" w:line="220" w:lineRule="auto"/>
              <w:ind w:left="109"/>
              <w:rPr>
                <w:rFonts w:ascii="宋体" w:hAnsi="宋体" w:eastAsia="宋体" w:cs="宋体"/>
                <w:sz w:val="22"/>
                <w:szCs w:val="22"/>
              </w:rPr>
            </w:pPr>
            <w:r>
              <w:rPr>
                <w:rFonts w:ascii="宋体" w:hAnsi="宋体" w:eastAsia="宋体" w:cs="宋体"/>
                <w:spacing w:val="-3"/>
                <w:sz w:val="22"/>
                <w:szCs w:val="22"/>
              </w:rPr>
              <w:t>4.  负责组织相关人员进行运维业务分析，并评审服务目</w:t>
            </w:r>
            <w:r>
              <w:rPr>
                <w:rFonts w:ascii="宋体" w:hAnsi="宋体" w:eastAsia="宋体" w:cs="宋体"/>
                <w:spacing w:val="-4"/>
                <w:sz w:val="22"/>
                <w:szCs w:val="22"/>
              </w:rPr>
              <w:t>录；</w:t>
            </w:r>
          </w:p>
          <w:p w14:paraId="4FF45F4A">
            <w:pPr>
              <w:spacing w:before="42" w:line="216" w:lineRule="auto"/>
              <w:ind w:left="119"/>
              <w:rPr>
                <w:rFonts w:ascii="宋体" w:hAnsi="宋体" w:eastAsia="宋体" w:cs="宋体"/>
                <w:sz w:val="22"/>
                <w:szCs w:val="22"/>
              </w:rPr>
            </w:pPr>
            <w:r>
              <w:rPr>
                <w:rFonts w:ascii="宋体" w:hAnsi="宋体" w:eastAsia="宋体" w:cs="宋体"/>
                <w:spacing w:val="-6"/>
                <w:sz w:val="22"/>
                <w:szCs w:val="22"/>
              </w:rPr>
              <w:t>5.  负责更新服务目录。</w:t>
            </w:r>
          </w:p>
        </w:tc>
      </w:tr>
    </w:tbl>
    <w:p w14:paraId="024D64BA">
      <w:pPr>
        <w:pStyle w:val="21"/>
        <w:bidi w:val="0"/>
      </w:pPr>
      <w:bookmarkStart w:id="9" w:name="_Toc22863"/>
      <w:r>
        <w:t>服务目录管理机制</w:t>
      </w:r>
      <w:bookmarkEnd w:id="9"/>
    </w:p>
    <w:p w14:paraId="7C4EEBA1">
      <w:pPr>
        <w:pStyle w:val="22"/>
        <w:bidi w:val="0"/>
      </w:pPr>
      <w:bookmarkStart w:id="10" w:name="bookmark26"/>
      <w:bookmarkEnd w:id="10"/>
      <w:bookmarkStart w:id="11" w:name="_Toc25997"/>
      <w:r>
        <w:t>服务目录内容</w:t>
      </w:r>
      <w:bookmarkEnd w:id="11"/>
    </w:p>
    <w:p w14:paraId="6590B6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服务目录覆盖组织当前所有服务能力范围内可以提供的服务，服务目录应包括：</w:t>
      </w:r>
    </w:p>
    <w:p w14:paraId="3148A1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服务目录（包括编码、名称）、服务详述（包括如服务对象、服务分类、服务内容、服务频度、响应时间、交付方式、交付成果等）</w:t>
      </w:r>
    </w:p>
    <w:p w14:paraId="1A7F332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未来服务目录可在服务产品化的基础上，增加运维服务部门、服务时长、服务人员所需最低技能，服务报价等细项；以及增加通过服务搭配与组合以实现不同级别的服务承诺。</w:t>
      </w:r>
    </w:p>
    <w:p w14:paraId="4E9593E4">
      <w:pPr>
        <w:pStyle w:val="22"/>
        <w:bidi w:val="0"/>
      </w:pPr>
      <w:bookmarkStart w:id="12" w:name="_Toc3062"/>
      <w:r>
        <w:t>受众和目标</w:t>
      </w:r>
      <w:bookmarkEnd w:id="12"/>
    </w:p>
    <w:p w14:paraId="00336E4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服务目录的目标是成为组织（IT 服务供方）与客户（IT 服务需方）之间的一个桥梁。对客户准确、完整地介绍组织的IT服务能力范围；对组织可以利用服</w:t>
      </w:r>
      <w:bookmarkStart w:id="29" w:name="_GoBack"/>
      <w:bookmarkEnd w:id="29"/>
      <w:r>
        <w:rPr>
          <w:rFonts w:ascii="宋体" w:hAnsi="宋体" w:eastAsia="宋体" w:cs="宋体"/>
          <w:spacing w:val="-1"/>
          <w:sz w:val="24"/>
          <w:szCs w:val="24"/>
        </w:rPr>
        <w:t>务目录以及客户对服务目录的反馈，开展自身IT服务能力建设的依据。有利于服务的不断改进和资源匹配率的不断提升。</w:t>
      </w:r>
    </w:p>
    <w:p w14:paraId="00A4803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服务目录：在服务目录建立后，原则上每年年初修编一次。若遇外部重大环境变化、内部重大战略转型也可按需进行修编。受众主要包括：</w:t>
      </w:r>
      <w:r>
        <w:rPr>
          <w:rFonts w:hint="eastAsia" w:ascii="宋体" w:hAnsi="宋体" w:eastAsia="宋体" w:cs="宋体"/>
          <w:spacing w:val="-1"/>
          <w:sz w:val="24"/>
          <w:szCs w:val="24"/>
          <w:lang w:val="en-US" w:eastAsia="zh-CN"/>
        </w:rPr>
        <w:t>营销中心</w:t>
      </w:r>
      <w:r>
        <w:rPr>
          <w:rFonts w:ascii="宋体" w:hAnsi="宋体" w:eastAsia="宋体" w:cs="宋体"/>
          <w:spacing w:val="-1"/>
          <w:sz w:val="24"/>
          <w:szCs w:val="24"/>
        </w:rPr>
        <w:t>、运维服务部、潜在购买服务客户。</w:t>
      </w:r>
    </w:p>
    <w:p w14:paraId="31AD8D4B">
      <w:pPr>
        <w:pStyle w:val="22"/>
        <w:bidi w:val="0"/>
      </w:pPr>
      <w:bookmarkStart w:id="13" w:name="_Toc22914"/>
      <w:r>
        <w:t>基本要求</w:t>
      </w:r>
      <w:bookmarkEnd w:id="13"/>
    </w:p>
    <w:p w14:paraId="75C16A69">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60" w:hangingChars="200"/>
        <w:textAlignment w:val="baseline"/>
        <w:rPr>
          <w:rFonts w:ascii="宋体" w:hAnsi="宋体" w:eastAsia="宋体" w:cs="宋体"/>
          <w:sz w:val="24"/>
          <w:szCs w:val="24"/>
        </w:rPr>
      </w:pPr>
      <w:r>
        <w:rPr>
          <w:rFonts w:ascii="宋体" w:hAnsi="宋体" w:eastAsia="宋体" w:cs="宋体"/>
          <w:spacing w:val="-5"/>
          <w:sz w:val="24"/>
          <w:szCs w:val="24"/>
        </w:rPr>
        <w:t>服务目录的基本要求包括：</w:t>
      </w:r>
    </w:p>
    <w:p w14:paraId="3F09B220">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服务目录应被制定并形成文档记录，在提供运维服务的过程中得到了应用；</w:t>
      </w:r>
    </w:p>
    <w:p w14:paraId="4A93DD55">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服务目录应在每年年初进行修编；</w:t>
      </w:r>
    </w:p>
    <w:p w14:paraId="30613DF7">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所有服务目录应包括服务列表，列表层次结构需符合 GB/T 29264-2012的要求</w:t>
      </w:r>
    </w:p>
    <w:p w14:paraId="678F707F">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4.</w:t>
      </w:r>
      <w:r>
        <w:rPr>
          <w:rFonts w:ascii="宋体" w:hAnsi="宋体" w:eastAsia="宋体" w:cs="宋体"/>
          <w:sz w:val="24"/>
          <w:szCs w:val="24"/>
        </w:rPr>
        <w:t>服务目录应全面覆盖组织当前运维服务能力下可提供的运维服务；</w:t>
      </w:r>
    </w:p>
    <w:p w14:paraId="16DE7194">
      <w:pPr>
        <w:keepNext w:val="0"/>
        <w:keepLines w:val="0"/>
        <w:pageBreakBefore w:val="0"/>
        <w:widowControl/>
        <w:kinsoku w:val="0"/>
        <w:wordWrap/>
        <w:overflowPunct/>
        <w:topLinePunct w:val="0"/>
        <w:autoSpaceDE w:val="0"/>
        <w:autoSpaceDN w:val="0"/>
        <w:bidi w:val="0"/>
        <w:adjustRightInd w:val="0"/>
        <w:snapToGrid w:val="0"/>
        <w:spacing w:line="360" w:lineRule="auto"/>
        <w:ind w:left="460" w:hanging="480" w:hangingChars="200"/>
        <w:textAlignment w:val="baseline"/>
        <w:rPr>
          <w:rFonts w:ascii="宋体" w:hAnsi="宋体" w:eastAsia="宋体" w:cs="宋体"/>
          <w:sz w:val="24"/>
          <w:szCs w:val="24"/>
        </w:rPr>
      </w:pPr>
      <w:r>
        <w:rPr>
          <w:rFonts w:hint="eastAsia" w:ascii="宋体" w:hAnsi="宋体" w:eastAsia="宋体" w:cs="宋体"/>
          <w:sz w:val="24"/>
          <w:szCs w:val="24"/>
          <w:lang w:val="en-US" w:eastAsia="zh-CN"/>
        </w:rPr>
        <w:t>5.</w:t>
      </w:r>
      <w:r>
        <w:rPr>
          <w:rFonts w:ascii="宋体" w:hAnsi="宋体" w:eastAsia="宋体" w:cs="宋体"/>
          <w:sz w:val="24"/>
          <w:szCs w:val="24"/>
        </w:rPr>
        <w:t>服务目录应简明易懂，并对每个服务项有相关说明，容易被客户理解。</w:t>
      </w:r>
    </w:p>
    <w:p w14:paraId="4C3AC52F">
      <w:pPr>
        <w:pStyle w:val="22"/>
        <w:bidi w:val="0"/>
      </w:pPr>
      <w:bookmarkStart w:id="14" w:name="_Toc2037"/>
      <w:r>
        <w:t>内容形式</w:t>
      </w:r>
      <w:bookmarkEnd w:id="14"/>
    </w:p>
    <w:p w14:paraId="55B6F8C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服务目录中包含服务级别协议的内容。服务目录是决定客户期望的关键文件，客户和支持人员应该能方便地使用该文件以作为服务级别协议的参考。</w:t>
      </w:r>
    </w:p>
    <w:p w14:paraId="1DD7BB6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服务目录以表格的形式展现，服务目录（包括编码、名称）、服务详述（包括如服务对象、服务分类、服务内容、服务频度、响应时间、交付方式、交付成果等）。</w:t>
      </w:r>
    </w:p>
    <w:p w14:paraId="4BF06F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具体内容与形式参见《运维服务目录》。</w:t>
      </w:r>
    </w:p>
    <w:p w14:paraId="0EADF06C">
      <w:pPr>
        <w:pStyle w:val="22"/>
        <w:bidi w:val="0"/>
      </w:pPr>
      <w:bookmarkStart w:id="15" w:name="_Toc27393"/>
      <w:r>
        <w:t>注意事项</w:t>
      </w:r>
      <w:bookmarkEnd w:id="15"/>
    </w:p>
    <w:p w14:paraId="08071965"/>
    <w:p w14:paraId="40B6DD5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服务目录的需求应满足服务目录阅读者需求。为了满足客户管理和内部管理的需要，在提供服务目录前需要有运维服务部与销售部就服务目录进行协商并将协商结果记录下来。</w:t>
      </w:r>
    </w:p>
    <w:p w14:paraId="66606AA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储存、分发和维护应建有规范的制度，相关的管理人员和流程负责人对服务目录管理流程的文档负责。建立健全文档的访问控制机制，服务目录储存位置应对销售部、服务管理人员公布。项目级服务目录存储位置仅对项目相关的销售部、服务管理人员公布。文档应定期检查，保证可用。</w:t>
      </w:r>
    </w:p>
    <w:p w14:paraId="5D0CE6F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为了避免服务目录流于形式，成为无意义的劳动，服务管理人员和流程负责人应充分利用服务服务目录，每年定期或根据实际情况对服务目录进行回顾，提高决策的科学性。</w:t>
      </w:r>
    </w:p>
    <w:p w14:paraId="3B27C1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服务目录的更新应通过变更与发布管理过程进行。</w:t>
      </w:r>
    </w:p>
    <w:p w14:paraId="722FAD84">
      <w:pPr>
        <w:pStyle w:val="21"/>
        <w:bidi w:val="0"/>
      </w:pPr>
      <w:bookmarkStart w:id="16" w:name="_Toc7073"/>
      <w:r>
        <w:t>服务目录管理流程</w:t>
      </w:r>
      <w:bookmarkEnd w:id="16"/>
    </w:p>
    <w:p w14:paraId="7F226D2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服务目录管理流程的范围包括提供和维护所有服务的准确信息。包括所有在转换或已转换到生产环境中的服务。</w:t>
      </w:r>
      <w:bookmarkStart w:id="17" w:name="bookmark27"/>
      <w:bookmarkEnd w:id="17"/>
    </w:p>
    <w:p w14:paraId="6BBF928E">
      <w:pPr>
        <w:pStyle w:val="22"/>
        <w:bidi w:val="0"/>
      </w:pPr>
      <w:bookmarkStart w:id="18" w:name="_Toc19882"/>
      <w:r>
        <w:t>管理流程图</w:t>
      </w:r>
      <w:bookmarkEnd w:id="18"/>
    </w:p>
    <w:p w14:paraId="5867660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20" w:firstLineChars="200"/>
        <w:jc w:val="left"/>
        <w:textAlignment w:val="baseline"/>
      </w:pPr>
      <w:r>
        <w:rPr>
          <w:position w:val="-181"/>
        </w:rPr>
        <w:drawing>
          <wp:inline distT="0" distB="0" distL="0" distR="0">
            <wp:extent cx="5681345" cy="4497705"/>
            <wp:effectExtent l="0" t="0" r="3175" b="13335"/>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0"/>
                    <a:stretch>
                      <a:fillRect/>
                    </a:stretch>
                  </pic:blipFill>
                  <pic:spPr>
                    <a:xfrm>
                      <a:off x="0" y="0"/>
                      <a:ext cx="5681345" cy="4497705"/>
                    </a:xfrm>
                    <a:prstGeom prst="rect">
                      <a:avLst/>
                    </a:prstGeom>
                  </pic:spPr>
                </pic:pic>
              </a:graphicData>
            </a:graphic>
          </wp:inline>
        </w:drawing>
      </w:r>
    </w:p>
    <w:p w14:paraId="3B14E5A7">
      <w:pPr>
        <w:pStyle w:val="22"/>
        <w:bidi w:val="0"/>
      </w:pPr>
      <w:bookmarkStart w:id="19" w:name="_Toc14406"/>
      <w:r>
        <w:t>过程描述</w:t>
      </w:r>
      <w:bookmarkEnd w:id="19"/>
    </w:p>
    <w:tbl>
      <w:tblPr>
        <w:tblStyle w:val="19"/>
        <w:tblW w:w="9095" w:type="dxa"/>
        <w:tblInd w:w="3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5"/>
        <w:gridCol w:w="1412"/>
        <w:gridCol w:w="1698"/>
        <w:gridCol w:w="4980"/>
      </w:tblGrid>
      <w:tr w14:paraId="6454D2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1005" w:type="dxa"/>
            <w:shd w:val="clear" w:color="auto" w:fill="B2B2B2"/>
            <w:vAlign w:val="top"/>
          </w:tcPr>
          <w:p w14:paraId="194D42F5">
            <w:pPr>
              <w:spacing w:before="144" w:line="228" w:lineRule="auto"/>
              <w:ind w:left="251"/>
              <w:rPr>
                <w:rFonts w:ascii="宋体" w:hAnsi="宋体" w:eastAsia="宋体" w:cs="宋体"/>
                <w:sz w:val="20"/>
                <w:szCs w:val="20"/>
              </w:rPr>
            </w:pPr>
            <w:r>
              <w:rPr>
                <w:rFonts w:ascii="宋体" w:hAnsi="宋体" w:eastAsia="宋体" w:cs="宋体"/>
                <w:b/>
                <w:bCs/>
                <w:spacing w:val="-2"/>
                <w:sz w:val="20"/>
                <w:szCs w:val="20"/>
              </w:rPr>
              <w:t>编</w:t>
            </w:r>
            <w:r>
              <w:rPr>
                <w:rFonts w:ascii="宋体" w:hAnsi="宋体" w:eastAsia="宋体" w:cs="宋体"/>
                <w:spacing w:val="12"/>
                <w:sz w:val="20"/>
                <w:szCs w:val="20"/>
              </w:rPr>
              <w:t xml:space="preserve"> </w:t>
            </w:r>
            <w:r>
              <w:rPr>
                <w:rFonts w:ascii="宋体" w:hAnsi="宋体" w:eastAsia="宋体" w:cs="宋体"/>
                <w:b/>
                <w:bCs/>
                <w:spacing w:val="-2"/>
                <w:sz w:val="20"/>
                <w:szCs w:val="20"/>
              </w:rPr>
              <w:t>码</w:t>
            </w:r>
          </w:p>
        </w:tc>
        <w:tc>
          <w:tcPr>
            <w:tcW w:w="1412" w:type="dxa"/>
            <w:shd w:val="clear" w:color="auto" w:fill="B2B2B2"/>
            <w:vAlign w:val="top"/>
          </w:tcPr>
          <w:p w14:paraId="4D6F9197">
            <w:pPr>
              <w:spacing w:before="148" w:line="228" w:lineRule="auto"/>
              <w:ind w:left="452"/>
              <w:rPr>
                <w:rFonts w:ascii="宋体" w:hAnsi="宋体" w:eastAsia="宋体" w:cs="宋体"/>
                <w:sz w:val="20"/>
                <w:szCs w:val="20"/>
              </w:rPr>
            </w:pPr>
            <w:r>
              <w:rPr>
                <w:rFonts w:ascii="宋体" w:hAnsi="宋体" w:eastAsia="宋体" w:cs="宋体"/>
                <w:b/>
                <w:bCs/>
                <w:spacing w:val="-4"/>
                <w:sz w:val="20"/>
                <w:szCs w:val="20"/>
              </w:rPr>
              <w:t>活</w:t>
            </w:r>
            <w:r>
              <w:rPr>
                <w:rFonts w:ascii="宋体" w:hAnsi="宋体" w:eastAsia="宋体" w:cs="宋体"/>
                <w:spacing w:val="17"/>
                <w:sz w:val="20"/>
                <w:szCs w:val="20"/>
              </w:rPr>
              <w:t xml:space="preserve"> </w:t>
            </w:r>
            <w:r>
              <w:rPr>
                <w:rFonts w:ascii="宋体" w:hAnsi="宋体" w:eastAsia="宋体" w:cs="宋体"/>
                <w:b/>
                <w:bCs/>
                <w:spacing w:val="-4"/>
                <w:sz w:val="20"/>
                <w:szCs w:val="20"/>
              </w:rPr>
              <w:t>动</w:t>
            </w:r>
          </w:p>
        </w:tc>
        <w:tc>
          <w:tcPr>
            <w:tcW w:w="1698" w:type="dxa"/>
            <w:shd w:val="clear" w:color="auto" w:fill="B2B2B2"/>
            <w:vAlign w:val="top"/>
          </w:tcPr>
          <w:p w14:paraId="23D5374F">
            <w:pPr>
              <w:spacing w:before="144" w:line="228" w:lineRule="auto"/>
              <w:ind w:left="450"/>
              <w:rPr>
                <w:rFonts w:ascii="宋体" w:hAnsi="宋体" w:eastAsia="宋体" w:cs="宋体"/>
                <w:sz w:val="20"/>
                <w:szCs w:val="20"/>
              </w:rPr>
            </w:pPr>
            <w:r>
              <w:rPr>
                <w:rFonts w:ascii="宋体" w:hAnsi="宋体" w:eastAsia="宋体" w:cs="宋体"/>
                <w:b/>
                <w:bCs/>
                <w:spacing w:val="-1"/>
                <w:sz w:val="20"/>
                <w:szCs w:val="20"/>
              </w:rPr>
              <w:t>责任主体</w:t>
            </w:r>
          </w:p>
        </w:tc>
        <w:tc>
          <w:tcPr>
            <w:tcW w:w="4980" w:type="dxa"/>
            <w:shd w:val="clear" w:color="auto" w:fill="B2B2B2"/>
            <w:vAlign w:val="top"/>
          </w:tcPr>
          <w:p w14:paraId="1B2E6B1D">
            <w:pPr>
              <w:spacing w:before="144" w:line="228" w:lineRule="auto"/>
              <w:ind w:left="2242"/>
              <w:rPr>
                <w:rFonts w:ascii="宋体" w:hAnsi="宋体" w:eastAsia="宋体" w:cs="宋体"/>
                <w:sz w:val="20"/>
                <w:szCs w:val="20"/>
              </w:rPr>
            </w:pPr>
            <w:r>
              <w:rPr>
                <w:rFonts w:ascii="宋体" w:hAnsi="宋体" w:eastAsia="宋体" w:cs="宋体"/>
                <w:b/>
                <w:bCs/>
                <w:spacing w:val="-3"/>
                <w:sz w:val="20"/>
                <w:szCs w:val="20"/>
              </w:rPr>
              <w:t>说</w:t>
            </w:r>
            <w:r>
              <w:rPr>
                <w:rFonts w:ascii="宋体" w:hAnsi="宋体" w:eastAsia="宋体" w:cs="宋体"/>
                <w:spacing w:val="52"/>
                <w:sz w:val="20"/>
                <w:szCs w:val="20"/>
              </w:rPr>
              <w:t xml:space="preserve"> </w:t>
            </w:r>
            <w:r>
              <w:rPr>
                <w:rFonts w:ascii="宋体" w:hAnsi="宋体" w:eastAsia="宋体" w:cs="宋体"/>
                <w:b/>
                <w:bCs/>
                <w:spacing w:val="-3"/>
                <w:sz w:val="20"/>
                <w:szCs w:val="20"/>
              </w:rPr>
              <w:t>明</w:t>
            </w:r>
          </w:p>
        </w:tc>
      </w:tr>
    </w:tbl>
    <w:p w14:paraId="284552F5">
      <w:pPr>
        <w:spacing w:line="90" w:lineRule="auto"/>
        <w:rPr>
          <w:rFonts w:ascii="Arial"/>
          <w:sz w:val="2"/>
        </w:rPr>
      </w:pPr>
    </w:p>
    <w:tbl>
      <w:tblPr>
        <w:tblStyle w:val="19"/>
        <w:tblW w:w="9095" w:type="dxa"/>
        <w:tblInd w:w="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05"/>
        <w:gridCol w:w="1412"/>
        <w:gridCol w:w="1698"/>
        <w:gridCol w:w="4980"/>
      </w:tblGrid>
      <w:tr w14:paraId="2B4BEA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4" w:hRule="atLeast"/>
        </w:trPr>
        <w:tc>
          <w:tcPr>
            <w:tcW w:w="1005" w:type="dxa"/>
            <w:vAlign w:val="top"/>
          </w:tcPr>
          <w:p w14:paraId="1780E8AA">
            <w:pPr>
              <w:spacing w:before="195" w:line="268" w:lineRule="exact"/>
              <w:ind w:left="151"/>
              <w:rPr>
                <w:rFonts w:ascii="宋体" w:hAnsi="宋体" w:eastAsia="宋体" w:cs="宋体"/>
                <w:sz w:val="20"/>
                <w:szCs w:val="20"/>
              </w:rPr>
            </w:pPr>
            <w:r>
              <w:rPr>
                <w:rFonts w:ascii="宋体" w:hAnsi="宋体" w:eastAsia="宋体" w:cs="宋体"/>
                <w:spacing w:val="-6"/>
                <w:position w:val="1"/>
                <w:sz w:val="20"/>
                <w:szCs w:val="20"/>
              </w:rPr>
              <w:t>1.1</w:t>
            </w:r>
          </w:p>
        </w:tc>
        <w:tc>
          <w:tcPr>
            <w:tcW w:w="1412" w:type="dxa"/>
            <w:vAlign w:val="top"/>
          </w:tcPr>
          <w:p w14:paraId="0B11BE3D">
            <w:pPr>
              <w:spacing w:before="147" w:line="228" w:lineRule="auto"/>
              <w:ind w:left="116"/>
              <w:rPr>
                <w:rFonts w:ascii="宋体" w:hAnsi="宋体" w:eastAsia="宋体" w:cs="宋体"/>
                <w:sz w:val="20"/>
                <w:szCs w:val="20"/>
              </w:rPr>
            </w:pPr>
            <w:r>
              <w:rPr>
                <w:rFonts w:ascii="宋体" w:hAnsi="宋体" w:eastAsia="宋体" w:cs="宋体"/>
                <w:spacing w:val="6"/>
                <w:sz w:val="20"/>
                <w:szCs w:val="20"/>
              </w:rPr>
              <w:t>设计服务范</w:t>
            </w:r>
          </w:p>
          <w:p w14:paraId="22471F82">
            <w:pPr>
              <w:spacing w:before="218" w:line="228" w:lineRule="auto"/>
              <w:ind w:left="146"/>
              <w:rPr>
                <w:rFonts w:ascii="宋体" w:hAnsi="宋体" w:eastAsia="宋体" w:cs="宋体"/>
                <w:sz w:val="20"/>
                <w:szCs w:val="20"/>
              </w:rPr>
            </w:pPr>
            <w:r>
              <w:rPr>
                <w:rFonts w:ascii="宋体" w:hAnsi="宋体" w:eastAsia="宋体" w:cs="宋体"/>
                <w:sz w:val="20"/>
                <w:szCs w:val="20"/>
              </w:rPr>
              <w:t>围和服务项</w:t>
            </w:r>
          </w:p>
        </w:tc>
        <w:tc>
          <w:tcPr>
            <w:tcW w:w="1698" w:type="dxa"/>
            <w:vAlign w:val="top"/>
          </w:tcPr>
          <w:p w14:paraId="23F5ABBC">
            <w:pPr>
              <w:spacing w:before="147"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67BAE691">
            <w:pPr>
              <w:spacing w:before="166" w:line="359" w:lineRule="auto"/>
              <w:ind w:left="198" w:right="261" w:hanging="80"/>
              <w:rPr>
                <w:rFonts w:ascii="宋体" w:hAnsi="宋体" w:eastAsia="宋体" w:cs="宋体"/>
                <w:sz w:val="20"/>
                <w:szCs w:val="20"/>
              </w:rPr>
            </w:pPr>
            <w:r>
              <w:rPr>
                <w:rFonts w:ascii="宋体" w:hAnsi="宋体" w:eastAsia="宋体" w:cs="宋体"/>
                <w:spacing w:val="8"/>
                <w:sz w:val="20"/>
                <w:szCs w:val="20"/>
              </w:rPr>
              <w:t>服务目录负责人识别并梳理服务项，作为制定服务</w:t>
            </w:r>
            <w:r>
              <w:rPr>
                <w:rFonts w:ascii="宋体" w:hAnsi="宋体" w:eastAsia="宋体" w:cs="宋体"/>
                <w:spacing w:val="2"/>
                <w:sz w:val="20"/>
                <w:szCs w:val="20"/>
              </w:rPr>
              <w:t>目录参考依据。设计服务范围和服务项。</w:t>
            </w:r>
          </w:p>
        </w:tc>
      </w:tr>
      <w:tr w14:paraId="380C04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339D5406">
            <w:pPr>
              <w:spacing w:before="181" w:line="268" w:lineRule="exact"/>
              <w:ind w:left="151"/>
              <w:rPr>
                <w:rFonts w:ascii="宋体" w:hAnsi="宋体" w:eastAsia="宋体" w:cs="宋体"/>
                <w:sz w:val="20"/>
                <w:szCs w:val="20"/>
              </w:rPr>
            </w:pPr>
            <w:r>
              <w:rPr>
                <w:rFonts w:ascii="宋体" w:hAnsi="宋体" w:eastAsia="宋体" w:cs="宋体"/>
                <w:spacing w:val="-6"/>
                <w:position w:val="1"/>
                <w:sz w:val="20"/>
                <w:szCs w:val="20"/>
              </w:rPr>
              <w:t>1.2</w:t>
            </w:r>
          </w:p>
        </w:tc>
        <w:tc>
          <w:tcPr>
            <w:tcW w:w="1412" w:type="dxa"/>
            <w:vAlign w:val="top"/>
          </w:tcPr>
          <w:p w14:paraId="74724E21">
            <w:pPr>
              <w:spacing w:before="133" w:line="228" w:lineRule="auto"/>
              <w:ind w:left="108"/>
              <w:rPr>
                <w:rFonts w:ascii="宋体" w:hAnsi="宋体" w:eastAsia="宋体" w:cs="宋体"/>
                <w:sz w:val="20"/>
                <w:szCs w:val="20"/>
              </w:rPr>
            </w:pPr>
            <w:r>
              <w:rPr>
                <w:rFonts w:ascii="宋体" w:hAnsi="宋体" w:eastAsia="宋体" w:cs="宋体"/>
                <w:spacing w:val="6"/>
                <w:sz w:val="20"/>
                <w:szCs w:val="20"/>
              </w:rPr>
              <w:t>确定服务范</w:t>
            </w:r>
          </w:p>
          <w:p w14:paraId="4A649B63">
            <w:pPr>
              <w:spacing w:before="218" w:line="228" w:lineRule="auto"/>
              <w:ind w:left="146"/>
              <w:rPr>
                <w:rFonts w:ascii="宋体" w:hAnsi="宋体" w:eastAsia="宋体" w:cs="宋体"/>
                <w:sz w:val="20"/>
                <w:szCs w:val="20"/>
              </w:rPr>
            </w:pPr>
            <w:r>
              <w:rPr>
                <w:rFonts w:ascii="宋体" w:hAnsi="宋体" w:eastAsia="宋体" w:cs="宋体"/>
                <w:sz w:val="20"/>
                <w:szCs w:val="20"/>
              </w:rPr>
              <w:t>围和服务项</w:t>
            </w:r>
          </w:p>
        </w:tc>
        <w:tc>
          <w:tcPr>
            <w:tcW w:w="1698" w:type="dxa"/>
            <w:vAlign w:val="top"/>
          </w:tcPr>
          <w:p w14:paraId="0497F8C3">
            <w:pPr>
              <w:spacing w:before="153" w:line="358" w:lineRule="auto"/>
              <w:ind w:left="112" w:right="126"/>
              <w:rPr>
                <w:rFonts w:ascii="宋体" w:hAnsi="宋体" w:eastAsia="宋体" w:cs="宋体"/>
                <w:sz w:val="20"/>
                <w:szCs w:val="20"/>
              </w:rPr>
            </w:pPr>
            <w:r>
              <w:rPr>
                <w:rFonts w:ascii="宋体" w:hAnsi="宋体" w:eastAsia="宋体" w:cs="宋体"/>
                <w:spacing w:val="6"/>
                <w:sz w:val="20"/>
                <w:szCs w:val="20"/>
              </w:rPr>
              <w:t>运维服务部和销</w:t>
            </w:r>
            <w:r>
              <w:rPr>
                <w:rFonts w:ascii="宋体" w:hAnsi="宋体" w:eastAsia="宋体" w:cs="宋体"/>
                <w:spacing w:val="3"/>
                <w:sz w:val="20"/>
                <w:szCs w:val="20"/>
              </w:rPr>
              <w:t>售部</w:t>
            </w:r>
          </w:p>
        </w:tc>
        <w:tc>
          <w:tcPr>
            <w:tcW w:w="4980" w:type="dxa"/>
            <w:vAlign w:val="top"/>
          </w:tcPr>
          <w:p w14:paraId="64A359C9">
            <w:pPr>
              <w:spacing w:before="153" w:line="358" w:lineRule="auto"/>
              <w:ind w:left="118" w:right="261"/>
              <w:rPr>
                <w:rFonts w:ascii="宋体" w:hAnsi="宋体" w:eastAsia="宋体" w:cs="宋体"/>
                <w:sz w:val="20"/>
                <w:szCs w:val="20"/>
              </w:rPr>
            </w:pPr>
            <w:r>
              <w:rPr>
                <w:rFonts w:ascii="宋体" w:hAnsi="宋体" w:eastAsia="宋体" w:cs="宋体"/>
                <w:spacing w:val="8"/>
                <w:sz w:val="20"/>
                <w:szCs w:val="20"/>
              </w:rPr>
              <w:t>服务目录负责人配合运维服务部和销售部共同确定</w:t>
            </w:r>
            <w:r>
              <w:rPr>
                <w:rFonts w:ascii="宋体" w:hAnsi="宋体" w:eastAsia="宋体" w:cs="宋体"/>
                <w:spacing w:val="4"/>
                <w:sz w:val="20"/>
                <w:szCs w:val="20"/>
              </w:rPr>
              <w:t>服务范围和服务项。</w:t>
            </w:r>
          </w:p>
        </w:tc>
      </w:tr>
      <w:tr w14:paraId="2382F9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70726095">
            <w:pPr>
              <w:spacing w:before="183" w:line="267" w:lineRule="exact"/>
              <w:ind w:left="151"/>
              <w:rPr>
                <w:rFonts w:ascii="宋体" w:hAnsi="宋体" w:eastAsia="宋体" w:cs="宋体"/>
                <w:sz w:val="20"/>
                <w:szCs w:val="20"/>
              </w:rPr>
            </w:pPr>
            <w:r>
              <w:rPr>
                <w:rFonts w:ascii="宋体" w:hAnsi="宋体" w:eastAsia="宋体" w:cs="宋体"/>
                <w:spacing w:val="-6"/>
                <w:position w:val="1"/>
                <w:sz w:val="20"/>
                <w:szCs w:val="20"/>
              </w:rPr>
              <w:t>1.3</w:t>
            </w:r>
          </w:p>
        </w:tc>
        <w:tc>
          <w:tcPr>
            <w:tcW w:w="1412" w:type="dxa"/>
            <w:vAlign w:val="top"/>
          </w:tcPr>
          <w:p w14:paraId="64F72406">
            <w:pPr>
              <w:spacing w:before="155" w:line="357" w:lineRule="auto"/>
              <w:ind w:left="109" w:right="262" w:firstLine="4"/>
              <w:rPr>
                <w:rFonts w:ascii="宋体" w:hAnsi="宋体" w:eastAsia="宋体" w:cs="宋体"/>
                <w:sz w:val="20"/>
                <w:szCs w:val="20"/>
              </w:rPr>
            </w:pPr>
            <w:r>
              <w:rPr>
                <w:rFonts w:ascii="宋体" w:hAnsi="宋体" w:eastAsia="宋体" w:cs="宋体"/>
                <w:spacing w:val="5"/>
                <w:sz w:val="20"/>
                <w:szCs w:val="20"/>
              </w:rPr>
              <w:t>构建服务目</w:t>
            </w:r>
            <w:r>
              <w:rPr>
                <w:rFonts w:ascii="宋体" w:hAnsi="宋体" w:eastAsia="宋体" w:cs="宋体"/>
                <w:sz w:val="20"/>
                <w:szCs w:val="20"/>
              </w:rPr>
              <w:t>录</w:t>
            </w:r>
          </w:p>
        </w:tc>
        <w:tc>
          <w:tcPr>
            <w:tcW w:w="1698" w:type="dxa"/>
            <w:vAlign w:val="top"/>
          </w:tcPr>
          <w:p w14:paraId="300D8EE3">
            <w:pPr>
              <w:spacing w:before="134"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611313D6">
            <w:pPr>
              <w:spacing w:before="134" w:line="228" w:lineRule="auto"/>
              <w:ind w:left="118"/>
              <w:rPr>
                <w:rFonts w:ascii="宋体" w:hAnsi="宋体" w:eastAsia="宋体" w:cs="宋体"/>
                <w:sz w:val="20"/>
                <w:szCs w:val="20"/>
              </w:rPr>
            </w:pPr>
            <w:r>
              <w:rPr>
                <w:rFonts w:ascii="宋体" w:hAnsi="宋体" w:eastAsia="宋体" w:cs="宋体"/>
                <w:spacing w:val="8"/>
                <w:sz w:val="20"/>
                <w:szCs w:val="20"/>
              </w:rPr>
              <w:t>服务目录负责人在服务级别负责人的协助下，构建</w:t>
            </w:r>
          </w:p>
          <w:p w14:paraId="5C2D497C">
            <w:pPr>
              <w:spacing w:before="218" w:line="228" w:lineRule="auto"/>
              <w:ind w:left="118"/>
              <w:rPr>
                <w:rFonts w:ascii="宋体" w:hAnsi="宋体" w:eastAsia="宋体" w:cs="宋体"/>
                <w:sz w:val="20"/>
                <w:szCs w:val="20"/>
              </w:rPr>
            </w:pPr>
            <w:r>
              <w:rPr>
                <w:rFonts w:ascii="宋体" w:hAnsi="宋体" w:eastAsia="宋体" w:cs="宋体"/>
                <w:spacing w:val="2"/>
                <w:sz w:val="20"/>
                <w:szCs w:val="20"/>
              </w:rPr>
              <w:t>服务目录。</w:t>
            </w:r>
          </w:p>
        </w:tc>
      </w:tr>
      <w:tr w14:paraId="2DCA47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68860199">
            <w:pPr>
              <w:spacing w:before="184" w:line="268" w:lineRule="exact"/>
              <w:ind w:left="151"/>
              <w:rPr>
                <w:rFonts w:ascii="宋体" w:hAnsi="宋体" w:eastAsia="宋体" w:cs="宋体"/>
                <w:sz w:val="20"/>
                <w:szCs w:val="20"/>
              </w:rPr>
            </w:pPr>
            <w:r>
              <w:rPr>
                <w:rFonts w:ascii="宋体" w:hAnsi="宋体" w:eastAsia="宋体" w:cs="宋体"/>
                <w:spacing w:val="-6"/>
                <w:position w:val="1"/>
                <w:sz w:val="20"/>
                <w:szCs w:val="20"/>
              </w:rPr>
              <w:t>1.4</w:t>
            </w:r>
          </w:p>
        </w:tc>
        <w:tc>
          <w:tcPr>
            <w:tcW w:w="1412" w:type="dxa"/>
            <w:vAlign w:val="top"/>
          </w:tcPr>
          <w:p w14:paraId="4FCA4D21">
            <w:pPr>
              <w:spacing w:before="155" w:line="357" w:lineRule="auto"/>
              <w:ind w:left="108" w:right="260" w:hanging="1"/>
              <w:rPr>
                <w:rFonts w:ascii="宋体" w:hAnsi="宋体" w:eastAsia="宋体" w:cs="宋体"/>
                <w:sz w:val="20"/>
                <w:szCs w:val="20"/>
              </w:rPr>
            </w:pPr>
            <w:r>
              <w:rPr>
                <w:rFonts w:ascii="宋体" w:hAnsi="宋体" w:eastAsia="宋体" w:cs="宋体"/>
                <w:spacing w:val="6"/>
                <w:sz w:val="20"/>
                <w:szCs w:val="20"/>
              </w:rPr>
              <w:t>批准服务目</w:t>
            </w:r>
            <w:r>
              <w:rPr>
                <w:rFonts w:ascii="宋体" w:hAnsi="宋体" w:eastAsia="宋体" w:cs="宋体"/>
                <w:sz w:val="20"/>
                <w:szCs w:val="20"/>
              </w:rPr>
              <w:t>录</w:t>
            </w:r>
          </w:p>
        </w:tc>
        <w:tc>
          <w:tcPr>
            <w:tcW w:w="1698" w:type="dxa"/>
            <w:vAlign w:val="top"/>
          </w:tcPr>
          <w:p w14:paraId="2BF43504">
            <w:pPr>
              <w:spacing w:before="136" w:line="228" w:lineRule="auto"/>
              <w:ind w:left="126"/>
              <w:rPr>
                <w:rFonts w:ascii="宋体" w:hAnsi="宋体" w:eastAsia="宋体" w:cs="宋体"/>
                <w:sz w:val="20"/>
                <w:szCs w:val="20"/>
              </w:rPr>
            </w:pPr>
            <w:r>
              <w:rPr>
                <w:rFonts w:ascii="宋体" w:hAnsi="宋体" w:eastAsia="宋体" w:cs="宋体"/>
                <w:spacing w:val="4"/>
                <w:sz w:val="20"/>
                <w:szCs w:val="20"/>
              </w:rPr>
              <w:t>公司副总经理</w:t>
            </w:r>
          </w:p>
        </w:tc>
        <w:tc>
          <w:tcPr>
            <w:tcW w:w="4980" w:type="dxa"/>
            <w:vAlign w:val="top"/>
          </w:tcPr>
          <w:p w14:paraId="2529914A">
            <w:pPr>
              <w:spacing w:before="136" w:line="227" w:lineRule="auto"/>
              <w:ind w:left="117"/>
              <w:rPr>
                <w:rFonts w:ascii="宋体" w:hAnsi="宋体" w:eastAsia="宋体" w:cs="宋体"/>
                <w:sz w:val="20"/>
                <w:szCs w:val="20"/>
              </w:rPr>
            </w:pPr>
            <w:r>
              <w:rPr>
                <w:rFonts w:ascii="宋体" w:hAnsi="宋体" w:eastAsia="宋体" w:cs="宋体"/>
                <w:spacing w:val="5"/>
                <w:sz w:val="20"/>
                <w:szCs w:val="20"/>
              </w:rPr>
              <w:t>批准服务目录并对外发布。</w:t>
            </w:r>
          </w:p>
        </w:tc>
      </w:tr>
      <w:tr w14:paraId="153125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6" w:hRule="atLeast"/>
        </w:trPr>
        <w:tc>
          <w:tcPr>
            <w:tcW w:w="1005" w:type="dxa"/>
            <w:vAlign w:val="top"/>
          </w:tcPr>
          <w:p w14:paraId="3ED20A51">
            <w:pPr>
              <w:spacing w:before="188" w:line="268" w:lineRule="exact"/>
              <w:ind w:left="124"/>
              <w:rPr>
                <w:rFonts w:ascii="宋体" w:hAnsi="宋体" w:eastAsia="宋体" w:cs="宋体"/>
                <w:sz w:val="20"/>
                <w:szCs w:val="20"/>
              </w:rPr>
            </w:pPr>
            <w:r>
              <w:rPr>
                <w:rFonts w:ascii="宋体" w:hAnsi="宋体" w:eastAsia="宋体" w:cs="宋体"/>
                <w:position w:val="1"/>
                <w:sz w:val="20"/>
                <w:szCs w:val="20"/>
              </w:rPr>
              <w:t>2.1</w:t>
            </w:r>
          </w:p>
        </w:tc>
        <w:tc>
          <w:tcPr>
            <w:tcW w:w="1412" w:type="dxa"/>
            <w:vAlign w:val="top"/>
          </w:tcPr>
          <w:p w14:paraId="5BC8DAAB">
            <w:pPr>
              <w:spacing w:before="157" w:line="436" w:lineRule="auto"/>
              <w:ind w:left="109" w:right="260" w:hanging="2"/>
              <w:rPr>
                <w:rFonts w:ascii="宋体" w:hAnsi="宋体" w:eastAsia="宋体" w:cs="宋体"/>
                <w:sz w:val="20"/>
                <w:szCs w:val="20"/>
              </w:rPr>
            </w:pPr>
            <w:r>
              <w:rPr>
                <w:rFonts w:ascii="宋体" w:hAnsi="宋体" w:eastAsia="宋体" w:cs="宋体"/>
                <w:spacing w:val="6"/>
                <w:sz w:val="20"/>
                <w:szCs w:val="20"/>
              </w:rPr>
              <w:t>业务影响分</w:t>
            </w:r>
            <w:r>
              <w:rPr>
                <w:rFonts w:ascii="宋体" w:hAnsi="宋体" w:eastAsia="宋体" w:cs="宋体"/>
                <w:sz w:val="20"/>
                <w:szCs w:val="20"/>
              </w:rPr>
              <w:t>析</w:t>
            </w:r>
          </w:p>
        </w:tc>
        <w:tc>
          <w:tcPr>
            <w:tcW w:w="1698" w:type="dxa"/>
            <w:vAlign w:val="top"/>
          </w:tcPr>
          <w:p w14:paraId="5AC7707C">
            <w:pPr>
              <w:spacing w:before="140"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3BF711F0">
            <w:pPr>
              <w:spacing w:before="157" w:line="381" w:lineRule="auto"/>
              <w:ind w:left="118" w:right="246"/>
              <w:jc w:val="both"/>
              <w:rPr>
                <w:rFonts w:ascii="宋体" w:hAnsi="宋体" w:eastAsia="宋体" w:cs="宋体"/>
                <w:sz w:val="20"/>
                <w:szCs w:val="20"/>
              </w:rPr>
            </w:pPr>
            <w:r>
              <w:rPr>
                <w:rFonts w:ascii="宋体" w:hAnsi="宋体" w:eastAsia="宋体" w:cs="宋体"/>
                <w:spacing w:val="9"/>
                <w:sz w:val="20"/>
                <w:szCs w:val="20"/>
              </w:rPr>
              <w:t>服务目录负责人根据组织内外部环境，相关法律法规、客户需求、组织能力水平开展业务影响分析，</w:t>
            </w:r>
            <w:r>
              <w:rPr>
                <w:rFonts w:ascii="宋体" w:hAnsi="宋体" w:eastAsia="宋体" w:cs="宋体"/>
                <w:spacing w:val="6"/>
                <w:sz w:val="20"/>
                <w:szCs w:val="20"/>
              </w:rPr>
              <w:t>确定服务目录是否能满足业务需求。</w:t>
            </w:r>
          </w:p>
        </w:tc>
      </w:tr>
      <w:tr w14:paraId="7EF807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40" w:hRule="atLeast"/>
        </w:trPr>
        <w:tc>
          <w:tcPr>
            <w:tcW w:w="1005" w:type="dxa"/>
            <w:vAlign w:val="top"/>
          </w:tcPr>
          <w:p w14:paraId="4B718EFC">
            <w:pPr>
              <w:spacing w:before="190" w:line="268" w:lineRule="exact"/>
              <w:ind w:left="124"/>
              <w:rPr>
                <w:rFonts w:ascii="宋体" w:hAnsi="宋体" w:eastAsia="宋体" w:cs="宋体"/>
                <w:sz w:val="20"/>
                <w:szCs w:val="20"/>
              </w:rPr>
            </w:pPr>
            <w:r>
              <w:rPr>
                <w:rFonts w:ascii="宋体" w:hAnsi="宋体" w:eastAsia="宋体" w:cs="宋体"/>
                <w:position w:val="1"/>
                <w:sz w:val="20"/>
                <w:szCs w:val="20"/>
              </w:rPr>
              <w:t>2.2</w:t>
            </w:r>
          </w:p>
        </w:tc>
        <w:tc>
          <w:tcPr>
            <w:tcW w:w="1412" w:type="dxa"/>
            <w:vAlign w:val="top"/>
          </w:tcPr>
          <w:p w14:paraId="1719F15E">
            <w:pPr>
              <w:spacing w:before="162" w:line="433" w:lineRule="auto"/>
              <w:ind w:left="108" w:right="260"/>
              <w:rPr>
                <w:rFonts w:ascii="宋体" w:hAnsi="宋体" w:eastAsia="宋体" w:cs="宋体"/>
                <w:sz w:val="20"/>
                <w:szCs w:val="20"/>
              </w:rPr>
            </w:pPr>
            <w:r>
              <w:rPr>
                <w:rFonts w:ascii="宋体" w:hAnsi="宋体" w:eastAsia="宋体" w:cs="宋体"/>
                <w:spacing w:val="6"/>
                <w:sz w:val="20"/>
                <w:szCs w:val="20"/>
              </w:rPr>
              <w:t>确定服务目录能否满足</w:t>
            </w:r>
          </w:p>
        </w:tc>
        <w:tc>
          <w:tcPr>
            <w:tcW w:w="1698" w:type="dxa"/>
            <w:vAlign w:val="top"/>
          </w:tcPr>
          <w:p w14:paraId="7265345D">
            <w:pPr>
              <w:spacing w:before="142"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1918F93C">
            <w:pPr>
              <w:spacing w:before="163" w:line="400" w:lineRule="auto"/>
              <w:ind w:left="118" w:right="244"/>
              <w:jc w:val="both"/>
              <w:rPr>
                <w:rFonts w:ascii="宋体" w:hAnsi="宋体" w:eastAsia="宋体" w:cs="宋体"/>
                <w:sz w:val="20"/>
                <w:szCs w:val="20"/>
              </w:rPr>
            </w:pPr>
            <w:r>
              <w:rPr>
                <w:rFonts w:ascii="宋体" w:hAnsi="宋体" w:eastAsia="宋体" w:cs="宋体"/>
                <w:spacing w:val="9"/>
                <w:sz w:val="20"/>
                <w:szCs w:val="20"/>
              </w:rPr>
              <w:t>服务目录负责人协调运维服务部和销售部，对服务目录进行评审。如服务目录能够满足新业务和内部</w:t>
            </w:r>
            <w:r>
              <w:rPr>
                <w:rFonts w:ascii="宋体" w:hAnsi="宋体" w:eastAsia="宋体" w:cs="宋体"/>
                <w:spacing w:val="6"/>
                <w:sz w:val="20"/>
                <w:szCs w:val="20"/>
              </w:rPr>
              <w:t>管理，则转入活动 2.3“批准服务目录</w:t>
            </w:r>
            <w:r>
              <w:rPr>
                <w:rFonts w:ascii="宋体" w:hAnsi="宋体" w:eastAsia="宋体" w:cs="宋体"/>
                <w:spacing w:val="-38"/>
                <w:sz w:val="20"/>
                <w:szCs w:val="20"/>
              </w:rPr>
              <w:t xml:space="preserve"> </w:t>
            </w:r>
            <w:r>
              <w:rPr>
                <w:rFonts w:ascii="宋体" w:hAnsi="宋体" w:eastAsia="宋体" w:cs="宋体"/>
                <w:spacing w:val="6"/>
                <w:sz w:val="20"/>
                <w:szCs w:val="20"/>
              </w:rPr>
              <w:t>”，如无法</w:t>
            </w:r>
            <w:r>
              <w:rPr>
                <w:rFonts w:ascii="宋体" w:hAnsi="宋体" w:eastAsia="宋体" w:cs="宋体"/>
                <w:spacing w:val="9"/>
                <w:sz w:val="20"/>
                <w:szCs w:val="20"/>
              </w:rPr>
              <w:t>满足业务需求，则转入活动</w:t>
            </w:r>
            <w:r>
              <w:rPr>
                <w:rFonts w:ascii="宋体" w:hAnsi="宋体" w:eastAsia="宋体" w:cs="宋体"/>
                <w:spacing w:val="-4"/>
                <w:sz w:val="20"/>
                <w:szCs w:val="20"/>
              </w:rPr>
              <w:t xml:space="preserve"> </w:t>
            </w:r>
            <w:r>
              <w:rPr>
                <w:rFonts w:ascii="宋体" w:hAnsi="宋体" w:eastAsia="宋体" w:cs="宋体"/>
                <w:spacing w:val="9"/>
                <w:sz w:val="20"/>
                <w:szCs w:val="20"/>
              </w:rPr>
              <w:t>2.4“接收新服务项与</w:t>
            </w:r>
            <w:r>
              <w:rPr>
                <w:rFonts w:ascii="宋体" w:hAnsi="宋体" w:eastAsia="宋体" w:cs="宋体"/>
                <w:spacing w:val="4"/>
                <w:sz w:val="20"/>
                <w:szCs w:val="20"/>
              </w:rPr>
              <w:t>需求</w:t>
            </w:r>
            <w:r>
              <w:rPr>
                <w:rFonts w:ascii="宋体" w:hAnsi="宋体" w:eastAsia="宋体" w:cs="宋体"/>
                <w:spacing w:val="-46"/>
                <w:sz w:val="20"/>
                <w:szCs w:val="20"/>
              </w:rPr>
              <w:t xml:space="preserve"> </w:t>
            </w:r>
            <w:r>
              <w:rPr>
                <w:rFonts w:ascii="宋体" w:hAnsi="宋体" w:eastAsia="宋体" w:cs="宋体"/>
                <w:spacing w:val="4"/>
                <w:sz w:val="20"/>
                <w:szCs w:val="20"/>
              </w:rPr>
              <w:t>”。</w:t>
            </w:r>
          </w:p>
        </w:tc>
      </w:tr>
      <w:tr w14:paraId="70F4F8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8" w:hRule="atLeast"/>
        </w:trPr>
        <w:tc>
          <w:tcPr>
            <w:tcW w:w="1005" w:type="dxa"/>
            <w:vAlign w:val="top"/>
          </w:tcPr>
          <w:p w14:paraId="534C1E6E">
            <w:pPr>
              <w:spacing w:before="195" w:line="267" w:lineRule="exact"/>
              <w:ind w:left="124"/>
              <w:rPr>
                <w:rFonts w:ascii="宋体" w:hAnsi="宋体" w:eastAsia="宋体" w:cs="宋体"/>
                <w:sz w:val="20"/>
                <w:szCs w:val="20"/>
              </w:rPr>
            </w:pPr>
            <w:r>
              <w:rPr>
                <w:rFonts w:ascii="宋体" w:hAnsi="宋体" w:eastAsia="宋体" w:cs="宋体"/>
                <w:position w:val="1"/>
                <w:sz w:val="20"/>
                <w:szCs w:val="20"/>
              </w:rPr>
              <w:t>2.3</w:t>
            </w:r>
          </w:p>
        </w:tc>
        <w:tc>
          <w:tcPr>
            <w:tcW w:w="1412" w:type="dxa"/>
            <w:vAlign w:val="top"/>
          </w:tcPr>
          <w:p w14:paraId="71AD9780">
            <w:pPr>
              <w:spacing w:before="167" w:line="351" w:lineRule="auto"/>
              <w:ind w:left="108" w:right="260" w:hanging="1"/>
              <w:rPr>
                <w:rFonts w:ascii="宋体" w:hAnsi="宋体" w:eastAsia="宋体" w:cs="宋体"/>
                <w:sz w:val="20"/>
                <w:szCs w:val="20"/>
              </w:rPr>
            </w:pPr>
            <w:r>
              <w:rPr>
                <w:rFonts w:ascii="宋体" w:hAnsi="宋体" w:eastAsia="宋体" w:cs="宋体"/>
                <w:spacing w:val="6"/>
                <w:sz w:val="20"/>
                <w:szCs w:val="20"/>
              </w:rPr>
              <w:t>批准服务目</w:t>
            </w:r>
            <w:r>
              <w:rPr>
                <w:rFonts w:ascii="宋体" w:hAnsi="宋体" w:eastAsia="宋体" w:cs="宋体"/>
                <w:sz w:val="20"/>
                <w:szCs w:val="20"/>
              </w:rPr>
              <w:t>录</w:t>
            </w:r>
          </w:p>
        </w:tc>
        <w:tc>
          <w:tcPr>
            <w:tcW w:w="1698" w:type="dxa"/>
            <w:vAlign w:val="top"/>
          </w:tcPr>
          <w:p w14:paraId="64C5B045">
            <w:pPr>
              <w:spacing w:before="146" w:line="228" w:lineRule="auto"/>
              <w:ind w:left="126"/>
              <w:rPr>
                <w:rFonts w:ascii="宋体" w:hAnsi="宋体" w:eastAsia="宋体" w:cs="宋体"/>
                <w:sz w:val="20"/>
                <w:szCs w:val="20"/>
              </w:rPr>
            </w:pPr>
            <w:r>
              <w:rPr>
                <w:rFonts w:ascii="宋体" w:hAnsi="宋体" w:eastAsia="宋体" w:cs="宋体"/>
                <w:spacing w:val="4"/>
                <w:sz w:val="20"/>
                <w:szCs w:val="20"/>
              </w:rPr>
              <w:t>公司副总经理</w:t>
            </w:r>
          </w:p>
        </w:tc>
        <w:tc>
          <w:tcPr>
            <w:tcW w:w="4980" w:type="dxa"/>
            <w:vAlign w:val="top"/>
          </w:tcPr>
          <w:p w14:paraId="39B5FFF4">
            <w:pPr>
              <w:spacing w:before="147" w:line="227" w:lineRule="auto"/>
              <w:ind w:left="117"/>
              <w:rPr>
                <w:rFonts w:ascii="宋体" w:hAnsi="宋体" w:eastAsia="宋体" w:cs="宋体"/>
                <w:sz w:val="20"/>
                <w:szCs w:val="20"/>
              </w:rPr>
            </w:pPr>
            <w:r>
              <w:rPr>
                <w:rFonts w:ascii="宋体" w:hAnsi="宋体" w:eastAsia="宋体" w:cs="宋体"/>
                <w:spacing w:val="5"/>
                <w:sz w:val="20"/>
                <w:szCs w:val="20"/>
              </w:rPr>
              <w:t>批准服务目录并对外发布。</w:t>
            </w:r>
          </w:p>
        </w:tc>
      </w:tr>
      <w:tr w14:paraId="0C8409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6" w:hRule="atLeast"/>
        </w:trPr>
        <w:tc>
          <w:tcPr>
            <w:tcW w:w="1005" w:type="dxa"/>
            <w:vAlign w:val="top"/>
          </w:tcPr>
          <w:p w14:paraId="3D5818B5">
            <w:pPr>
              <w:spacing w:before="197" w:line="268" w:lineRule="exact"/>
              <w:ind w:left="124"/>
              <w:rPr>
                <w:rFonts w:ascii="宋体" w:hAnsi="宋体" w:eastAsia="宋体" w:cs="宋体"/>
                <w:sz w:val="20"/>
                <w:szCs w:val="20"/>
              </w:rPr>
            </w:pPr>
            <w:r>
              <w:rPr>
                <w:rFonts w:ascii="宋体" w:hAnsi="宋体" w:eastAsia="宋体" w:cs="宋体"/>
                <w:position w:val="1"/>
                <w:sz w:val="20"/>
                <w:szCs w:val="20"/>
              </w:rPr>
              <w:t>2.4</w:t>
            </w:r>
          </w:p>
        </w:tc>
        <w:tc>
          <w:tcPr>
            <w:tcW w:w="1412" w:type="dxa"/>
            <w:vAlign w:val="top"/>
          </w:tcPr>
          <w:p w14:paraId="1F99A3A2">
            <w:pPr>
              <w:spacing w:before="152" w:line="228" w:lineRule="auto"/>
              <w:ind w:left="107"/>
              <w:rPr>
                <w:rFonts w:ascii="宋体" w:hAnsi="宋体" w:eastAsia="宋体" w:cs="宋体"/>
                <w:sz w:val="20"/>
                <w:szCs w:val="20"/>
              </w:rPr>
            </w:pPr>
            <w:r>
              <w:rPr>
                <w:rFonts w:ascii="宋体" w:hAnsi="宋体" w:eastAsia="宋体" w:cs="宋体"/>
                <w:spacing w:val="6"/>
                <w:sz w:val="20"/>
                <w:szCs w:val="20"/>
              </w:rPr>
              <w:t>接受与定义</w:t>
            </w:r>
          </w:p>
          <w:p w14:paraId="0602E371">
            <w:pPr>
              <w:spacing w:before="215" w:line="228" w:lineRule="auto"/>
              <w:ind w:left="108"/>
              <w:rPr>
                <w:rFonts w:ascii="宋体" w:hAnsi="宋体" w:eastAsia="宋体" w:cs="宋体"/>
                <w:sz w:val="20"/>
                <w:szCs w:val="20"/>
              </w:rPr>
            </w:pPr>
            <w:r>
              <w:rPr>
                <w:rFonts w:ascii="宋体" w:hAnsi="宋体" w:eastAsia="宋体" w:cs="宋体"/>
                <w:spacing w:val="6"/>
                <w:sz w:val="20"/>
                <w:szCs w:val="20"/>
              </w:rPr>
              <w:t>服务项和服</w:t>
            </w:r>
          </w:p>
          <w:p w14:paraId="1E8553A0">
            <w:pPr>
              <w:spacing w:before="220" w:line="228" w:lineRule="auto"/>
              <w:ind w:left="112"/>
              <w:rPr>
                <w:rFonts w:ascii="宋体" w:hAnsi="宋体" w:eastAsia="宋体" w:cs="宋体"/>
                <w:sz w:val="20"/>
                <w:szCs w:val="20"/>
              </w:rPr>
            </w:pPr>
            <w:r>
              <w:rPr>
                <w:rFonts w:ascii="宋体" w:hAnsi="宋体" w:eastAsia="宋体" w:cs="宋体"/>
                <w:spacing w:val="6"/>
                <w:sz w:val="20"/>
                <w:szCs w:val="20"/>
              </w:rPr>
              <w:t>务级别需求</w:t>
            </w:r>
          </w:p>
        </w:tc>
        <w:tc>
          <w:tcPr>
            <w:tcW w:w="1698" w:type="dxa"/>
            <w:vAlign w:val="top"/>
          </w:tcPr>
          <w:p w14:paraId="34DD395D">
            <w:pPr>
              <w:spacing w:before="149" w:line="228" w:lineRule="auto"/>
              <w:ind w:left="112"/>
              <w:rPr>
                <w:rFonts w:ascii="宋体" w:hAnsi="宋体" w:eastAsia="宋体" w:cs="宋体"/>
                <w:sz w:val="20"/>
                <w:szCs w:val="20"/>
              </w:rPr>
            </w:pPr>
            <w:r>
              <w:rPr>
                <w:rFonts w:ascii="宋体" w:hAnsi="宋体" w:eastAsia="宋体" w:cs="宋体"/>
                <w:spacing w:val="6"/>
                <w:sz w:val="20"/>
                <w:szCs w:val="20"/>
              </w:rPr>
              <w:t>服务目录负责人</w:t>
            </w:r>
          </w:p>
        </w:tc>
        <w:tc>
          <w:tcPr>
            <w:tcW w:w="4980" w:type="dxa"/>
            <w:vAlign w:val="top"/>
          </w:tcPr>
          <w:p w14:paraId="5CE800EE">
            <w:pPr>
              <w:spacing w:before="149" w:line="228" w:lineRule="auto"/>
              <w:ind w:left="118"/>
              <w:rPr>
                <w:rFonts w:ascii="宋体" w:hAnsi="宋体" w:eastAsia="宋体" w:cs="宋体"/>
                <w:sz w:val="20"/>
                <w:szCs w:val="20"/>
              </w:rPr>
            </w:pPr>
            <w:r>
              <w:rPr>
                <w:rFonts w:ascii="宋体" w:hAnsi="宋体" w:eastAsia="宋体" w:cs="宋体"/>
                <w:spacing w:val="7"/>
                <w:sz w:val="20"/>
                <w:szCs w:val="20"/>
              </w:rPr>
              <w:t>服务目录负责人调整服务目录内容并确认后。</w:t>
            </w:r>
          </w:p>
        </w:tc>
      </w:tr>
      <w:tr w14:paraId="14F0864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9" w:hRule="atLeast"/>
        </w:trPr>
        <w:tc>
          <w:tcPr>
            <w:tcW w:w="1005" w:type="dxa"/>
            <w:vAlign w:val="top"/>
          </w:tcPr>
          <w:p w14:paraId="6A525787">
            <w:pPr>
              <w:spacing w:before="196"/>
              <w:ind w:left="125"/>
              <w:rPr>
                <w:rFonts w:ascii="宋体" w:hAnsi="宋体" w:eastAsia="宋体" w:cs="宋体"/>
                <w:sz w:val="22"/>
                <w:szCs w:val="22"/>
              </w:rPr>
            </w:pPr>
            <w:r>
              <w:rPr>
                <w:rFonts w:ascii="宋体" w:hAnsi="宋体" w:eastAsia="宋体" w:cs="宋体"/>
                <w:spacing w:val="-5"/>
                <w:sz w:val="22"/>
                <w:szCs w:val="22"/>
              </w:rPr>
              <w:t>2.5</w:t>
            </w:r>
          </w:p>
        </w:tc>
        <w:tc>
          <w:tcPr>
            <w:tcW w:w="1412" w:type="dxa"/>
            <w:vAlign w:val="top"/>
          </w:tcPr>
          <w:p w14:paraId="0AAC3648">
            <w:pPr>
              <w:spacing w:before="168" w:line="319" w:lineRule="auto"/>
              <w:ind w:left="109" w:right="212"/>
              <w:rPr>
                <w:rFonts w:ascii="宋体" w:hAnsi="宋体" w:eastAsia="宋体" w:cs="宋体"/>
                <w:sz w:val="22"/>
                <w:szCs w:val="22"/>
              </w:rPr>
            </w:pPr>
            <w:r>
              <w:rPr>
                <w:rFonts w:ascii="宋体" w:hAnsi="宋体" w:eastAsia="宋体" w:cs="宋体"/>
                <w:spacing w:val="-5"/>
                <w:sz w:val="22"/>
                <w:szCs w:val="22"/>
              </w:rPr>
              <w:t>调整服务目</w:t>
            </w:r>
            <w:r>
              <w:rPr>
                <w:rFonts w:ascii="宋体" w:hAnsi="宋体" w:eastAsia="宋体" w:cs="宋体"/>
                <w:sz w:val="22"/>
                <w:szCs w:val="22"/>
              </w:rPr>
              <w:t>录</w:t>
            </w:r>
          </w:p>
        </w:tc>
        <w:tc>
          <w:tcPr>
            <w:tcW w:w="1698" w:type="dxa"/>
            <w:vAlign w:val="top"/>
          </w:tcPr>
          <w:p w14:paraId="158B89DB">
            <w:pPr>
              <w:spacing w:before="168" w:line="319" w:lineRule="auto"/>
              <w:ind w:left="116" w:right="270" w:hanging="1"/>
              <w:rPr>
                <w:rFonts w:ascii="宋体" w:hAnsi="宋体" w:eastAsia="宋体" w:cs="宋体"/>
                <w:sz w:val="22"/>
                <w:szCs w:val="22"/>
              </w:rPr>
            </w:pPr>
            <w:r>
              <w:rPr>
                <w:rFonts w:ascii="宋体" w:hAnsi="宋体" w:eastAsia="宋体" w:cs="宋体"/>
                <w:spacing w:val="-4"/>
                <w:sz w:val="22"/>
                <w:szCs w:val="22"/>
              </w:rPr>
              <w:t>服务目录负责</w:t>
            </w:r>
            <w:r>
              <w:rPr>
                <w:rFonts w:ascii="宋体" w:hAnsi="宋体" w:eastAsia="宋体" w:cs="宋体"/>
                <w:sz w:val="22"/>
                <w:szCs w:val="22"/>
              </w:rPr>
              <w:t>人</w:t>
            </w:r>
          </w:p>
        </w:tc>
        <w:tc>
          <w:tcPr>
            <w:tcW w:w="4980" w:type="dxa"/>
            <w:vAlign w:val="top"/>
          </w:tcPr>
          <w:p w14:paraId="0E3600D3">
            <w:pPr>
              <w:spacing w:before="168" w:line="319" w:lineRule="auto"/>
              <w:ind w:left="118" w:right="126" w:firstLine="8"/>
              <w:rPr>
                <w:rFonts w:ascii="宋体" w:hAnsi="宋体" w:eastAsia="宋体" w:cs="宋体"/>
                <w:sz w:val="22"/>
                <w:szCs w:val="22"/>
              </w:rPr>
            </w:pPr>
            <w:r>
              <w:rPr>
                <w:rFonts w:ascii="宋体" w:hAnsi="宋体" w:eastAsia="宋体" w:cs="宋体"/>
                <w:spacing w:val="-6"/>
                <w:sz w:val="22"/>
                <w:szCs w:val="22"/>
              </w:rPr>
              <w:t>如现有服务目录不能满足新业务和内部管理需求，</w:t>
            </w:r>
            <w:r>
              <w:rPr>
                <w:rFonts w:ascii="宋体" w:hAnsi="宋体" w:eastAsia="宋体" w:cs="宋体"/>
                <w:spacing w:val="-4"/>
                <w:sz w:val="22"/>
                <w:szCs w:val="22"/>
              </w:rPr>
              <w:t>服务级别经理重新定义服务项内容。</w:t>
            </w:r>
          </w:p>
        </w:tc>
      </w:tr>
      <w:tr w14:paraId="4F79DC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3" w:hRule="atLeast"/>
        </w:trPr>
        <w:tc>
          <w:tcPr>
            <w:tcW w:w="1005" w:type="dxa"/>
            <w:vAlign w:val="top"/>
          </w:tcPr>
          <w:p w14:paraId="68ADB392">
            <w:pPr>
              <w:spacing w:before="200"/>
              <w:ind w:left="125"/>
              <w:rPr>
                <w:rFonts w:ascii="宋体" w:hAnsi="宋体" w:eastAsia="宋体" w:cs="宋体"/>
                <w:sz w:val="22"/>
                <w:szCs w:val="22"/>
              </w:rPr>
            </w:pPr>
            <w:r>
              <w:rPr>
                <w:rFonts w:ascii="宋体" w:hAnsi="宋体" w:eastAsia="宋体" w:cs="宋体"/>
                <w:spacing w:val="-5"/>
                <w:sz w:val="22"/>
                <w:szCs w:val="22"/>
              </w:rPr>
              <w:t>2.6</w:t>
            </w:r>
          </w:p>
        </w:tc>
        <w:tc>
          <w:tcPr>
            <w:tcW w:w="1412" w:type="dxa"/>
            <w:vAlign w:val="top"/>
          </w:tcPr>
          <w:p w14:paraId="12C302FD">
            <w:pPr>
              <w:spacing w:before="170" w:line="324" w:lineRule="auto"/>
              <w:ind w:left="107" w:right="209"/>
              <w:rPr>
                <w:rFonts w:ascii="宋体" w:hAnsi="宋体" w:eastAsia="宋体" w:cs="宋体"/>
                <w:sz w:val="22"/>
                <w:szCs w:val="22"/>
              </w:rPr>
            </w:pPr>
            <w:r>
              <w:rPr>
                <w:rFonts w:ascii="宋体" w:hAnsi="宋体" w:eastAsia="宋体" w:cs="宋体"/>
                <w:spacing w:val="-4"/>
                <w:sz w:val="22"/>
                <w:szCs w:val="22"/>
              </w:rPr>
              <w:t>批准调整后</w:t>
            </w:r>
            <w:r>
              <w:rPr>
                <w:rFonts w:ascii="宋体" w:hAnsi="宋体" w:eastAsia="宋体" w:cs="宋体"/>
                <w:spacing w:val="-3"/>
                <w:sz w:val="22"/>
                <w:szCs w:val="22"/>
              </w:rPr>
              <w:t>服务目录</w:t>
            </w:r>
          </w:p>
        </w:tc>
        <w:tc>
          <w:tcPr>
            <w:tcW w:w="1698" w:type="dxa"/>
            <w:vAlign w:val="top"/>
          </w:tcPr>
          <w:p w14:paraId="0D5C797F">
            <w:pPr>
              <w:spacing w:before="150" w:line="220" w:lineRule="auto"/>
              <w:ind w:left="126"/>
              <w:rPr>
                <w:rFonts w:ascii="宋体" w:hAnsi="宋体" w:eastAsia="宋体" w:cs="宋体"/>
                <w:sz w:val="22"/>
                <w:szCs w:val="22"/>
              </w:rPr>
            </w:pPr>
            <w:r>
              <w:rPr>
                <w:rFonts w:ascii="宋体" w:hAnsi="宋体" w:eastAsia="宋体" w:cs="宋体"/>
                <w:spacing w:val="-5"/>
                <w:sz w:val="22"/>
                <w:szCs w:val="22"/>
              </w:rPr>
              <w:t>公司副总经理</w:t>
            </w:r>
          </w:p>
        </w:tc>
        <w:tc>
          <w:tcPr>
            <w:tcW w:w="4980" w:type="dxa"/>
            <w:vAlign w:val="top"/>
          </w:tcPr>
          <w:p w14:paraId="5F479BDC">
            <w:pPr>
              <w:spacing w:before="170" w:line="324" w:lineRule="auto"/>
              <w:ind w:left="122" w:right="258" w:hanging="5"/>
              <w:rPr>
                <w:rFonts w:ascii="宋体" w:hAnsi="宋体" w:eastAsia="宋体" w:cs="宋体"/>
                <w:sz w:val="22"/>
                <w:szCs w:val="22"/>
              </w:rPr>
            </w:pPr>
            <w:r>
              <w:rPr>
                <w:rFonts w:ascii="宋体" w:hAnsi="宋体" w:eastAsia="宋体" w:cs="宋体"/>
                <w:spacing w:val="-2"/>
                <w:sz w:val="22"/>
                <w:szCs w:val="22"/>
              </w:rPr>
              <w:t>批准服务目录，通过变更与发布管理流程进行服</w:t>
            </w:r>
            <w:r>
              <w:rPr>
                <w:rFonts w:ascii="宋体" w:hAnsi="宋体" w:eastAsia="宋体" w:cs="宋体"/>
                <w:spacing w:val="-6"/>
                <w:sz w:val="22"/>
                <w:szCs w:val="22"/>
              </w:rPr>
              <w:t>务目录变更。</w:t>
            </w:r>
          </w:p>
        </w:tc>
      </w:tr>
    </w:tbl>
    <w:p w14:paraId="6CCB3868">
      <w:pPr>
        <w:pStyle w:val="21"/>
        <w:bidi w:val="0"/>
      </w:pPr>
      <w:bookmarkStart w:id="20" w:name="_Toc20733"/>
      <w:r>
        <w:t>服务目录价值</w:t>
      </w:r>
      <w:bookmarkEnd w:id="20"/>
    </w:p>
    <w:p w14:paraId="6C8CD83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组织管理层决策有支撑：服务目录准确描述基于客户需求（客户视角），组织能为客户提供什么样的运维服务，从而围绕服务目录开展相关的人员、资源、技术和过程建设。为组织管理层提供决策支撑。</w:t>
      </w:r>
    </w:p>
    <w:p w14:paraId="77F0E37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运维服务可量化：运维服务作为无形无界的特殊产物，往往很难被衡量价值，所以运维服务通过服务目录的细化，可渐趋产品化，为性能度量提供一准；</w:t>
      </w:r>
    </w:p>
    <w:p w14:paraId="652D5A8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可被客户所识别：运维服务最终的交付对象是客户，所以运维服务通过服务目录（客户视角），能清晰展示组织的服务范围、服务能力、服务时效等，易被客户所理解，认同。作为销售部与客户的沟通工具，以及客户的决策依据；</w:t>
      </w:r>
    </w:p>
    <w:p w14:paraId="494AD58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运维服务等级可区分：运维服务在服务目录中进行细化后，采用不同的服务搭配与组合以及实现不同的服务承诺，让客户可以根据自己的需要去选择适合自己的服务。</w:t>
      </w:r>
    </w:p>
    <w:p w14:paraId="19ED2AFC">
      <w:pPr>
        <w:pStyle w:val="21"/>
        <w:bidi w:val="0"/>
      </w:pPr>
      <w:bookmarkStart w:id="21" w:name="_Toc11556"/>
      <w:r>
        <w:t>与其他过程的关系</w:t>
      </w:r>
      <w:bookmarkEnd w:id="21"/>
    </w:p>
    <w:p w14:paraId="5927FC02">
      <w:pPr>
        <w:pStyle w:val="22"/>
        <w:bidi w:val="0"/>
      </w:pPr>
      <w:bookmarkStart w:id="22" w:name="bookmark28"/>
      <w:bookmarkEnd w:id="22"/>
      <w:bookmarkStart w:id="23" w:name="_Toc22005"/>
      <w:r>
        <w:t>与服务级别管理过程的关系</w:t>
      </w:r>
      <w:bookmarkEnd w:id="23"/>
    </w:p>
    <w:p w14:paraId="358046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在组织中，以同样的方式向所有或大多数客户提供一个标准级别的支持，因此对于大多数用户服务目录成为了实际上的 SLA。只有那些用户需要一个不同的服务等级时将需要有一个 SLA，并且 SLA 只需要定义什么项目不同于标准服务目录。服务目录制定后，将作为服务级别管理的输入。</w:t>
      </w:r>
    </w:p>
    <w:p w14:paraId="39A7C033">
      <w:pPr>
        <w:pStyle w:val="22"/>
        <w:bidi w:val="0"/>
      </w:pPr>
      <w:bookmarkStart w:id="24" w:name="_Toc21285"/>
      <w:r>
        <w:t>与变更与发布管理过程的关系</w:t>
      </w:r>
      <w:bookmarkEnd w:id="24"/>
    </w:p>
    <w:p w14:paraId="282B2FA5">
      <w:pPr>
        <w:spacing w:before="79" w:line="219" w:lineRule="auto"/>
        <w:ind w:left="481"/>
      </w:pPr>
      <w:r>
        <w:rPr>
          <w:rFonts w:ascii="宋体" w:hAnsi="宋体" w:eastAsia="宋体" w:cs="宋体"/>
          <w:spacing w:val="-2"/>
          <w:sz w:val="24"/>
          <w:szCs w:val="24"/>
        </w:rPr>
        <w:t>服务目录在修订后，需经由变更与发布管理流</w:t>
      </w:r>
      <w:r>
        <w:rPr>
          <w:rFonts w:ascii="宋体" w:hAnsi="宋体" w:eastAsia="宋体" w:cs="宋体"/>
          <w:spacing w:val="-3"/>
          <w:sz w:val="24"/>
          <w:szCs w:val="24"/>
        </w:rPr>
        <w:t>程进行重新发布。</w:t>
      </w:r>
    </w:p>
    <w:p w14:paraId="0BE2FAAC">
      <w:pPr>
        <w:pStyle w:val="21"/>
        <w:bidi w:val="0"/>
      </w:pPr>
      <w:bookmarkStart w:id="25" w:name="_Toc9827"/>
      <w:r>
        <w:t>服务目录管理过程持续改进</w:t>
      </w:r>
      <w:bookmarkEnd w:id="25"/>
    </w:p>
    <w:p w14:paraId="004957F7">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36" w:hangingChars="200"/>
        <w:textAlignment w:val="baseline"/>
        <w:rPr>
          <w:rFonts w:ascii="宋体" w:hAnsi="宋体" w:eastAsia="宋体" w:cs="宋体"/>
          <w:sz w:val="24"/>
          <w:szCs w:val="24"/>
        </w:rPr>
      </w:pPr>
      <w:r>
        <w:rPr>
          <w:rFonts w:ascii="宋体" w:hAnsi="宋体" w:eastAsia="宋体" w:cs="宋体"/>
          <w:spacing w:val="-11"/>
          <w:sz w:val="24"/>
          <w:szCs w:val="24"/>
        </w:rPr>
        <w:t>改进的输入：</w:t>
      </w:r>
    </w:p>
    <w:p w14:paraId="50D32176">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1239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1"/>
                    <a:stretch>
                      <a:fillRect/>
                    </a:stretch>
                  </pic:blipFill>
                  <pic:spPr>
                    <a:xfrm>
                      <a:off x="0" y="0"/>
                      <a:ext cx="84158" cy="112776"/>
                    </a:xfrm>
                    <a:prstGeom prst="rect">
                      <a:avLst/>
                    </a:prstGeom>
                  </pic:spPr>
                </pic:pic>
              </a:graphicData>
            </a:graphic>
          </wp:inline>
        </w:drawing>
      </w:r>
      <w:r>
        <w:rPr>
          <w:rFonts w:ascii="宋体" w:hAnsi="宋体" w:eastAsia="宋体" w:cs="宋体"/>
          <w:spacing w:val="25"/>
          <w:sz w:val="24"/>
          <w:szCs w:val="24"/>
        </w:rPr>
        <w:t xml:space="preserve">  </w:t>
      </w:r>
      <w:r>
        <w:rPr>
          <w:rFonts w:ascii="宋体" w:hAnsi="宋体" w:eastAsia="宋体" w:cs="宋体"/>
          <w:spacing w:val="-6"/>
          <w:sz w:val="24"/>
          <w:szCs w:val="24"/>
        </w:rPr>
        <w:t>过程执行中发现的不足；</w:t>
      </w:r>
    </w:p>
    <w:p w14:paraId="6F6BA3A0">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1239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1"/>
                    <a:stretch>
                      <a:fillRect/>
                    </a:stretch>
                  </pic:blipFill>
                  <pic:spPr>
                    <a:xfrm>
                      <a:off x="0" y="0"/>
                      <a:ext cx="84158" cy="112776"/>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6"/>
          <w:sz w:val="24"/>
          <w:szCs w:val="24"/>
        </w:rPr>
        <w:t>过程自检过程中发现的不足；</w:t>
      </w:r>
    </w:p>
    <w:p w14:paraId="7CB1EA33">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95885" cy="10096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2"/>
                    <a:stretch>
                      <a:fillRect/>
                    </a:stretch>
                  </pic:blipFill>
                  <pic:spPr>
                    <a:xfrm>
                      <a:off x="0" y="0"/>
                      <a:ext cx="96181" cy="101498"/>
                    </a:xfrm>
                    <a:prstGeom prst="rect">
                      <a:avLst/>
                    </a:prstGeom>
                  </pic:spPr>
                </pic:pic>
              </a:graphicData>
            </a:graphic>
          </wp:inline>
        </w:drawing>
      </w:r>
      <w:r>
        <w:rPr>
          <w:rFonts w:ascii="宋体" w:hAnsi="宋体" w:eastAsia="宋体" w:cs="宋体"/>
          <w:spacing w:val="42"/>
          <w:sz w:val="24"/>
          <w:szCs w:val="24"/>
        </w:rPr>
        <w:t xml:space="preserve">  </w:t>
      </w:r>
      <w:r>
        <w:rPr>
          <w:rFonts w:ascii="宋体" w:hAnsi="宋体" w:eastAsia="宋体" w:cs="宋体"/>
          <w:spacing w:val="-6"/>
          <w:sz w:val="24"/>
          <w:szCs w:val="24"/>
        </w:rPr>
        <w:t>内部审核及外部审核中，发现的与 ITSS</w:t>
      </w:r>
      <w:r>
        <w:rPr>
          <w:rFonts w:ascii="宋体" w:hAnsi="宋体" w:eastAsia="宋体" w:cs="宋体"/>
          <w:spacing w:val="-48"/>
          <w:sz w:val="24"/>
          <w:szCs w:val="24"/>
        </w:rPr>
        <w:t xml:space="preserve"> </w:t>
      </w:r>
      <w:r>
        <w:rPr>
          <w:rFonts w:ascii="宋体" w:hAnsi="宋体" w:eastAsia="宋体" w:cs="宋体"/>
          <w:spacing w:val="-6"/>
          <w:sz w:val="24"/>
          <w:szCs w:val="24"/>
        </w:rPr>
        <w:t>运维通用要求的不</w:t>
      </w:r>
      <w:r>
        <w:rPr>
          <w:rFonts w:ascii="宋体" w:hAnsi="宋体" w:eastAsia="宋体" w:cs="宋体"/>
          <w:spacing w:val="-7"/>
          <w:sz w:val="24"/>
          <w:szCs w:val="24"/>
        </w:rPr>
        <w:t>符合项；</w:t>
      </w:r>
    </w:p>
    <w:p w14:paraId="39BDE569">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3"/>
                    <a:stretch>
                      <a:fillRect/>
                    </a:stretch>
                  </pic:blipFill>
                  <pic:spPr>
                    <a:xfrm>
                      <a:off x="0" y="0"/>
                      <a:ext cx="84158" cy="108748"/>
                    </a:xfrm>
                    <a:prstGeom prst="rect">
                      <a:avLst/>
                    </a:prstGeom>
                  </pic:spPr>
                </pic:pic>
              </a:graphicData>
            </a:graphic>
          </wp:inline>
        </w:drawing>
      </w:r>
      <w:r>
        <w:rPr>
          <w:rFonts w:ascii="宋体" w:hAnsi="宋体" w:eastAsia="宋体" w:cs="宋体"/>
          <w:spacing w:val="38"/>
          <w:sz w:val="24"/>
          <w:szCs w:val="24"/>
        </w:rPr>
        <w:t xml:space="preserve">  </w:t>
      </w:r>
      <w:r>
        <w:rPr>
          <w:rFonts w:ascii="宋体" w:hAnsi="宋体" w:eastAsia="宋体" w:cs="宋体"/>
          <w:spacing w:val="-4"/>
          <w:sz w:val="24"/>
          <w:szCs w:val="24"/>
        </w:rPr>
        <w:t>管理评审过程中发现的服务/流程改进点。</w:t>
      </w:r>
    </w:p>
    <w:p w14:paraId="119864B2">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36" w:hangingChars="200"/>
        <w:textAlignment w:val="baseline"/>
        <w:rPr>
          <w:rFonts w:ascii="宋体" w:hAnsi="宋体" w:eastAsia="宋体" w:cs="宋体"/>
          <w:sz w:val="24"/>
          <w:szCs w:val="24"/>
        </w:rPr>
      </w:pPr>
      <w:r>
        <w:rPr>
          <w:rFonts w:ascii="宋体" w:hAnsi="宋体" w:eastAsia="宋体" w:cs="宋体"/>
          <w:spacing w:val="-11"/>
          <w:sz w:val="24"/>
          <w:szCs w:val="24"/>
        </w:rPr>
        <w:t>改进方法：</w:t>
      </w:r>
    </w:p>
    <w:p w14:paraId="4A837589">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3"/>
                    <a:stretch>
                      <a:fillRect/>
                    </a:stretch>
                  </pic:blipFill>
                  <pic:spPr>
                    <a:xfrm>
                      <a:off x="0" y="0"/>
                      <a:ext cx="84158" cy="108748"/>
                    </a:xfrm>
                    <a:prstGeom prst="rect">
                      <a:avLst/>
                    </a:prstGeom>
                  </pic:spPr>
                </pic:pic>
              </a:graphicData>
            </a:graphic>
          </wp:inline>
        </w:drawing>
      </w:r>
      <w:r>
        <w:rPr>
          <w:rFonts w:ascii="宋体" w:hAnsi="宋体" w:eastAsia="宋体" w:cs="宋体"/>
          <w:spacing w:val="25"/>
          <w:sz w:val="24"/>
          <w:szCs w:val="24"/>
        </w:rPr>
        <w:t xml:space="preserve">  </w:t>
      </w:r>
      <w:r>
        <w:rPr>
          <w:rFonts w:ascii="宋体" w:hAnsi="宋体" w:eastAsia="宋体" w:cs="宋体"/>
          <w:spacing w:val="-2"/>
          <w:sz w:val="24"/>
          <w:szCs w:val="24"/>
        </w:rPr>
        <w:t>组织过程改进讨论会议，与各方就改进需求、改进目</w:t>
      </w:r>
      <w:r>
        <w:rPr>
          <w:rFonts w:ascii="宋体" w:hAnsi="宋体" w:eastAsia="宋体" w:cs="宋体"/>
          <w:spacing w:val="-3"/>
          <w:sz w:val="24"/>
          <w:szCs w:val="24"/>
        </w:rPr>
        <w:t>标、改进方案沟通讨论；</w:t>
      </w:r>
    </w:p>
    <w:p w14:paraId="0B6A4A5C">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4"/>
                    <a:stretch>
                      <a:fillRect/>
                    </a:stretch>
                  </pic:blipFill>
                  <pic:spPr>
                    <a:xfrm>
                      <a:off x="0" y="0"/>
                      <a:ext cx="84158" cy="108748"/>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5"/>
          <w:sz w:val="24"/>
          <w:szCs w:val="24"/>
        </w:rPr>
        <w:t>服务管理体系负责人审批改进计划；</w:t>
      </w:r>
    </w:p>
    <w:p w14:paraId="05749C85">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14"/>
                    <a:stretch>
                      <a:fillRect/>
                    </a:stretch>
                  </pic:blipFill>
                  <pic:spPr>
                    <a:xfrm>
                      <a:off x="0" y="0"/>
                      <a:ext cx="84158" cy="108748"/>
                    </a:xfrm>
                    <a:prstGeom prst="rect">
                      <a:avLst/>
                    </a:prstGeom>
                  </pic:spPr>
                </pic:pic>
              </a:graphicData>
            </a:graphic>
          </wp:inline>
        </w:drawing>
      </w:r>
      <w:r>
        <w:rPr>
          <w:rFonts w:ascii="宋体" w:hAnsi="宋体" w:eastAsia="宋体" w:cs="宋体"/>
          <w:spacing w:val="30"/>
          <w:sz w:val="24"/>
          <w:szCs w:val="24"/>
        </w:rPr>
        <w:t xml:space="preserve">  </w:t>
      </w:r>
      <w:r>
        <w:rPr>
          <w:rFonts w:ascii="宋体" w:hAnsi="宋体" w:eastAsia="宋体" w:cs="宋体"/>
          <w:spacing w:val="-3"/>
          <w:sz w:val="24"/>
          <w:szCs w:val="24"/>
        </w:rPr>
        <w:t>对服务目录管理改进过程进行监控，对人事和资源做出合理安排；</w:t>
      </w:r>
    </w:p>
    <w:p w14:paraId="5005BC93">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hint="eastAsia" w:ascii="宋体" w:hAnsi="宋体" w:eastAsia="宋体" w:cs="宋体"/>
          <w:spacing w:val="-8"/>
          <w:sz w:val="24"/>
          <w:szCs w:val="24"/>
          <w:lang w:val="en-US" w:eastAsia="zh-CN"/>
        </w:rPr>
      </w:pPr>
      <w:r>
        <w:rPr>
          <w:rFonts w:ascii="宋体" w:hAnsi="宋体" w:eastAsia="宋体" w:cs="宋体"/>
          <w:sz w:val="24"/>
          <w:szCs w:val="24"/>
        </w:rPr>
        <w:drawing>
          <wp:inline distT="0" distB="0" distL="0" distR="0">
            <wp:extent cx="83820" cy="10858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5"/>
                    <a:stretch>
                      <a:fillRect/>
                    </a:stretch>
                  </pic:blipFill>
                  <pic:spPr>
                    <a:xfrm>
                      <a:off x="0" y="0"/>
                      <a:ext cx="84158" cy="108748"/>
                    </a:xfrm>
                    <a:prstGeom prst="rect">
                      <a:avLst/>
                    </a:prstGeom>
                  </pic:spPr>
                </pic:pic>
              </a:graphicData>
            </a:graphic>
          </wp:inline>
        </w:drawing>
      </w:r>
      <w:r>
        <w:rPr>
          <w:rFonts w:ascii="宋体" w:hAnsi="宋体" w:eastAsia="宋体" w:cs="宋体"/>
          <w:spacing w:val="51"/>
          <w:sz w:val="24"/>
          <w:szCs w:val="24"/>
        </w:rPr>
        <w:t xml:space="preserve">  </w:t>
      </w:r>
      <w:r>
        <w:rPr>
          <w:rFonts w:ascii="宋体" w:hAnsi="宋体" w:eastAsia="宋体" w:cs="宋体"/>
          <w:spacing w:val="-8"/>
          <w:sz w:val="24"/>
          <w:szCs w:val="24"/>
        </w:rPr>
        <w:t>向管理体系负责人汇报改进结果</w:t>
      </w:r>
      <w:r>
        <w:rPr>
          <w:rFonts w:hint="eastAsia" w:ascii="宋体" w:hAnsi="宋体" w:eastAsia="宋体" w:cs="宋体"/>
          <w:spacing w:val="-8"/>
          <w:sz w:val="24"/>
          <w:szCs w:val="24"/>
          <w:lang w:eastAsia="zh-CN"/>
        </w:rPr>
        <w:t>；</w:t>
      </w:r>
    </w:p>
    <w:p w14:paraId="40D0F804">
      <w:pPr>
        <w:keepNext w:val="0"/>
        <w:keepLines w:val="0"/>
        <w:pageBreakBefore w:val="0"/>
        <w:widowControl/>
        <w:kinsoku w:val="0"/>
        <w:wordWrap/>
        <w:overflowPunct/>
        <w:topLinePunct w:val="0"/>
        <w:autoSpaceDE w:val="0"/>
        <w:autoSpaceDN w:val="0"/>
        <w:bidi w:val="0"/>
        <w:adjustRightInd w:val="0"/>
        <w:snapToGrid w:val="0"/>
        <w:spacing w:line="360" w:lineRule="auto"/>
        <w:ind w:left="436" w:hanging="480" w:hangingChars="200"/>
        <w:textAlignment w:val="baseline"/>
        <w:rPr>
          <w:rFonts w:ascii="宋体" w:hAnsi="宋体" w:eastAsia="宋体" w:cs="宋体"/>
          <w:sz w:val="24"/>
          <w:szCs w:val="24"/>
        </w:rPr>
      </w:pPr>
      <w:r>
        <w:rPr>
          <w:rFonts w:ascii="宋体" w:hAnsi="宋体" w:eastAsia="宋体" w:cs="宋体"/>
          <w:sz w:val="24"/>
          <w:szCs w:val="24"/>
        </w:rPr>
        <w:drawing>
          <wp:inline distT="0" distB="0" distL="0" distR="0">
            <wp:extent cx="83820" cy="10858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14"/>
                    <a:stretch>
                      <a:fillRect/>
                    </a:stretch>
                  </pic:blipFill>
                  <pic:spPr>
                    <a:xfrm>
                      <a:off x="0" y="0"/>
                      <a:ext cx="84158" cy="108748"/>
                    </a:xfrm>
                    <a:prstGeom prst="rect">
                      <a:avLst/>
                    </a:prstGeom>
                  </pic:spPr>
                </pic:pic>
              </a:graphicData>
            </a:graphic>
          </wp:inline>
        </w:drawing>
      </w:r>
      <w:r>
        <w:rPr>
          <w:rFonts w:ascii="宋体" w:hAnsi="宋体" w:eastAsia="宋体" w:cs="宋体"/>
          <w:spacing w:val="29"/>
          <w:sz w:val="24"/>
          <w:szCs w:val="24"/>
        </w:rPr>
        <w:t xml:space="preserve">  </w:t>
      </w:r>
      <w:r>
        <w:rPr>
          <w:rFonts w:ascii="宋体" w:hAnsi="宋体" w:eastAsia="宋体" w:cs="宋体"/>
          <w:spacing w:val="-1"/>
          <w:sz w:val="24"/>
          <w:szCs w:val="24"/>
        </w:rPr>
        <w:t>根据服务改进结果安排相应的知识转移工作，包括文档的更新发放、培训课程</w:t>
      </w:r>
      <w:r>
        <w:rPr>
          <w:rFonts w:ascii="宋体" w:hAnsi="宋体" w:eastAsia="宋体" w:cs="宋体"/>
          <w:spacing w:val="-13"/>
          <w:sz w:val="24"/>
          <w:szCs w:val="24"/>
        </w:rPr>
        <w:t>的安排等。</w:t>
      </w:r>
    </w:p>
    <w:p w14:paraId="5DA231A6">
      <w:pPr>
        <w:pStyle w:val="21"/>
        <w:bidi w:val="0"/>
      </w:pPr>
      <w:bookmarkStart w:id="26" w:name="_Toc30511"/>
      <w:r>
        <w:t>相关文件与记录</w:t>
      </w:r>
      <w:bookmarkEnd w:id="26"/>
    </w:p>
    <w:p w14:paraId="4251E3BB">
      <w:pPr>
        <w:pStyle w:val="22"/>
        <w:bidi w:val="0"/>
      </w:pPr>
      <w:bookmarkStart w:id="27" w:name="bookmark29"/>
      <w:bookmarkEnd w:id="27"/>
      <w:bookmarkStart w:id="28" w:name="_Toc25704"/>
      <w:r>
        <w:t>记录文件</w:t>
      </w:r>
      <w:bookmarkEnd w:id="28"/>
    </w:p>
    <w:p w14:paraId="0B6A5C77">
      <w:pPr>
        <w:keepNext w:val="0"/>
        <w:keepLines w:val="0"/>
        <w:pageBreakBefore w:val="0"/>
        <w:widowControl/>
        <w:kinsoku w:val="0"/>
        <w:wordWrap/>
        <w:overflowPunct/>
        <w:topLinePunct w:val="0"/>
        <w:autoSpaceDE w:val="0"/>
        <w:autoSpaceDN w:val="0"/>
        <w:bidi w:val="0"/>
        <w:adjustRightInd w:val="0"/>
        <w:snapToGrid w:val="0"/>
        <w:spacing w:line="219" w:lineRule="auto"/>
        <w:ind w:left="0" w:firstLine="464" w:firstLineChars="200"/>
        <w:textAlignment w:val="baseline"/>
        <w:rPr>
          <w:rFonts w:ascii="宋体" w:hAnsi="宋体" w:eastAsia="宋体" w:cs="宋体"/>
          <w:sz w:val="24"/>
          <w:szCs w:val="24"/>
        </w:rPr>
      </w:pPr>
      <w:r>
        <w:rPr>
          <w:rFonts w:ascii="宋体" w:hAnsi="宋体" w:eastAsia="宋体" w:cs="宋体"/>
          <w:spacing w:val="-4"/>
          <w:sz w:val="24"/>
          <w:szCs w:val="24"/>
        </w:rPr>
        <w:t>《运维服务目录》</w:t>
      </w:r>
    </w:p>
    <w:p w14:paraId="5797EAD2">
      <w:pPr>
        <w:keepNext w:val="0"/>
        <w:keepLines w:val="0"/>
        <w:pageBreakBefore w:val="0"/>
        <w:widowControl/>
        <w:kinsoku w:val="0"/>
        <w:wordWrap/>
        <w:overflowPunct/>
        <w:topLinePunct w:val="0"/>
        <w:autoSpaceDE w:val="0"/>
        <w:autoSpaceDN w:val="0"/>
        <w:bidi w:val="0"/>
        <w:adjustRightInd w:val="0"/>
        <w:snapToGrid w:val="0"/>
        <w:spacing w:line="219" w:lineRule="auto"/>
        <w:ind w:left="0" w:firstLine="464" w:firstLineChars="200"/>
        <w:textAlignment w:val="baseline"/>
        <w:rPr>
          <w:rFonts w:ascii="宋体" w:hAnsi="宋体" w:eastAsia="宋体" w:cs="宋体"/>
          <w:sz w:val="24"/>
          <w:szCs w:val="24"/>
        </w:rPr>
      </w:pPr>
      <w:r>
        <w:rPr>
          <w:rFonts w:ascii="宋体" w:hAnsi="宋体" w:eastAsia="宋体" w:cs="宋体"/>
          <w:spacing w:val="-4"/>
          <w:sz w:val="24"/>
          <w:szCs w:val="24"/>
        </w:rPr>
        <w:t>《服务级别协议》</w:t>
      </w:r>
    </w:p>
    <w:p w14:paraId="1685229B">
      <w:pPr>
        <w:keepNext w:val="0"/>
        <w:keepLines w:val="0"/>
        <w:pageBreakBefore w:val="0"/>
        <w:widowControl/>
        <w:kinsoku w:val="0"/>
        <w:wordWrap/>
        <w:overflowPunct/>
        <w:topLinePunct w:val="0"/>
        <w:autoSpaceDE w:val="0"/>
        <w:autoSpaceDN w:val="0"/>
        <w:bidi w:val="0"/>
        <w:adjustRightInd w:val="0"/>
        <w:snapToGrid w:val="0"/>
        <w:spacing w:line="218" w:lineRule="auto"/>
        <w:ind w:left="0" w:firstLine="464" w:firstLineChars="200"/>
        <w:textAlignment w:val="baseline"/>
        <w:rPr>
          <w:rFonts w:ascii="宋体" w:hAnsi="宋体" w:eastAsia="宋体" w:cs="宋体"/>
          <w:sz w:val="24"/>
          <w:szCs w:val="24"/>
        </w:rPr>
      </w:pPr>
      <w:r>
        <w:rPr>
          <w:rFonts w:ascii="宋体" w:hAnsi="宋体" w:eastAsia="宋体" w:cs="宋体"/>
          <w:spacing w:val="-4"/>
          <w:sz w:val="24"/>
          <w:szCs w:val="24"/>
        </w:rPr>
        <w:t>《运维服务报告》</w:t>
      </w:r>
    </w:p>
    <w:sectPr>
      <w:footerReference r:id="rId7" w:type="default"/>
      <w:pgSz w:w="11906" w:h="16840"/>
      <w:pgMar w:top="1431" w:right="1785" w:bottom="1144" w:left="1645" w:header="0" w:footer="97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0625F2">
    <w:pPr>
      <w:spacing w:line="169" w:lineRule="auto"/>
      <w:ind w:left="4450"/>
      <w:rPr>
        <w:rFonts w:ascii="Calibri" w:hAnsi="Calibri" w:eastAsia="Calibri" w:cs="Calibri"/>
        <w:sz w:val="18"/>
        <w:szCs w:val="18"/>
      </w:rPr>
    </w:pPr>
    <w:r>
      <w:rPr>
        <w:rFonts w:ascii="Calibri" w:hAnsi="Calibri" w:eastAsia="Calibri" w:cs="Calibri"/>
        <w:sz w:val="18"/>
        <w:szCs w:val="18"/>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8BDAD1">
    <w:pPr>
      <w:spacing w:line="169" w:lineRule="auto"/>
      <w:ind w:left="4545"/>
      <w:rPr>
        <w:rFonts w:ascii="Calibri" w:hAnsi="Calibri" w:eastAsia="Calibri" w:cs="Calibri"/>
        <w:sz w:val="18"/>
        <w:szCs w:val="18"/>
      </w:rPr>
    </w:pPr>
    <w:r>
      <w:rPr>
        <w:rFonts w:ascii="Calibri" w:hAnsi="Calibri" w:eastAsia="Calibri" w:cs="Calibri"/>
        <w:sz w:val="18"/>
        <w:szCs w:val="18"/>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4F2129">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E0D84F"/>
    <w:multiLevelType w:val="multilevel"/>
    <w:tmpl w:val="E8E0D84F"/>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tabs>
          <w:tab w:val="left" w:pos="420"/>
        </w:tabs>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EB7E60"/>
    <w:rsid w:val="01E7687A"/>
    <w:rsid w:val="02D432A2"/>
    <w:rsid w:val="03E42E9A"/>
    <w:rsid w:val="06184D36"/>
    <w:rsid w:val="065D710A"/>
    <w:rsid w:val="0696086E"/>
    <w:rsid w:val="07593D76"/>
    <w:rsid w:val="079923C4"/>
    <w:rsid w:val="08061E89"/>
    <w:rsid w:val="093F6F9B"/>
    <w:rsid w:val="09970B85"/>
    <w:rsid w:val="0A3B59B5"/>
    <w:rsid w:val="0C171DEF"/>
    <w:rsid w:val="0C992E66"/>
    <w:rsid w:val="0CB97065"/>
    <w:rsid w:val="0D0E5602"/>
    <w:rsid w:val="0D464D9C"/>
    <w:rsid w:val="0D5A25F6"/>
    <w:rsid w:val="0D6C40D7"/>
    <w:rsid w:val="0EE4486D"/>
    <w:rsid w:val="0F1F58A5"/>
    <w:rsid w:val="10BE2E9B"/>
    <w:rsid w:val="12A02444"/>
    <w:rsid w:val="13C07028"/>
    <w:rsid w:val="143D5130"/>
    <w:rsid w:val="14CB3DD9"/>
    <w:rsid w:val="1542409B"/>
    <w:rsid w:val="1776002C"/>
    <w:rsid w:val="18B828C6"/>
    <w:rsid w:val="18F57676"/>
    <w:rsid w:val="19D90D46"/>
    <w:rsid w:val="1A562397"/>
    <w:rsid w:val="1A8B2040"/>
    <w:rsid w:val="1B260F16"/>
    <w:rsid w:val="1B3721C8"/>
    <w:rsid w:val="1B4D4249"/>
    <w:rsid w:val="1B972C67"/>
    <w:rsid w:val="1BDE2644"/>
    <w:rsid w:val="1C56667E"/>
    <w:rsid w:val="1C9D42AD"/>
    <w:rsid w:val="1D7768AC"/>
    <w:rsid w:val="1D8B05A9"/>
    <w:rsid w:val="1DB304E7"/>
    <w:rsid w:val="1DD04C16"/>
    <w:rsid w:val="1E342337"/>
    <w:rsid w:val="1E854FF8"/>
    <w:rsid w:val="1F552C1D"/>
    <w:rsid w:val="20EE157B"/>
    <w:rsid w:val="225B2C40"/>
    <w:rsid w:val="227E5313"/>
    <w:rsid w:val="23C6233B"/>
    <w:rsid w:val="244760E7"/>
    <w:rsid w:val="25DC7BF4"/>
    <w:rsid w:val="26DB60FD"/>
    <w:rsid w:val="29DF4157"/>
    <w:rsid w:val="2ACB46DB"/>
    <w:rsid w:val="2ADE440E"/>
    <w:rsid w:val="2C0C0B07"/>
    <w:rsid w:val="2D8172D3"/>
    <w:rsid w:val="3186135C"/>
    <w:rsid w:val="333472C1"/>
    <w:rsid w:val="34CA77B1"/>
    <w:rsid w:val="3639699D"/>
    <w:rsid w:val="36527A5E"/>
    <w:rsid w:val="36F32FEF"/>
    <w:rsid w:val="393F42CA"/>
    <w:rsid w:val="3A151659"/>
    <w:rsid w:val="3AF31662"/>
    <w:rsid w:val="3D617264"/>
    <w:rsid w:val="3DD84CED"/>
    <w:rsid w:val="3EC60FE9"/>
    <w:rsid w:val="3F051B12"/>
    <w:rsid w:val="3FE931E1"/>
    <w:rsid w:val="407F58F4"/>
    <w:rsid w:val="40DE261A"/>
    <w:rsid w:val="4148218A"/>
    <w:rsid w:val="41536D89"/>
    <w:rsid w:val="415B2A37"/>
    <w:rsid w:val="419158DF"/>
    <w:rsid w:val="41943621"/>
    <w:rsid w:val="42A87384"/>
    <w:rsid w:val="43503578"/>
    <w:rsid w:val="43A55856"/>
    <w:rsid w:val="451A3E3D"/>
    <w:rsid w:val="45B95404"/>
    <w:rsid w:val="46774EA5"/>
    <w:rsid w:val="47013507"/>
    <w:rsid w:val="471A0124"/>
    <w:rsid w:val="480D4D62"/>
    <w:rsid w:val="489E5A83"/>
    <w:rsid w:val="49562880"/>
    <w:rsid w:val="4BD50ABE"/>
    <w:rsid w:val="4C4D68A6"/>
    <w:rsid w:val="4CEA67EB"/>
    <w:rsid w:val="4D2F0C57"/>
    <w:rsid w:val="4D812CAB"/>
    <w:rsid w:val="4DCB3F26"/>
    <w:rsid w:val="4E5A0E12"/>
    <w:rsid w:val="4E6116C1"/>
    <w:rsid w:val="4F11005F"/>
    <w:rsid w:val="504968C3"/>
    <w:rsid w:val="50881FD3"/>
    <w:rsid w:val="513A1AEF"/>
    <w:rsid w:val="5144296E"/>
    <w:rsid w:val="51932FAD"/>
    <w:rsid w:val="51F24D8E"/>
    <w:rsid w:val="520D1996"/>
    <w:rsid w:val="53312A7E"/>
    <w:rsid w:val="5415239F"/>
    <w:rsid w:val="546D21DB"/>
    <w:rsid w:val="54D538DD"/>
    <w:rsid w:val="554923E8"/>
    <w:rsid w:val="55524F2D"/>
    <w:rsid w:val="569E667C"/>
    <w:rsid w:val="57B329C5"/>
    <w:rsid w:val="58F76517"/>
    <w:rsid w:val="59ED3476"/>
    <w:rsid w:val="5B5F2152"/>
    <w:rsid w:val="5B8B6CF3"/>
    <w:rsid w:val="5CD6186D"/>
    <w:rsid w:val="5DA12EF6"/>
    <w:rsid w:val="5E993BCD"/>
    <w:rsid w:val="5EF86B45"/>
    <w:rsid w:val="5F3C5F70"/>
    <w:rsid w:val="5F4B136B"/>
    <w:rsid w:val="5FBA3DFB"/>
    <w:rsid w:val="5FFC2665"/>
    <w:rsid w:val="60003F04"/>
    <w:rsid w:val="60787F3E"/>
    <w:rsid w:val="60C82547"/>
    <w:rsid w:val="6125657E"/>
    <w:rsid w:val="61C947C9"/>
    <w:rsid w:val="633D721D"/>
    <w:rsid w:val="647B07F4"/>
    <w:rsid w:val="64BB489D"/>
    <w:rsid w:val="64E060B2"/>
    <w:rsid w:val="65B25CA0"/>
    <w:rsid w:val="67AE693B"/>
    <w:rsid w:val="67C25F42"/>
    <w:rsid w:val="687C4343"/>
    <w:rsid w:val="6A274783"/>
    <w:rsid w:val="6A535578"/>
    <w:rsid w:val="6AA95198"/>
    <w:rsid w:val="6BF1329A"/>
    <w:rsid w:val="6FB6638D"/>
    <w:rsid w:val="70EC0B68"/>
    <w:rsid w:val="726E4074"/>
    <w:rsid w:val="7318735E"/>
    <w:rsid w:val="73221F8B"/>
    <w:rsid w:val="73A6496A"/>
    <w:rsid w:val="749869A9"/>
    <w:rsid w:val="78FF6FF6"/>
    <w:rsid w:val="7A85177D"/>
    <w:rsid w:val="7B073F40"/>
    <w:rsid w:val="7BF2699E"/>
    <w:rsid w:val="7C23124E"/>
    <w:rsid w:val="7CA83501"/>
    <w:rsid w:val="7CBC59EA"/>
    <w:rsid w:val="7D4274B2"/>
    <w:rsid w:val="7F2B2374"/>
    <w:rsid w:val="7F3B68AE"/>
    <w:rsid w:val="7F8420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8">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footer"/>
    <w:basedOn w:val="1"/>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rPr>
      <w:rFonts w:ascii="Arial" w:hAnsi="Arial" w:eastAsia="Microsoft JhengHei"/>
      <w:sz w:val="24"/>
    </w:rPr>
  </w:style>
  <w:style w:type="paragraph" w:styleId="16">
    <w:name w:val="toc 2"/>
    <w:basedOn w:val="1"/>
    <w:next w:val="1"/>
    <w:qFormat/>
    <w:uiPriority w:val="0"/>
    <w:pPr>
      <w:ind w:left="420" w:leftChars="200"/>
    </w:pPr>
  </w:style>
  <w:style w:type="table" w:customStyle="1" w:styleId="19">
    <w:name w:val="Table Normal"/>
    <w:semiHidden/>
    <w:unhideWhenUsed/>
    <w:qFormat/>
    <w:uiPriority w:val="0"/>
    <w:tblPr>
      <w:tblCellMar>
        <w:top w:w="0" w:type="dxa"/>
        <w:left w:w="0" w:type="dxa"/>
        <w:bottom w:w="0" w:type="dxa"/>
        <w:right w:w="0" w:type="dxa"/>
      </w:tblCellMar>
    </w:tblPr>
  </w:style>
  <w:style w:type="paragraph" w:customStyle="1" w:styleId="20">
    <w:name w:val="Table Text"/>
    <w:basedOn w:val="1"/>
    <w:semiHidden/>
    <w:qFormat/>
    <w:uiPriority w:val="0"/>
    <w:rPr>
      <w:rFonts w:ascii="宋体" w:hAnsi="宋体" w:eastAsia="宋体" w:cs="宋体"/>
      <w:sz w:val="21"/>
      <w:szCs w:val="21"/>
      <w:lang w:val="en-US" w:eastAsia="en-US" w:bidi="ar-SA"/>
    </w:rPr>
  </w:style>
  <w:style w:type="paragraph" w:customStyle="1" w:styleId="21">
    <w:name w:val="柴_标题1"/>
    <w:basedOn w:val="2"/>
    <w:next w:val="1"/>
    <w:qFormat/>
    <w:uiPriority w:val="0"/>
    <w:pPr>
      <w:spacing w:before="100" w:after="90" w:line="360" w:lineRule="auto"/>
    </w:pPr>
    <w:rPr>
      <w:rFonts w:ascii="Arial" w:hAnsi="Arial" w:eastAsia="宋体"/>
      <w:sz w:val="32"/>
    </w:rPr>
  </w:style>
  <w:style w:type="paragraph" w:customStyle="1" w:styleId="22">
    <w:name w:val="柴_标题2"/>
    <w:basedOn w:val="3"/>
    <w:next w:val="1"/>
    <w:qFormat/>
    <w:uiPriority w:val="0"/>
    <w:pPr>
      <w:spacing w:line="360" w:lineRule="auto"/>
    </w:pPr>
    <w:rPr>
      <w:rFonts w:ascii="Arial" w:hAnsi="Arial" w:eastAsia="宋体"/>
      <w:sz w:val="28"/>
    </w:rPr>
  </w:style>
  <w:style w:type="paragraph" w:customStyle="1" w:styleId="23">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4">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3367</Words>
  <Characters>3535</Characters>
  <TotalTime>1</TotalTime>
  <ScaleCrop>false</ScaleCrop>
  <LinksUpToDate>false</LinksUpToDate>
  <CharactersWithSpaces>3696</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2025-08-17T23:52:00Z</dcterms:created>
  <dc:creator>zhangmingzhao</dc:creator>
  <cp:lastModifiedBy>郝宇</cp:lastModifiedBy>
  <dcterms:modified xsi:type="dcterms:W3CDTF">2025-08-24T05:14:21Z</dcterms:modified>
  <dc:title>信息知识库</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2025-08-20T14:52:32Z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2F73AB647509423ABBA1533DAF412971_12</vt:lpwstr>
  </property>
</Properties>
</file>