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2867B0">
      <w:pPr>
        <w:bidi w:val="0"/>
        <w:spacing w:line="360" w:lineRule="auto"/>
        <w:jc w:val="center"/>
        <w:rPr>
          <w:rFonts w:hint="eastAsia" w:cs="宋体"/>
          <w:b/>
          <w:sz w:val="44"/>
          <w:szCs w:val="44"/>
        </w:rPr>
      </w:pPr>
    </w:p>
    <w:p w14:paraId="3C780580">
      <w:pPr>
        <w:spacing w:before="169" w:line="220" w:lineRule="auto"/>
        <w:ind w:left="2107"/>
        <w:outlineLvl w:val="0"/>
        <w:rPr>
          <w:rFonts w:hint="default" w:ascii="宋体" w:hAnsi="宋体" w:eastAsia="宋体" w:cs="宋体"/>
          <w:sz w:val="52"/>
          <w:szCs w:val="52"/>
          <w:lang w:val="en-US" w:eastAsia="zh-CN"/>
        </w:rPr>
      </w:pPr>
      <w:bookmarkStart w:id="0" w:name="_Toc14627"/>
      <w:r>
        <w:rPr>
          <w:rFonts w:hint="eastAsia" w:ascii="宋体" w:hAnsi="宋体" w:cs="宋体"/>
          <w:b/>
          <w:bCs/>
          <w:spacing w:val="-8"/>
          <w:sz w:val="52"/>
          <w:szCs w:val="52"/>
          <w:lang w:val="en-US" w:eastAsia="zh-CN"/>
        </w:rPr>
        <w:t>风险评估</w:t>
      </w:r>
      <w:r>
        <w:rPr>
          <w:rFonts w:hint="eastAsia" w:ascii="宋体" w:hAnsi="宋体" w:eastAsia="宋体" w:cs="宋体"/>
          <w:b/>
          <w:bCs/>
          <w:spacing w:val="-8"/>
          <w:sz w:val="52"/>
          <w:szCs w:val="52"/>
          <w:lang w:val="en-US" w:eastAsia="zh-CN"/>
        </w:rPr>
        <w:t>管理制度</w:t>
      </w:r>
      <w:bookmarkEnd w:id="0"/>
    </w:p>
    <w:p w14:paraId="5D8126D3">
      <w:pPr>
        <w:pStyle w:val="7"/>
        <w:spacing w:line="259" w:lineRule="auto"/>
      </w:pPr>
    </w:p>
    <w:p w14:paraId="665B12ED">
      <w:pPr>
        <w:pStyle w:val="7"/>
        <w:spacing w:line="259" w:lineRule="auto"/>
      </w:pPr>
    </w:p>
    <w:p w14:paraId="5B5E765B">
      <w:pPr>
        <w:pStyle w:val="7"/>
        <w:spacing w:line="259" w:lineRule="auto"/>
      </w:pPr>
    </w:p>
    <w:p w14:paraId="6327B96C">
      <w:pPr>
        <w:pStyle w:val="7"/>
        <w:spacing w:line="259" w:lineRule="auto"/>
      </w:pPr>
    </w:p>
    <w:p w14:paraId="733EC343">
      <w:pPr>
        <w:pStyle w:val="7"/>
        <w:spacing w:line="259" w:lineRule="auto"/>
      </w:pPr>
    </w:p>
    <w:p w14:paraId="18C81BAA">
      <w:pPr>
        <w:pStyle w:val="7"/>
        <w:spacing w:line="260" w:lineRule="auto"/>
      </w:pPr>
    </w:p>
    <w:p w14:paraId="15899F36">
      <w:pPr>
        <w:pStyle w:val="7"/>
        <w:spacing w:line="260" w:lineRule="auto"/>
      </w:pPr>
    </w:p>
    <w:p w14:paraId="56ABFDE0">
      <w:pPr>
        <w:pStyle w:val="7"/>
        <w:spacing w:line="260" w:lineRule="auto"/>
      </w:pPr>
    </w:p>
    <w:p w14:paraId="5D4CFE38">
      <w:pPr>
        <w:spacing w:line="1293" w:lineRule="exact"/>
        <w:ind w:firstLine="1991"/>
      </w:pPr>
      <w:r>
        <w:rPr>
          <w:position w:val="-25"/>
        </w:rPr>
        <w:drawing>
          <wp:inline distT="0" distB="0" distL="114300" distR="114300">
            <wp:extent cx="2757170" cy="820420"/>
            <wp:effectExtent l="0" t="0" r="1270" b="2540"/>
            <wp:docPr id="19" name="图片 2"/>
            <wp:cNvGraphicFramePr/>
            <a:graphic xmlns:a="http://schemas.openxmlformats.org/drawingml/2006/main">
              <a:graphicData uri="http://schemas.openxmlformats.org/drawingml/2006/picture">
                <pic:pic xmlns:pic="http://schemas.openxmlformats.org/drawingml/2006/picture">
                  <pic:nvPicPr>
                    <pic:cNvPr id="19" name="图片 2"/>
                    <pic:cNvPicPr/>
                  </pic:nvPicPr>
                  <pic:blipFill>
                    <a:blip r:embed="rId6"/>
                    <a:stretch>
                      <a:fillRect/>
                    </a:stretch>
                  </pic:blipFill>
                  <pic:spPr>
                    <a:xfrm>
                      <a:off x="0" y="0"/>
                      <a:ext cx="2757170" cy="820420"/>
                    </a:xfrm>
                    <a:prstGeom prst="rect">
                      <a:avLst/>
                    </a:prstGeom>
                    <a:noFill/>
                    <a:ln>
                      <a:noFill/>
                    </a:ln>
                  </pic:spPr>
                </pic:pic>
              </a:graphicData>
            </a:graphic>
          </wp:inline>
        </w:drawing>
      </w:r>
    </w:p>
    <w:p w14:paraId="300C7354">
      <w:pPr>
        <w:pStyle w:val="7"/>
        <w:spacing w:line="245" w:lineRule="auto"/>
      </w:pPr>
    </w:p>
    <w:p w14:paraId="2CC3886D">
      <w:pPr>
        <w:pStyle w:val="7"/>
        <w:spacing w:line="245" w:lineRule="auto"/>
      </w:pPr>
    </w:p>
    <w:p w14:paraId="64125897">
      <w:pPr>
        <w:pStyle w:val="7"/>
        <w:spacing w:line="245" w:lineRule="auto"/>
      </w:pPr>
    </w:p>
    <w:p w14:paraId="6A151E43">
      <w:pPr>
        <w:pStyle w:val="7"/>
        <w:spacing w:line="245" w:lineRule="auto"/>
      </w:pPr>
    </w:p>
    <w:p w14:paraId="4CA81740">
      <w:pPr>
        <w:pStyle w:val="7"/>
        <w:spacing w:line="245" w:lineRule="auto"/>
      </w:pPr>
    </w:p>
    <w:p w14:paraId="2E48A3FE">
      <w:pPr>
        <w:pStyle w:val="7"/>
        <w:spacing w:line="245" w:lineRule="auto"/>
      </w:pPr>
    </w:p>
    <w:p w14:paraId="6639787E">
      <w:pPr>
        <w:pStyle w:val="7"/>
        <w:spacing w:line="245" w:lineRule="auto"/>
      </w:pPr>
    </w:p>
    <w:p w14:paraId="6704898A">
      <w:pPr>
        <w:pStyle w:val="7"/>
        <w:spacing w:line="245" w:lineRule="auto"/>
      </w:pPr>
    </w:p>
    <w:p w14:paraId="2963F987">
      <w:pPr>
        <w:pStyle w:val="7"/>
        <w:spacing w:line="245" w:lineRule="auto"/>
      </w:pPr>
    </w:p>
    <w:p w14:paraId="2DA4B572">
      <w:pPr>
        <w:pStyle w:val="7"/>
        <w:spacing w:line="245" w:lineRule="auto"/>
      </w:pPr>
    </w:p>
    <w:p w14:paraId="7BE8A0FC">
      <w:pPr>
        <w:pStyle w:val="7"/>
        <w:spacing w:line="245" w:lineRule="auto"/>
      </w:pPr>
    </w:p>
    <w:p w14:paraId="308503DE">
      <w:pPr>
        <w:pStyle w:val="7"/>
        <w:spacing w:line="245" w:lineRule="auto"/>
      </w:pPr>
    </w:p>
    <w:p w14:paraId="2D88B1D5">
      <w:pPr>
        <w:pStyle w:val="7"/>
        <w:spacing w:line="246" w:lineRule="auto"/>
      </w:pPr>
    </w:p>
    <w:p w14:paraId="3C145076">
      <w:pPr>
        <w:pStyle w:val="7"/>
        <w:spacing w:line="246" w:lineRule="auto"/>
      </w:pPr>
    </w:p>
    <w:p w14:paraId="26E18CA6">
      <w:pPr>
        <w:pStyle w:val="7"/>
        <w:spacing w:line="246" w:lineRule="auto"/>
      </w:pPr>
    </w:p>
    <w:p w14:paraId="04EC18DD">
      <w:pPr>
        <w:pStyle w:val="7"/>
        <w:spacing w:line="246" w:lineRule="auto"/>
      </w:pPr>
    </w:p>
    <w:p w14:paraId="70F84921">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599A68D6">
      <w:pPr>
        <w:spacing w:before="275"/>
        <w:ind w:left="3285"/>
        <w:rPr>
          <w:rFonts w:ascii="宋体" w:hAnsi="宋体" w:eastAsia="宋体" w:cs="宋体"/>
          <w:sz w:val="36"/>
          <w:szCs w:val="36"/>
        </w:rPr>
      </w:pPr>
      <w:r>
        <w:rPr>
          <w:rFonts w:ascii="宋体" w:hAnsi="宋体" w:eastAsia="宋体" w:cs="宋体"/>
          <w:spacing w:val="-2"/>
          <w:sz w:val="36"/>
          <w:szCs w:val="36"/>
        </w:rPr>
        <w:t>202</w:t>
      </w:r>
      <w:r>
        <w:rPr>
          <w:rFonts w:hint="eastAsia" w:ascii="宋体" w:hAnsi="宋体" w:cs="宋体"/>
          <w:spacing w:val="-2"/>
          <w:sz w:val="36"/>
          <w:szCs w:val="36"/>
          <w:lang w:val="en-US" w:eastAsia="zh-CN"/>
        </w:rPr>
        <w:t>5</w:t>
      </w:r>
      <w:r>
        <w:rPr>
          <w:rFonts w:ascii="宋体" w:hAnsi="宋体" w:eastAsia="宋体" w:cs="宋体"/>
          <w:spacing w:val="-2"/>
          <w:sz w:val="36"/>
          <w:szCs w:val="36"/>
        </w:rPr>
        <w:t>-01-04</w:t>
      </w:r>
    </w:p>
    <w:p w14:paraId="63C2DC4E">
      <w:pPr>
        <w:rPr>
          <w:rFonts w:ascii="宋体" w:hAnsi="宋体" w:eastAsia="宋体" w:cs="宋体"/>
          <w:sz w:val="36"/>
          <w:szCs w:val="36"/>
        </w:rPr>
        <w:sectPr>
          <w:pgSz w:w="11906" w:h="16839"/>
          <w:pgMar w:top="1431" w:right="1785" w:bottom="0" w:left="1785" w:header="0" w:footer="0" w:gutter="0"/>
          <w:cols w:space="720" w:num="1"/>
        </w:sectPr>
      </w:pPr>
    </w:p>
    <w:p w14:paraId="7C258205">
      <w:pPr>
        <w:pStyle w:val="7"/>
        <w:spacing w:line="258" w:lineRule="auto"/>
      </w:pPr>
    </w:p>
    <w:p w14:paraId="1BBAEE4A">
      <w:pPr>
        <w:spacing w:before="69" w:line="220" w:lineRule="auto"/>
        <w:ind w:left="3954"/>
        <w:outlineLvl w:val="0"/>
        <w:rPr>
          <w:rFonts w:ascii="宋体" w:hAnsi="宋体" w:eastAsia="宋体" w:cs="宋体"/>
          <w:sz w:val="21"/>
          <w:szCs w:val="21"/>
        </w:rPr>
      </w:pPr>
      <w:bookmarkStart w:id="1" w:name="_Toc1768"/>
      <w:r>
        <w:rPr>
          <w:rFonts w:ascii="宋体" w:hAnsi="宋体" w:eastAsia="宋体" w:cs="宋体"/>
          <w:spacing w:val="-2"/>
          <w:sz w:val="21"/>
          <w:szCs w:val="21"/>
        </w:rPr>
        <w:t>文档信息</w:t>
      </w:r>
      <w:bookmarkEnd w:id="1"/>
    </w:p>
    <w:p w14:paraId="06F57E10">
      <w:pPr>
        <w:spacing w:line="16" w:lineRule="exact"/>
      </w:pPr>
    </w:p>
    <w:tbl>
      <w:tblPr>
        <w:tblStyle w:val="21"/>
        <w:tblW w:w="842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5"/>
        <w:gridCol w:w="1840"/>
        <w:gridCol w:w="1680"/>
        <w:gridCol w:w="1646"/>
      </w:tblGrid>
      <w:tr w14:paraId="4293BD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noWrap w:val="0"/>
            <w:vAlign w:val="top"/>
          </w:tcPr>
          <w:p w14:paraId="3BD8B9C3">
            <w:pPr>
              <w:pStyle w:val="22"/>
              <w:spacing w:before="199" w:line="220" w:lineRule="auto"/>
              <w:ind w:left="225"/>
            </w:pPr>
            <w:r>
              <w:rPr>
                <w:spacing w:val="-2"/>
              </w:rPr>
              <w:t>文档名称编号</w:t>
            </w:r>
          </w:p>
        </w:tc>
        <w:tc>
          <w:tcPr>
            <w:tcW w:w="6721" w:type="dxa"/>
            <w:gridSpan w:val="4"/>
            <w:noWrap w:val="0"/>
            <w:vAlign w:val="top"/>
          </w:tcPr>
          <w:p w14:paraId="5D353774">
            <w:pPr>
              <w:pStyle w:val="22"/>
              <w:spacing w:before="200" w:line="218" w:lineRule="auto"/>
              <w:ind w:left="108"/>
            </w:pPr>
            <w:r>
              <w:rPr>
                <w:rFonts w:hint="eastAsia" w:eastAsia="宋体"/>
                <w:spacing w:val="-1"/>
                <w:lang w:val="en-US" w:eastAsia="zh-CN"/>
              </w:rPr>
              <w:t>风险评估管理制度</w:t>
            </w:r>
            <w:r>
              <w:rPr>
                <w:spacing w:val="-1"/>
              </w:rPr>
              <w:t>（HHLC-ITSS-</w:t>
            </w:r>
            <w:r>
              <w:rPr>
                <w:rFonts w:hint="eastAsia"/>
                <w:spacing w:val="-1"/>
                <w:lang w:val="en-US" w:eastAsia="zh-CN"/>
              </w:rPr>
              <w:t>FXPGGL</w:t>
            </w:r>
            <w:r>
              <w:rPr>
                <w:spacing w:val="-1"/>
              </w:rPr>
              <w:t>）</w:t>
            </w:r>
          </w:p>
        </w:tc>
      </w:tr>
      <w:tr w14:paraId="22E460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noWrap w:val="0"/>
            <w:vAlign w:val="top"/>
          </w:tcPr>
          <w:p w14:paraId="1BD65E33">
            <w:pPr>
              <w:pStyle w:val="22"/>
              <w:spacing w:before="196" w:line="220" w:lineRule="auto"/>
              <w:ind w:left="435"/>
            </w:pPr>
            <w:r>
              <w:rPr>
                <w:spacing w:val="-2"/>
              </w:rPr>
              <w:t>编制单位</w:t>
            </w:r>
          </w:p>
        </w:tc>
        <w:tc>
          <w:tcPr>
            <w:tcW w:w="6721" w:type="dxa"/>
            <w:gridSpan w:val="4"/>
            <w:noWrap w:val="0"/>
            <w:vAlign w:val="top"/>
          </w:tcPr>
          <w:p w14:paraId="6B38C463">
            <w:pPr>
              <w:pStyle w:val="22"/>
              <w:spacing w:before="197" w:line="219" w:lineRule="auto"/>
              <w:ind w:left="108"/>
            </w:pPr>
            <w:r>
              <w:rPr>
                <w:spacing w:val="-1"/>
              </w:rPr>
              <w:t>青岛慧海联创信息技术有限公司</w:t>
            </w:r>
          </w:p>
        </w:tc>
      </w:tr>
      <w:tr w14:paraId="074E1B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noWrap w:val="0"/>
            <w:vAlign w:val="top"/>
          </w:tcPr>
          <w:p w14:paraId="7D87E97C">
            <w:pPr>
              <w:pStyle w:val="22"/>
              <w:spacing w:before="199" w:line="219" w:lineRule="auto"/>
              <w:ind w:left="435"/>
            </w:pPr>
            <w:r>
              <w:rPr>
                <w:spacing w:val="-2"/>
              </w:rPr>
              <w:t>文档版本</w:t>
            </w:r>
          </w:p>
        </w:tc>
        <w:tc>
          <w:tcPr>
            <w:tcW w:w="1555" w:type="dxa"/>
            <w:noWrap w:val="0"/>
            <w:vAlign w:val="top"/>
          </w:tcPr>
          <w:p w14:paraId="3563A0D4">
            <w:pPr>
              <w:pStyle w:val="22"/>
              <w:spacing w:before="199" w:line="219" w:lineRule="auto"/>
              <w:ind w:left="359"/>
            </w:pPr>
            <w:r>
              <w:rPr>
                <w:spacing w:val="-2"/>
              </w:rPr>
              <w:t>版本日期</w:t>
            </w:r>
          </w:p>
        </w:tc>
        <w:tc>
          <w:tcPr>
            <w:tcW w:w="1840" w:type="dxa"/>
            <w:noWrap w:val="0"/>
            <w:vAlign w:val="top"/>
          </w:tcPr>
          <w:p w14:paraId="752733ED">
            <w:pPr>
              <w:pStyle w:val="22"/>
              <w:spacing w:before="199" w:line="219" w:lineRule="auto"/>
              <w:ind w:left="735"/>
            </w:pPr>
            <w:r>
              <w:rPr>
                <w:spacing w:val="-2"/>
              </w:rPr>
              <w:t>版本说明</w:t>
            </w:r>
          </w:p>
        </w:tc>
        <w:tc>
          <w:tcPr>
            <w:tcW w:w="1680" w:type="dxa"/>
            <w:noWrap w:val="0"/>
            <w:vAlign w:val="top"/>
          </w:tcPr>
          <w:p w14:paraId="31FAE109">
            <w:pPr>
              <w:pStyle w:val="22"/>
              <w:spacing w:before="199" w:line="220" w:lineRule="auto"/>
              <w:ind w:left="575"/>
            </w:pPr>
            <w:r>
              <w:rPr>
                <w:spacing w:val="-3"/>
              </w:rPr>
              <w:t>作者</w:t>
            </w:r>
          </w:p>
        </w:tc>
        <w:tc>
          <w:tcPr>
            <w:tcW w:w="1646" w:type="dxa"/>
            <w:noWrap w:val="0"/>
            <w:vAlign w:val="top"/>
          </w:tcPr>
          <w:p w14:paraId="2CD8CB84">
            <w:pPr>
              <w:pStyle w:val="22"/>
              <w:spacing w:before="199" w:line="220" w:lineRule="auto"/>
              <w:ind w:left="782"/>
            </w:pPr>
            <w:r>
              <w:rPr>
                <w:spacing w:val="-5"/>
              </w:rPr>
              <w:t>审核</w:t>
            </w:r>
          </w:p>
        </w:tc>
      </w:tr>
      <w:tr w14:paraId="7A7D75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noWrap w:val="0"/>
            <w:vAlign w:val="top"/>
          </w:tcPr>
          <w:p w14:paraId="65DCAA3A">
            <w:pPr>
              <w:pStyle w:val="22"/>
              <w:spacing w:before="163" w:line="239" w:lineRule="auto"/>
              <w:ind w:left="638"/>
            </w:pPr>
            <w:r>
              <w:rPr>
                <w:spacing w:val="-1"/>
              </w:rPr>
              <w:t>V1.0</w:t>
            </w:r>
          </w:p>
        </w:tc>
        <w:tc>
          <w:tcPr>
            <w:tcW w:w="1555" w:type="dxa"/>
            <w:noWrap w:val="0"/>
            <w:vAlign w:val="top"/>
          </w:tcPr>
          <w:p w14:paraId="36C59960">
            <w:pPr>
              <w:pStyle w:val="22"/>
              <w:spacing w:before="163"/>
              <w:ind w:left="361"/>
            </w:pPr>
            <w:r>
              <w:rPr>
                <w:spacing w:val="-2"/>
              </w:rPr>
              <w:t>20</w:t>
            </w:r>
            <w:r>
              <w:rPr>
                <w:rFonts w:hint="eastAsia" w:eastAsia="宋体"/>
                <w:spacing w:val="-2"/>
                <w:lang w:val="en-US" w:eastAsia="zh-CN"/>
              </w:rPr>
              <w:t>25</w:t>
            </w:r>
            <w:r>
              <w:rPr>
                <w:spacing w:val="-2"/>
              </w:rPr>
              <w:t>-1-4</w:t>
            </w:r>
          </w:p>
        </w:tc>
        <w:tc>
          <w:tcPr>
            <w:tcW w:w="1840" w:type="dxa"/>
            <w:noWrap w:val="0"/>
            <w:vAlign w:val="top"/>
          </w:tcPr>
          <w:p w14:paraId="047EACCE">
            <w:pPr>
              <w:pStyle w:val="22"/>
              <w:spacing w:before="133" w:line="219" w:lineRule="auto"/>
              <w:ind w:left="738"/>
            </w:pPr>
            <w:r>
              <w:rPr>
                <w:spacing w:val="-3"/>
              </w:rPr>
              <w:t>发布版本</w:t>
            </w:r>
          </w:p>
        </w:tc>
        <w:tc>
          <w:tcPr>
            <w:tcW w:w="1680" w:type="dxa"/>
            <w:noWrap w:val="0"/>
            <w:vAlign w:val="top"/>
          </w:tcPr>
          <w:p w14:paraId="2E293187">
            <w:pPr>
              <w:pStyle w:val="22"/>
              <w:spacing w:before="134" w:line="220" w:lineRule="auto"/>
              <w:ind w:left="480"/>
            </w:pPr>
            <w:r>
              <w:rPr>
                <w:spacing w:val="-5"/>
              </w:rPr>
              <w:t>宫海亭</w:t>
            </w:r>
          </w:p>
        </w:tc>
        <w:tc>
          <w:tcPr>
            <w:tcW w:w="1646" w:type="dxa"/>
            <w:noWrap w:val="0"/>
            <w:vAlign w:val="top"/>
          </w:tcPr>
          <w:p w14:paraId="6D30535E">
            <w:pPr>
              <w:pStyle w:val="22"/>
              <w:spacing w:before="133" w:line="220" w:lineRule="auto"/>
              <w:ind w:left="672"/>
            </w:pPr>
            <w:r>
              <w:rPr>
                <w:spacing w:val="-3"/>
              </w:rPr>
              <w:t>张仲全</w:t>
            </w:r>
          </w:p>
        </w:tc>
      </w:tr>
      <w:tr w14:paraId="4DE925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noWrap w:val="0"/>
            <w:vAlign w:val="top"/>
          </w:tcPr>
          <w:p w14:paraId="5941BE66">
            <w:pPr>
              <w:pStyle w:val="22"/>
              <w:spacing w:before="164" w:line="239" w:lineRule="auto"/>
              <w:ind w:left="638"/>
            </w:pPr>
          </w:p>
        </w:tc>
        <w:tc>
          <w:tcPr>
            <w:tcW w:w="1555" w:type="dxa"/>
            <w:noWrap w:val="0"/>
            <w:vAlign w:val="top"/>
          </w:tcPr>
          <w:p w14:paraId="67AF39C1">
            <w:pPr>
              <w:pStyle w:val="22"/>
              <w:spacing w:before="164"/>
              <w:ind w:left="361"/>
            </w:pPr>
          </w:p>
        </w:tc>
        <w:tc>
          <w:tcPr>
            <w:tcW w:w="1840" w:type="dxa"/>
            <w:noWrap w:val="0"/>
            <w:vAlign w:val="top"/>
          </w:tcPr>
          <w:p w14:paraId="5345BF27">
            <w:pPr>
              <w:pStyle w:val="22"/>
              <w:spacing w:before="134" w:line="219" w:lineRule="auto"/>
              <w:ind w:left="737"/>
            </w:pPr>
          </w:p>
        </w:tc>
        <w:tc>
          <w:tcPr>
            <w:tcW w:w="1680" w:type="dxa"/>
            <w:noWrap w:val="0"/>
            <w:vAlign w:val="top"/>
          </w:tcPr>
          <w:p w14:paraId="1ECCC1F4">
            <w:pPr>
              <w:pStyle w:val="22"/>
              <w:spacing w:before="135" w:line="220" w:lineRule="auto"/>
              <w:ind w:left="480"/>
            </w:pPr>
          </w:p>
        </w:tc>
        <w:tc>
          <w:tcPr>
            <w:tcW w:w="1646" w:type="dxa"/>
            <w:noWrap w:val="0"/>
            <w:vAlign w:val="top"/>
          </w:tcPr>
          <w:p w14:paraId="6C735FA4">
            <w:pPr>
              <w:pStyle w:val="22"/>
              <w:spacing w:before="134" w:line="220" w:lineRule="auto"/>
              <w:ind w:left="672"/>
            </w:pPr>
          </w:p>
        </w:tc>
      </w:tr>
      <w:tr w14:paraId="3125A1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noWrap w:val="0"/>
            <w:vAlign w:val="top"/>
          </w:tcPr>
          <w:p w14:paraId="53BEBA8B">
            <w:pPr>
              <w:pStyle w:val="22"/>
              <w:spacing w:before="165" w:line="239" w:lineRule="auto"/>
              <w:ind w:left="638"/>
            </w:pPr>
          </w:p>
        </w:tc>
        <w:tc>
          <w:tcPr>
            <w:tcW w:w="1555" w:type="dxa"/>
            <w:noWrap w:val="0"/>
            <w:vAlign w:val="top"/>
          </w:tcPr>
          <w:p w14:paraId="68021277">
            <w:pPr>
              <w:pStyle w:val="22"/>
              <w:spacing w:before="165"/>
              <w:ind w:left="361"/>
            </w:pPr>
          </w:p>
        </w:tc>
        <w:tc>
          <w:tcPr>
            <w:tcW w:w="1840" w:type="dxa"/>
            <w:noWrap w:val="0"/>
            <w:vAlign w:val="top"/>
          </w:tcPr>
          <w:p w14:paraId="49FB699C">
            <w:pPr>
              <w:pStyle w:val="22"/>
              <w:spacing w:before="135" w:line="219" w:lineRule="auto"/>
              <w:ind w:left="737"/>
            </w:pPr>
          </w:p>
        </w:tc>
        <w:tc>
          <w:tcPr>
            <w:tcW w:w="1680" w:type="dxa"/>
            <w:noWrap w:val="0"/>
            <w:vAlign w:val="top"/>
          </w:tcPr>
          <w:p w14:paraId="60935C71">
            <w:pPr>
              <w:pStyle w:val="22"/>
              <w:spacing w:before="136" w:line="220" w:lineRule="auto"/>
              <w:ind w:left="480"/>
            </w:pPr>
          </w:p>
        </w:tc>
        <w:tc>
          <w:tcPr>
            <w:tcW w:w="1646" w:type="dxa"/>
            <w:noWrap w:val="0"/>
            <w:vAlign w:val="top"/>
          </w:tcPr>
          <w:p w14:paraId="357E18BC">
            <w:pPr>
              <w:pStyle w:val="22"/>
              <w:spacing w:before="135" w:line="220" w:lineRule="auto"/>
              <w:ind w:left="672"/>
            </w:pPr>
          </w:p>
        </w:tc>
      </w:tr>
      <w:tr w14:paraId="20BF2F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noWrap w:val="0"/>
            <w:vAlign w:val="top"/>
          </w:tcPr>
          <w:p w14:paraId="7BE26569">
            <w:pPr>
              <w:pStyle w:val="22"/>
              <w:spacing w:before="166" w:line="239" w:lineRule="auto"/>
              <w:ind w:left="638"/>
            </w:pPr>
          </w:p>
        </w:tc>
        <w:tc>
          <w:tcPr>
            <w:tcW w:w="1555" w:type="dxa"/>
            <w:noWrap w:val="0"/>
            <w:vAlign w:val="top"/>
          </w:tcPr>
          <w:p w14:paraId="28366E74">
            <w:pPr>
              <w:pStyle w:val="22"/>
              <w:spacing w:before="166"/>
              <w:ind w:left="361"/>
            </w:pPr>
          </w:p>
        </w:tc>
        <w:tc>
          <w:tcPr>
            <w:tcW w:w="1840" w:type="dxa"/>
            <w:noWrap w:val="0"/>
            <w:vAlign w:val="top"/>
          </w:tcPr>
          <w:p w14:paraId="42BC7B1F">
            <w:pPr>
              <w:pStyle w:val="22"/>
              <w:spacing w:before="136" w:line="219" w:lineRule="auto"/>
              <w:ind w:left="737"/>
            </w:pPr>
          </w:p>
        </w:tc>
        <w:tc>
          <w:tcPr>
            <w:tcW w:w="1680" w:type="dxa"/>
            <w:noWrap w:val="0"/>
            <w:vAlign w:val="top"/>
          </w:tcPr>
          <w:p w14:paraId="19512102">
            <w:pPr>
              <w:pStyle w:val="22"/>
              <w:spacing w:before="137" w:line="220" w:lineRule="auto"/>
              <w:ind w:left="480"/>
            </w:pPr>
          </w:p>
        </w:tc>
        <w:tc>
          <w:tcPr>
            <w:tcW w:w="1646" w:type="dxa"/>
            <w:noWrap w:val="0"/>
            <w:vAlign w:val="top"/>
          </w:tcPr>
          <w:p w14:paraId="70C11449">
            <w:pPr>
              <w:pStyle w:val="22"/>
              <w:spacing w:before="136" w:line="220" w:lineRule="auto"/>
              <w:ind w:left="672"/>
            </w:pPr>
          </w:p>
        </w:tc>
      </w:tr>
      <w:tr w14:paraId="10B7FF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704" w:type="dxa"/>
            <w:noWrap w:val="0"/>
            <w:vAlign w:val="top"/>
          </w:tcPr>
          <w:p w14:paraId="5FB3A89E">
            <w:pPr>
              <w:rPr>
                <w:rFonts w:ascii="Arial"/>
                <w:sz w:val="21"/>
              </w:rPr>
            </w:pPr>
          </w:p>
        </w:tc>
        <w:tc>
          <w:tcPr>
            <w:tcW w:w="1555" w:type="dxa"/>
            <w:noWrap w:val="0"/>
            <w:vAlign w:val="top"/>
          </w:tcPr>
          <w:p w14:paraId="73724877">
            <w:pPr>
              <w:rPr>
                <w:rFonts w:ascii="Arial"/>
                <w:sz w:val="21"/>
              </w:rPr>
            </w:pPr>
          </w:p>
        </w:tc>
        <w:tc>
          <w:tcPr>
            <w:tcW w:w="1840" w:type="dxa"/>
            <w:noWrap w:val="0"/>
            <w:vAlign w:val="top"/>
          </w:tcPr>
          <w:p w14:paraId="63699718">
            <w:pPr>
              <w:rPr>
                <w:rFonts w:ascii="Arial"/>
                <w:sz w:val="21"/>
              </w:rPr>
            </w:pPr>
          </w:p>
        </w:tc>
        <w:tc>
          <w:tcPr>
            <w:tcW w:w="1680" w:type="dxa"/>
            <w:noWrap w:val="0"/>
            <w:vAlign w:val="top"/>
          </w:tcPr>
          <w:p w14:paraId="7EA760CF">
            <w:pPr>
              <w:rPr>
                <w:rFonts w:ascii="Arial"/>
                <w:sz w:val="21"/>
              </w:rPr>
            </w:pPr>
          </w:p>
        </w:tc>
        <w:tc>
          <w:tcPr>
            <w:tcW w:w="1646" w:type="dxa"/>
            <w:noWrap w:val="0"/>
            <w:vAlign w:val="top"/>
          </w:tcPr>
          <w:p w14:paraId="1BC5EBD8">
            <w:pPr>
              <w:rPr>
                <w:rFonts w:ascii="Arial"/>
                <w:sz w:val="21"/>
              </w:rPr>
            </w:pPr>
          </w:p>
        </w:tc>
      </w:tr>
    </w:tbl>
    <w:p w14:paraId="00C4A4DE">
      <w:pPr>
        <w:bidi w:val="0"/>
        <w:spacing w:line="360" w:lineRule="auto"/>
        <w:rPr>
          <w:rFonts w:ascii="宋体" w:hAnsi="宋体"/>
          <w:szCs w:val="21"/>
        </w:rPr>
      </w:pPr>
    </w:p>
    <w:p w14:paraId="3443AC19">
      <w:r>
        <w:br w:type="page"/>
      </w:r>
    </w:p>
    <w:sdt>
      <w:sdtPr>
        <w:rPr>
          <w:rFonts w:ascii="宋体" w:hAnsi="宋体" w:eastAsia="宋体" w:cs="Times New Roman"/>
          <w:kern w:val="2"/>
          <w:sz w:val="21"/>
          <w:szCs w:val="24"/>
          <w:lang w:val="en-US" w:eastAsia="zh-CN" w:bidi="ar-SA"/>
        </w:rPr>
        <w:id w:val="147478491"/>
        <w15:color w:val="DBDBDB"/>
        <w:docPartObj>
          <w:docPartGallery w:val="Table of Contents"/>
          <w:docPartUnique/>
        </w:docPartObj>
      </w:sdtPr>
      <w:sdtEndPr>
        <w:rPr>
          <w:rFonts w:hint="default"/>
          <w:lang w:val="en-US" w:eastAsia="zh-CN"/>
        </w:rPr>
      </w:sdtEndPr>
      <w:sdtContent>
        <w:p w14:paraId="7CE5B2D6">
          <w:pPr>
            <w:spacing w:before="0" w:beforeLines="0" w:after="0" w:afterLines="0" w:line="240" w:lineRule="auto"/>
            <w:ind w:left="0" w:leftChars="0" w:right="0" w:rightChars="0" w:firstLine="0" w:firstLineChars="0"/>
            <w:jc w:val="center"/>
          </w:pPr>
          <w:r>
            <w:rPr>
              <w:rFonts w:ascii="宋体" w:hAnsi="宋体" w:eastAsia="宋体"/>
              <w:sz w:val="21"/>
            </w:rPr>
            <w:t>目录</w:t>
          </w:r>
        </w:p>
        <w:p w14:paraId="168F7978">
          <w:pPr>
            <w:pStyle w:val="11"/>
            <w:tabs>
              <w:tab w:val="right" w:leader="dot" w:pos="8306"/>
            </w:tabs>
            <w:rPr>
              <w:rFonts w:hint="eastAsia" w:ascii="Microsoft JhengHei" w:hAnsi="Microsoft JhengHei" w:eastAsia="Microsoft JhengHei" w:cs="Microsoft JhengHei"/>
              <w:sz w:val="24"/>
              <w:szCs w:val="24"/>
            </w:rPr>
          </w:pPr>
          <w:r>
            <w:rPr>
              <w:rFonts w:hint="default"/>
              <w:sz w:val="32"/>
              <w:szCs w:val="32"/>
              <w:lang w:val="en-US" w:eastAsia="zh-CN"/>
            </w:rPr>
            <w:fldChar w:fldCharType="begin"/>
          </w:r>
          <w:r>
            <w:rPr>
              <w:rFonts w:hint="default"/>
              <w:sz w:val="32"/>
              <w:szCs w:val="32"/>
              <w:lang w:val="en-US" w:eastAsia="zh-CN"/>
            </w:rPr>
            <w:instrText xml:space="preserve">TOC \o "1-3" \h \u </w:instrText>
          </w:r>
          <w:r>
            <w:rPr>
              <w:rFonts w:hint="default"/>
              <w:sz w:val="32"/>
              <w:szCs w:val="32"/>
              <w:lang w:val="en-US" w:eastAsia="zh-CN"/>
            </w:rPr>
            <w:fldChar w:fldCharType="separate"/>
          </w: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_Toc14627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bCs/>
              <w:spacing w:val="-8"/>
              <w:sz w:val="24"/>
              <w:szCs w:val="24"/>
              <w:lang w:val="en-US" w:eastAsia="zh-CN"/>
            </w:rPr>
            <w:t>风险评估管理制度</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_Toc14627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1140B847">
          <w:pPr>
            <w:pStyle w:val="11"/>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_Toc1768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pacing w:val="-2"/>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_Toc1768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65060850">
          <w:pPr>
            <w:pStyle w:val="11"/>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_Toc23101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1  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_Toc23101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2B0A1F77">
          <w:pPr>
            <w:pStyle w:val="11"/>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_Toc30979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2 适用范围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_Toc30979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2F3ADE31">
          <w:pPr>
            <w:pStyle w:val="11"/>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_Toc9811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 风险评估</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_Toc9811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3DDE941A">
          <w:pPr>
            <w:pStyle w:val="12"/>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_Toc17834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3.1 风险评估要素模型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_Toc17834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0028081D">
          <w:pPr>
            <w:pStyle w:val="12"/>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_Toc25921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3.2 风险计算模型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_Toc25921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79C08300">
          <w:pPr>
            <w:pStyle w:val="12"/>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_Toc29523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3.3 风险计算过程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_Toc29523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1361CFCB">
          <w:pPr>
            <w:pStyle w:val="12"/>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_Toc4488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3.4 风险评估流程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_Toc4488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2FF10092">
          <w:pPr>
            <w:pStyle w:val="8"/>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_Toc28889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3.4.1 风险评估的准备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_Toc28889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48AF74F3">
          <w:pPr>
            <w:pStyle w:val="8"/>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_Toc11145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3.4.2 资产价值</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_Toc11145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48E6E46B">
          <w:pPr>
            <w:pStyle w:val="8"/>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_Toc7743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3.4.3 威胁识别</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_Toc7743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1DCB7335">
          <w:pPr>
            <w:pStyle w:val="8"/>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_Toc6077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3.4.4 脆弱性识别</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_Toc6077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7032F495">
          <w:pPr>
            <w:pStyle w:val="8"/>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_Toc18581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3.4.5 已有安全措施的确认</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_Toc18581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3F8B9716">
          <w:pPr>
            <w:pStyle w:val="8"/>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_Toc26499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3.4.6 风险分析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_Toc26499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1D1A6986">
          <w:pPr>
            <w:pStyle w:val="8"/>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_Toc6665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3.4.7 风险结果的判定</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_Toc6665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4710E146">
          <w:pPr>
            <w:pStyle w:val="8"/>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_Toc10614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3.4.8 控制措施的选择</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_Toc10614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2591F688">
          <w:pPr>
            <w:pStyle w:val="8"/>
            <w:tabs>
              <w:tab w:val="right" w:leader="dot" w:pos="8306"/>
            </w:tabs>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_Toc18274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3.4.9 残余风险的评价</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_Toc18274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1A4254A5">
          <w:pPr>
            <w:bidi w:val="0"/>
            <w:rPr>
              <w:rFonts w:hint="default"/>
              <w:lang w:val="en-US" w:eastAsia="zh-CN"/>
            </w:rPr>
          </w:pPr>
          <w:r>
            <w:rPr>
              <w:rFonts w:hint="default"/>
              <w:lang w:val="en-US" w:eastAsia="zh-CN"/>
            </w:rPr>
            <w:fldChar w:fldCharType="end"/>
          </w:r>
        </w:p>
      </w:sdtContent>
    </w:sdt>
    <w:p w14:paraId="49C5E463">
      <w:pPr>
        <w:rPr>
          <w:rFonts w:hint="default"/>
          <w:lang w:val="en-US" w:eastAsia="zh-CN"/>
        </w:rPr>
      </w:pPr>
      <w:r>
        <w:rPr>
          <w:rFonts w:hint="default"/>
          <w:lang w:val="en-US" w:eastAsia="zh-CN"/>
        </w:rPr>
        <w:br w:type="page"/>
      </w:r>
    </w:p>
    <w:p w14:paraId="1044B0BD">
      <w:pPr>
        <w:rPr>
          <w:rFonts w:hint="default"/>
          <w:lang w:val="en-US" w:eastAsia="zh-CN"/>
        </w:rPr>
      </w:pPr>
    </w:p>
    <w:p w14:paraId="3F3DA97E">
      <w:pPr>
        <w:pStyle w:val="2"/>
        <w:bidi w:val="0"/>
        <w:rPr>
          <w:rFonts w:hint="default"/>
          <w:sz w:val="32"/>
          <w:szCs w:val="32"/>
          <w:lang w:val="en-US" w:eastAsia="zh-CN"/>
        </w:rPr>
      </w:pPr>
      <w:bookmarkStart w:id="2" w:name="_Toc23101"/>
      <w:r>
        <w:rPr>
          <w:rFonts w:hint="default"/>
          <w:sz w:val="32"/>
          <w:szCs w:val="32"/>
          <w:lang w:val="en-US" w:eastAsia="zh-CN"/>
        </w:rPr>
        <w:t>1  目的</w:t>
      </w:r>
      <w:bookmarkEnd w:id="2"/>
    </w:p>
    <w:p w14:paraId="2BF84C7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对重要信息系统实施维护服务的风险进行评估，确保运维团队能够全面、准确</w:t>
      </w:r>
    </w:p>
    <w:p w14:paraId="00272DA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的了解维护对象当前存在的风险因素，并采取有效的应对措施避免风险的升级。</w:t>
      </w:r>
    </w:p>
    <w:p w14:paraId="5848DF41">
      <w:pPr>
        <w:pStyle w:val="2"/>
        <w:bidi w:val="0"/>
        <w:rPr>
          <w:rFonts w:hint="default"/>
          <w:sz w:val="32"/>
          <w:szCs w:val="32"/>
          <w:lang w:val="en-US" w:eastAsia="zh-CN"/>
        </w:rPr>
      </w:pPr>
      <w:bookmarkStart w:id="3" w:name="_Toc30979"/>
      <w:r>
        <w:rPr>
          <w:rFonts w:hint="default"/>
          <w:sz w:val="32"/>
          <w:szCs w:val="32"/>
          <w:lang w:val="en-US" w:eastAsia="zh-CN"/>
        </w:rPr>
        <w:t>2 适用范围</w:t>
      </w:r>
      <w:bookmarkEnd w:id="3"/>
    </w:p>
    <w:p w14:paraId="6AD053BF">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适用于运维部所承担的运维服务项目的风险管控。</w:t>
      </w:r>
    </w:p>
    <w:p w14:paraId="71A10CAC">
      <w:pPr>
        <w:pStyle w:val="2"/>
        <w:bidi w:val="0"/>
        <w:rPr>
          <w:rFonts w:hint="default"/>
          <w:sz w:val="32"/>
          <w:szCs w:val="32"/>
          <w:lang w:val="en-US" w:eastAsia="zh-CN"/>
        </w:rPr>
      </w:pPr>
      <w:bookmarkStart w:id="4" w:name="_Toc9811"/>
      <w:r>
        <w:rPr>
          <w:rFonts w:hint="default"/>
          <w:sz w:val="32"/>
          <w:szCs w:val="32"/>
          <w:lang w:val="en-US" w:eastAsia="zh-CN"/>
        </w:rPr>
        <w:t>3 风险评估</w:t>
      </w:r>
      <w:bookmarkEnd w:id="4"/>
    </w:p>
    <w:p w14:paraId="0A659321">
      <w:pPr>
        <w:pStyle w:val="3"/>
        <w:bidi w:val="0"/>
        <w:rPr>
          <w:rFonts w:hint="default"/>
          <w:lang w:val="en-US" w:eastAsia="zh-CN"/>
        </w:rPr>
      </w:pPr>
      <w:bookmarkStart w:id="5" w:name="_Toc17834"/>
      <w:r>
        <w:rPr>
          <w:rFonts w:hint="default"/>
          <w:lang w:val="en-US" w:eastAsia="zh-CN"/>
        </w:rPr>
        <w:t>3.1 风险评估要素模型</w:t>
      </w:r>
      <w:bookmarkEnd w:id="5"/>
    </w:p>
    <w:p w14:paraId="71BCC36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风险评估的出发点是对与风险有关的各因素的确认和分析。下图中方框部分的</w:t>
      </w:r>
    </w:p>
    <w:p w14:paraId="7495915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内容为风险评估的基本要素，椭圆部分的内容是与这些要素相关的属性，也是风险</w:t>
      </w:r>
    </w:p>
    <w:p w14:paraId="17C6FAC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评估要素的一部分。风险评估的工作是围绕其基本要素展开的，在对这些要素的评</w:t>
      </w:r>
    </w:p>
    <w:p w14:paraId="17DD2BD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估过程中需要充分考虑业务战略、资产价值、安全事件、残余风险等与这些基本要</w:t>
      </w:r>
    </w:p>
    <w:p w14:paraId="59A37C0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素相关的各类因素。如下模型表示了各因素的关系：</w:t>
      </w:r>
    </w:p>
    <w:p w14:paraId="35DEF28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position w:val="-80"/>
        </w:rPr>
        <w:drawing>
          <wp:inline distT="0" distB="0" distL="0" distR="0">
            <wp:extent cx="3992880" cy="2552700"/>
            <wp:effectExtent l="0" t="0" r="0" b="762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3993035" cy="2553066"/>
                    </a:xfrm>
                    <a:prstGeom prst="rect">
                      <a:avLst/>
                    </a:prstGeom>
                  </pic:spPr>
                </pic:pic>
              </a:graphicData>
            </a:graphic>
          </wp:inline>
        </w:drawing>
      </w:r>
    </w:p>
    <w:p w14:paraId="6EE4F96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图中这些要素之间存在着以下关系：业务战略依赖于资产去完成；资产拥有价值，单位的业务战略越重要，对资产的依赖度越高，资产的价值则就越大；资产的价值越大则风险越大；风险是由威胁发起的，威胁越大则风险越大，并可能演变成安全事件；威胁都要利用脆弱性，脆弱性越大则风险越大；脆弱性使资产暴露，是未被满足的安全需求，威胁要通过利用脆弱性来危害资产，从而形成风险；资产的重要性和对风险的意识会导出安全需求;安全需求要通过安全措施来得以满足，且是有成本的；安全措施可以抗击威胁，降低风险，减弱安全事件的影响；风险不可能也没有必要降为零，在实施了安全措施后还会有残留下来的风险，—部分残余风险来自于安全措施可能不当或无效，在以后需要继续控制这部分风险，另一部分残余风险则是在综合考虑了安全的成本与资产价值后，有意未去控制的风险，这部分风险是可以被接受的；残余风险应受到密切监视，因为它可能会在将来诱发新的安全事件。</w:t>
      </w:r>
    </w:p>
    <w:p w14:paraId="1B46D207">
      <w:pPr>
        <w:pStyle w:val="3"/>
        <w:bidi w:val="0"/>
        <w:rPr>
          <w:rFonts w:hint="default"/>
          <w:lang w:val="en-US" w:eastAsia="zh-CN"/>
        </w:rPr>
      </w:pPr>
      <w:bookmarkStart w:id="6" w:name="_Toc25921"/>
      <w:r>
        <w:rPr>
          <w:rFonts w:hint="default"/>
          <w:lang w:val="en-US" w:eastAsia="zh-CN"/>
        </w:rPr>
        <w:t>3.2 风险计算模型</w:t>
      </w:r>
      <w:bookmarkEnd w:id="6"/>
    </w:p>
    <w:p w14:paraId="69094AC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风险计算模型是对通过风险分析计算风险值的过程的抽象，它主要包括资产评估、威胁评估、脆弱性评估以及风险分析。风险计算模型如下图所示：</w:t>
      </w:r>
    </w:p>
    <w:p w14:paraId="070FC382">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position w:val="-54"/>
        </w:rPr>
        <w:drawing>
          <wp:inline distT="0" distB="0" distL="0" distR="0">
            <wp:extent cx="4998720" cy="1732280"/>
            <wp:effectExtent l="0" t="0" r="0" b="508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8"/>
                    <a:stretch>
                      <a:fillRect/>
                    </a:stretch>
                  </pic:blipFill>
                  <pic:spPr>
                    <a:xfrm>
                      <a:off x="0" y="0"/>
                      <a:ext cx="4998720" cy="1732788"/>
                    </a:xfrm>
                    <a:prstGeom prst="rect">
                      <a:avLst/>
                    </a:prstGeom>
                  </pic:spPr>
                </pic:pic>
              </a:graphicData>
            </a:graphic>
          </wp:inline>
        </w:drawing>
      </w:r>
    </w:p>
    <w:p w14:paraId="24E6973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风险计算模型示意图</w:t>
      </w:r>
    </w:p>
    <w:p w14:paraId="1B0FD09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计算模型中包含：资产、威胁、脆弱性等基本要素。每个要素有各自的属性，资产的属性是资产价值；威胁的属性可以是威胁主体、影响对象、发生的可能性、动机等；脆弱性的属性是脆弱性被威胁利用后对资产带来的影响的严重程度。</w:t>
      </w:r>
    </w:p>
    <w:p w14:paraId="12D9DD2E">
      <w:pPr>
        <w:pStyle w:val="3"/>
        <w:bidi w:val="0"/>
        <w:rPr>
          <w:rFonts w:hint="default"/>
          <w:lang w:val="en-US" w:eastAsia="zh-CN"/>
        </w:rPr>
      </w:pPr>
      <w:bookmarkStart w:id="7" w:name="_Toc29523"/>
      <w:r>
        <w:rPr>
          <w:rFonts w:hint="default"/>
          <w:lang w:val="en-US" w:eastAsia="zh-CN"/>
        </w:rPr>
        <w:t>3.3 风险计算过程</w:t>
      </w:r>
      <w:bookmarkEnd w:id="7"/>
    </w:p>
    <w:p w14:paraId="3EB63F8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对资产进行识别，并对资产的价值进行赋值；</w:t>
      </w:r>
    </w:p>
    <w:p w14:paraId="48E7C0F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对威胁进行识别，描述威胁的属性，并对威胁出现的频率赋值；</w:t>
      </w:r>
    </w:p>
    <w:p w14:paraId="4A34388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对资产的脆弱性进行识别，并对具体资产的脆弱性的严重程度赋值；</w:t>
      </w:r>
    </w:p>
    <w:p w14:paraId="632B80A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根据威胁及威胁利用弱点的难易程度判断安全事件发生的可能性；</w:t>
      </w:r>
    </w:p>
    <w:p w14:paraId="5A792C6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根据脆弱性的严重程度及安全事件所作用资产的价值计算安全事件的损失；</w:t>
      </w:r>
    </w:p>
    <w:p w14:paraId="3EA9CE5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根据安全事件发生的可能性以及安全事件的损失，计算安全事件一旦发生对组织的影响，即风险值。</w:t>
      </w:r>
    </w:p>
    <w:p w14:paraId="260C24A6">
      <w:pPr>
        <w:pStyle w:val="3"/>
        <w:bidi w:val="0"/>
        <w:rPr>
          <w:rFonts w:hint="default"/>
          <w:lang w:val="en-US" w:eastAsia="zh-CN"/>
        </w:rPr>
      </w:pPr>
      <w:bookmarkStart w:id="8" w:name="_Toc4488"/>
      <w:r>
        <w:rPr>
          <w:rFonts w:hint="default"/>
          <w:lang w:val="en-US" w:eastAsia="zh-CN"/>
        </w:rPr>
        <w:t>3.4 风险评估流程</w:t>
      </w:r>
      <w:bookmarkEnd w:id="8"/>
    </w:p>
    <w:p w14:paraId="0612A71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根据风险评估要素关系模型，进行风险评估需要分析评价各要素，按照各要素</w:t>
      </w:r>
    </w:p>
    <w:p w14:paraId="1C12857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关系，风险评估的过程主要包括：风险评估的准备，即信息收集与整理、对资产、威胁、脆弱性的分析、已有采取安全措施的确认以及风险评价等环节，风险评估实施过程可用下图表示：</w:t>
      </w:r>
      <w:r>
        <w:rPr>
          <w:position w:val="-143"/>
        </w:rPr>
        <w:drawing>
          <wp:inline distT="0" distB="0" distL="0" distR="0">
            <wp:extent cx="3315970" cy="4568825"/>
            <wp:effectExtent l="0" t="0" r="6350" b="3175"/>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9"/>
                    <a:stretch>
                      <a:fillRect/>
                    </a:stretch>
                  </pic:blipFill>
                  <pic:spPr>
                    <a:xfrm>
                      <a:off x="0" y="0"/>
                      <a:ext cx="3316223" cy="4568952"/>
                    </a:xfrm>
                    <a:prstGeom prst="rect">
                      <a:avLst/>
                    </a:prstGeom>
                  </pic:spPr>
                </pic:pic>
              </a:graphicData>
            </a:graphic>
          </wp:inline>
        </w:drawing>
      </w:r>
    </w:p>
    <w:p w14:paraId="0E743012">
      <w:pPr>
        <w:pStyle w:val="4"/>
        <w:bidi w:val="0"/>
        <w:rPr>
          <w:rFonts w:hint="default"/>
          <w:lang w:val="en-US" w:eastAsia="zh-CN"/>
        </w:rPr>
      </w:pPr>
      <w:bookmarkStart w:id="9" w:name="_Toc28889"/>
      <w:r>
        <w:rPr>
          <w:rFonts w:hint="default"/>
          <w:lang w:val="en-US" w:eastAsia="zh-CN"/>
        </w:rPr>
        <w:t>3.4.1 风险评估的准备</w:t>
      </w:r>
      <w:bookmarkEnd w:id="9"/>
    </w:p>
    <w:p w14:paraId="4B365A9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风险评估的准备过程是整个风险评估过程有效的保证和基础。组织实施风险评估是一种战略性的考虑，其结果将受到组织业务战略、业务流程、安全需求、系统规模和结构等方面的影响。</w:t>
      </w:r>
    </w:p>
    <w:p w14:paraId="7425052A">
      <w:pPr>
        <w:pStyle w:val="4"/>
        <w:bidi w:val="0"/>
        <w:rPr>
          <w:rFonts w:hint="default"/>
          <w:lang w:val="en-US" w:eastAsia="zh-CN"/>
        </w:rPr>
      </w:pPr>
      <w:bookmarkStart w:id="10" w:name="_Toc11145"/>
      <w:r>
        <w:rPr>
          <w:rFonts w:hint="default"/>
          <w:lang w:val="en-US" w:eastAsia="zh-CN"/>
        </w:rPr>
        <w:t>3.4.2 资产价值</w:t>
      </w:r>
      <w:bookmarkEnd w:id="10"/>
    </w:p>
    <w:p w14:paraId="15D28929">
      <w:pPr>
        <w:pStyle w:val="5"/>
        <w:bidi w:val="0"/>
        <w:rPr>
          <w:rFonts w:hint="default"/>
          <w:lang w:val="en-US" w:eastAsia="zh-CN"/>
        </w:rPr>
      </w:pPr>
      <w:r>
        <w:rPr>
          <w:rFonts w:hint="default"/>
          <w:lang w:val="en-US" w:eastAsia="zh-CN"/>
        </w:rPr>
        <w:t>3.4.2.1资产分类</w:t>
      </w:r>
    </w:p>
    <w:p w14:paraId="0957758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在一般的风险评估体中，资产大多属于不同的信息系统，如 OA 系统，网管系统，业务生产系统等，而且对于提供多种业务的机构，业务生产系统的数量还可能会很多。这时首先需要将信息系统及其中的信息资产进行恰当的分类，才能在此基础上进行下一步的风险评估工作。在实际项目中，具体的资产分类方法可以根据具体环境，由评估者来灵活把握。根据资产的表现形式，可将资产分为数据、软件、硬件、文档、服务、人员等类型。</w:t>
      </w:r>
    </w:p>
    <w:tbl>
      <w:tblPr>
        <w:tblStyle w:val="15"/>
        <w:tblW w:w="89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
        <w:gridCol w:w="8165"/>
      </w:tblGrid>
      <w:tr w14:paraId="0C80FD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87" w:type="dxa"/>
            <w:shd w:val="clear" w:color="auto" w:fill="auto"/>
            <w:vAlign w:val="top"/>
          </w:tcPr>
          <w:p w14:paraId="79D726D6">
            <w:pPr>
              <w:spacing w:before="246" w:line="219" w:lineRule="auto"/>
              <w:ind w:left="120" w:leftChars="0"/>
              <w:rPr>
                <w:rFonts w:hint="default" w:ascii="宋体" w:hAnsi="宋体" w:eastAsia="宋体" w:cs="宋体"/>
                <w:kern w:val="2"/>
                <w:sz w:val="24"/>
                <w:szCs w:val="24"/>
                <w:lang w:val="en-US" w:eastAsia="zh-CN" w:bidi="ar-SA"/>
              </w:rPr>
            </w:pPr>
            <w:r>
              <w:rPr>
                <w:rFonts w:ascii="宋体" w:hAnsi="宋体" w:eastAsia="宋体" w:cs="宋体"/>
                <w:spacing w:val="-7"/>
                <w:sz w:val="24"/>
                <w:szCs w:val="24"/>
              </w:rPr>
              <w:t>分类</w:t>
            </w:r>
          </w:p>
        </w:tc>
        <w:tc>
          <w:tcPr>
            <w:tcW w:w="8169" w:type="dxa"/>
            <w:shd w:val="clear" w:color="auto" w:fill="auto"/>
            <w:vAlign w:val="top"/>
          </w:tcPr>
          <w:p w14:paraId="38C1281B">
            <w:pPr>
              <w:spacing w:before="246" w:line="221" w:lineRule="auto"/>
              <w:ind w:left="114"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示例</w:t>
            </w:r>
          </w:p>
        </w:tc>
      </w:tr>
      <w:tr w14:paraId="7775F7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7" w:type="dxa"/>
            <w:shd w:val="clear" w:color="auto" w:fill="auto"/>
            <w:vAlign w:val="top"/>
          </w:tcPr>
          <w:p w14:paraId="3074ECFA">
            <w:pPr>
              <w:pStyle w:val="22"/>
              <w:spacing w:line="261" w:lineRule="auto"/>
            </w:pPr>
          </w:p>
          <w:p w14:paraId="7D602067">
            <w:pPr>
              <w:pStyle w:val="22"/>
              <w:spacing w:line="262" w:lineRule="auto"/>
            </w:pPr>
          </w:p>
          <w:p w14:paraId="76BA2169">
            <w:pPr>
              <w:spacing w:before="78" w:line="219" w:lineRule="auto"/>
              <w:ind w:left="119"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数据</w:t>
            </w:r>
          </w:p>
        </w:tc>
        <w:tc>
          <w:tcPr>
            <w:tcW w:w="8169" w:type="dxa"/>
            <w:shd w:val="clear" w:color="auto" w:fill="auto"/>
            <w:vAlign w:val="top"/>
          </w:tcPr>
          <w:p w14:paraId="30C7F4BD">
            <w:pPr>
              <w:spacing w:before="243" w:line="219" w:lineRule="auto"/>
            </w:pPr>
            <w:r>
              <w:rPr>
                <w:rFonts w:ascii="宋体" w:hAnsi="宋体" w:eastAsia="宋体" w:cs="宋体"/>
                <w:spacing w:val="-6"/>
                <w:sz w:val="24"/>
                <w:szCs w:val="24"/>
              </w:rPr>
              <w:t>保存在信息媒介上的各种数据资料，包括源代码、数据库数据、系统文档</w:t>
            </w:r>
            <w:r>
              <w:rPr>
                <w:rFonts w:ascii="宋体" w:hAnsi="宋体" w:eastAsia="宋体" w:cs="宋体"/>
                <w:spacing w:val="-7"/>
                <w:sz w:val="24"/>
                <w:szCs w:val="24"/>
              </w:rPr>
              <w:t>、运</w:t>
            </w:r>
          </w:p>
          <w:p w14:paraId="2488B531">
            <w:pPr>
              <w:spacing w:before="78" w:line="218" w:lineRule="auto"/>
              <w:rPr>
                <w:rFonts w:hint="default" w:ascii="宋体" w:hAnsi="宋体" w:eastAsia="宋体" w:cs="宋体"/>
                <w:kern w:val="2"/>
                <w:sz w:val="24"/>
                <w:szCs w:val="24"/>
                <w:lang w:val="en-US" w:eastAsia="zh-CN" w:bidi="ar-SA"/>
              </w:rPr>
            </w:pPr>
            <w:r>
              <w:rPr>
                <w:rFonts w:ascii="宋体" w:hAnsi="宋体" w:eastAsia="宋体" w:cs="宋体"/>
                <w:spacing w:val="-5"/>
                <w:sz w:val="24"/>
                <w:szCs w:val="24"/>
              </w:rPr>
              <w:t>行管理规程、计划、报告、用户手册等</w:t>
            </w:r>
          </w:p>
        </w:tc>
      </w:tr>
      <w:tr w14:paraId="5C9BC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7" w:type="dxa"/>
            <w:shd w:val="clear" w:color="auto" w:fill="auto"/>
            <w:vAlign w:val="top"/>
          </w:tcPr>
          <w:p w14:paraId="10B74EC5">
            <w:pPr>
              <w:pStyle w:val="22"/>
              <w:spacing w:line="294" w:lineRule="auto"/>
            </w:pPr>
          </w:p>
          <w:p w14:paraId="1EBD556F">
            <w:pPr>
              <w:pStyle w:val="22"/>
              <w:spacing w:line="294" w:lineRule="auto"/>
            </w:pPr>
          </w:p>
          <w:p w14:paraId="6FA2E7B4">
            <w:pPr>
              <w:pStyle w:val="22"/>
              <w:spacing w:line="295" w:lineRule="auto"/>
            </w:pPr>
          </w:p>
          <w:p w14:paraId="74E6F32E">
            <w:pPr>
              <w:spacing w:before="78" w:line="219" w:lineRule="auto"/>
              <w:ind w:left="120" w:leftChars="0"/>
              <w:rPr>
                <w:rFonts w:hint="default" w:ascii="宋体" w:hAnsi="宋体" w:eastAsia="宋体" w:cs="宋体"/>
                <w:kern w:val="2"/>
                <w:sz w:val="24"/>
                <w:szCs w:val="24"/>
                <w:lang w:val="en-US" w:eastAsia="zh-CN" w:bidi="ar-SA"/>
              </w:rPr>
            </w:pPr>
            <w:r>
              <w:rPr>
                <w:rFonts w:ascii="宋体" w:hAnsi="宋体" w:eastAsia="宋体" w:cs="宋体"/>
                <w:spacing w:val="-7"/>
                <w:sz w:val="24"/>
                <w:szCs w:val="24"/>
              </w:rPr>
              <w:t>软件</w:t>
            </w:r>
          </w:p>
        </w:tc>
        <w:tc>
          <w:tcPr>
            <w:tcW w:w="8169" w:type="dxa"/>
            <w:shd w:val="clear" w:color="auto" w:fill="auto"/>
            <w:vAlign w:val="top"/>
          </w:tcPr>
          <w:p w14:paraId="5EF9F3E1">
            <w:pPr>
              <w:spacing w:before="244" w:line="219" w:lineRule="auto"/>
            </w:pPr>
            <w:r>
              <w:rPr>
                <w:rFonts w:ascii="宋体" w:hAnsi="宋体" w:eastAsia="宋体" w:cs="宋体"/>
                <w:spacing w:val="-5"/>
                <w:sz w:val="24"/>
                <w:szCs w:val="24"/>
              </w:rPr>
              <w:t>系统软件：操作系统、语言包、工具软件、各种库等</w:t>
            </w:r>
          </w:p>
          <w:p w14:paraId="7C3C035C">
            <w:pPr>
              <w:spacing w:before="78" w:line="219" w:lineRule="auto"/>
            </w:pPr>
            <w:r>
              <w:rPr>
                <w:rFonts w:ascii="宋体" w:hAnsi="宋体" w:eastAsia="宋体" w:cs="宋体"/>
                <w:spacing w:val="-5"/>
                <w:sz w:val="24"/>
                <w:szCs w:val="24"/>
              </w:rPr>
              <w:t>应用软件：外部购买的应用软件，外包开发的应用软件等</w:t>
            </w:r>
          </w:p>
          <w:p w14:paraId="34B420DA">
            <w:pPr>
              <w:spacing w:before="78" w:line="219" w:lineRule="auto"/>
              <w:rPr>
                <w:rFonts w:hint="default" w:ascii="宋体" w:hAnsi="宋体" w:eastAsia="宋体" w:cs="宋体"/>
                <w:kern w:val="2"/>
                <w:sz w:val="24"/>
                <w:szCs w:val="24"/>
                <w:lang w:val="en-US" w:eastAsia="zh-CN" w:bidi="ar-SA"/>
              </w:rPr>
            </w:pPr>
            <w:r>
              <w:rPr>
                <w:rFonts w:ascii="宋体" w:hAnsi="宋体" w:eastAsia="宋体" w:cs="宋体"/>
                <w:spacing w:val="-4"/>
                <w:sz w:val="24"/>
                <w:szCs w:val="24"/>
              </w:rPr>
              <w:t>源程序：各种共享源代码、自行或合作开发</w:t>
            </w:r>
            <w:r>
              <w:rPr>
                <w:rFonts w:ascii="宋体" w:hAnsi="宋体" w:eastAsia="宋体" w:cs="宋体"/>
                <w:spacing w:val="-5"/>
                <w:sz w:val="24"/>
                <w:szCs w:val="24"/>
              </w:rPr>
              <w:t>的各种代码等</w:t>
            </w:r>
          </w:p>
        </w:tc>
      </w:tr>
      <w:tr w14:paraId="071DE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7" w:type="dxa"/>
            <w:shd w:val="clear" w:color="auto" w:fill="auto"/>
            <w:vAlign w:val="top"/>
          </w:tcPr>
          <w:p w14:paraId="768AD734">
            <w:pPr>
              <w:pStyle w:val="22"/>
              <w:spacing w:line="267" w:lineRule="auto"/>
            </w:pPr>
          </w:p>
          <w:p w14:paraId="27E865F2">
            <w:pPr>
              <w:pStyle w:val="22"/>
              <w:spacing w:line="267" w:lineRule="auto"/>
            </w:pPr>
          </w:p>
          <w:p w14:paraId="27515454">
            <w:pPr>
              <w:pStyle w:val="22"/>
              <w:spacing w:line="267" w:lineRule="auto"/>
            </w:pPr>
          </w:p>
          <w:p w14:paraId="521D36C0">
            <w:pPr>
              <w:pStyle w:val="22"/>
              <w:spacing w:line="267" w:lineRule="auto"/>
            </w:pPr>
          </w:p>
          <w:p w14:paraId="0B21DB31">
            <w:pPr>
              <w:pStyle w:val="22"/>
              <w:spacing w:line="268" w:lineRule="auto"/>
            </w:pPr>
          </w:p>
          <w:p w14:paraId="530FEEA1">
            <w:pPr>
              <w:pStyle w:val="22"/>
              <w:spacing w:line="268" w:lineRule="auto"/>
            </w:pPr>
          </w:p>
          <w:p w14:paraId="0BD2684E">
            <w:pPr>
              <w:spacing w:before="78" w:line="219" w:lineRule="auto"/>
              <w:ind w:left="117"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硬件</w:t>
            </w:r>
          </w:p>
        </w:tc>
        <w:tc>
          <w:tcPr>
            <w:tcW w:w="8169" w:type="dxa"/>
            <w:shd w:val="clear" w:color="auto" w:fill="auto"/>
            <w:vAlign w:val="top"/>
          </w:tcPr>
          <w:p w14:paraId="07B3A400">
            <w:pPr>
              <w:spacing w:before="244" w:line="219" w:lineRule="auto"/>
            </w:pPr>
            <w:r>
              <w:rPr>
                <w:rFonts w:ascii="宋体" w:hAnsi="宋体" w:eastAsia="宋体" w:cs="宋体"/>
                <w:spacing w:val="-6"/>
                <w:sz w:val="24"/>
                <w:szCs w:val="24"/>
              </w:rPr>
              <w:t>网络设备：路由器、网关、交换机等</w:t>
            </w:r>
          </w:p>
          <w:p w14:paraId="566880AC">
            <w:pPr>
              <w:spacing w:before="78" w:line="219" w:lineRule="auto"/>
            </w:pPr>
            <w:r>
              <w:rPr>
                <w:rFonts w:ascii="宋体" w:hAnsi="宋体" w:eastAsia="宋体" w:cs="宋体"/>
                <w:spacing w:val="-6"/>
                <w:sz w:val="24"/>
                <w:szCs w:val="24"/>
              </w:rPr>
              <w:t>计算机设备：大型机、小型机、服务器、工作站、台式计算机、</w:t>
            </w:r>
            <w:r>
              <w:rPr>
                <w:rFonts w:ascii="宋体" w:hAnsi="宋体" w:eastAsia="宋体" w:cs="宋体"/>
                <w:spacing w:val="-7"/>
                <w:sz w:val="24"/>
                <w:szCs w:val="24"/>
              </w:rPr>
              <w:t>移动计算机等</w:t>
            </w:r>
          </w:p>
          <w:p w14:paraId="717D57B4">
            <w:pPr>
              <w:spacing w:before="78" w:line="219" w:lineRule="auto"/>
            </w:pPr>
            <w:r>
              <w:rPr>
                <w:rFonts w:ascii="宋体" w:hAnsi="宋体" w:eastAsia="宋体" w:cs="宋体"/>
                <w:spacing w:val="-4"/>
                <w:sz w:val="24"/>
                <w:szCs w:val="24"/>
              </w:rPr>
              <w:t>存储设备：磁带机、磁盘阵列、磁带、光盘、软盘</w:t>
            </w:r>
            <w:r>
              <w:rPr>
                <w:rFonts w:ascii="宋体" w:hAnsi="宋体" w:eastAsia="宋体" w:cs="宋体"/>
                <w:spacing w:val="-5"/>
                <w:sz w:val="24"/>
                <w:szCs w:val="24"/>
              </w:rPr>
              <w:t>、移动硬盘等</w:t>
            </w:r>
          </w:p>
          <w:p w14:paraId="64EAA486">
            <w:pPr>
              <w:spacing w:before="78" w:line="219" w:lineRule="auto"/>
            </w:pPr>
            <w:r>
              <w:rPr>
                <w:rFonts w:ascii="宋体" w:hAnsi="宋体" w:eastAsia="宋体" w:cs="宋体"/>
                <w:spacing w:val="-5"/>
                <w:sz w:val="24"/>
                <w:szCs w:val="24"/>
              </w:rPr>
              <w:t>传输线路：光纤、双绞线等</w:t>
            </w:r>
          </w:p>
          <w:p w14:paraId="7FF74210">
            <w:pPr>
              <w:spacing w:before="79" w:line="219" w:lineRule="auto"/>
              <w:jc w:val="left"/>
            </w:pPr>
            <w:r>
              <w:rPr>
                <w:rFonts w:ascii="宋体" w:hAnsi="宋体" w:eastAsia="宋体" w:cs="宋体"/>
                <w:spacing w:val="-13"/>
                <w:sz w:val="24"/>
                <w:szCs w:val="24"/>
              </w:rPr>
              <w:t>保障设备：动力保障设备（UPS、变电设备</w:t>
            </w:r>
            <w:r>
              <w:rPr>
                <w:rFonts w:ascii="宋体" w:hAnsi="宋体" w:eastAsia="宋体" w:cs="宋体"/>
                <w:spacing w:val="-14"/>
                <w:sz w:val="24"/>
                <w:szCs w:val="24"/>
              </w:rPr>
              <w:t>等）、空调、保险柜、文件柜、门禁、</w:t>
            </w:r>
            <w:r>
              <w:rPr>
                <w:rFonts w:ascii="宋体" w:hAnsi="宋体" w:eastAsia="宋体" w:cs="宋体"/>
                <w:spacing w:val="-6"/>
                <w:sz w:val="24"/>
                <w:szCs w:val="24"/>
              </w:rPr>
              <w:t>消防设施等</w:t>
            </w:r>
          </w:p>
          <w:p w14:paraId="7B50E938">
            <w:pPr>
              <w:spacing w:before="78" w:line="219" w:lineRule="auto"/>
              <w:rPr>
                <w:rFonts w:ascii="宋体" w:hAnsi="宋体" w:eastAsia="宋体" w:cs="宋体"/>
                <w:sz w:val="24"/>
                <w:szCs w:val="24"/>
              </w:rPr>
            </w:pPr>
            <w:r>
              <w:rPr>
                <w:rFonts w:ascii="宋体" w:hAnsi="宋体" w:eastAsia="宋体" w:cs="宋体"/>
                <w:spacing w:val="-5"/>
                <w:sz w:val="24"/>
                <w:szCs w:val="24"/>
              </w:rPr>
              <w:t>安全保障设备：防火墙、入侵检测系统、身份验证等</w:t>
            </w:r>
          </w:p>
          <w:p w14:paraId="6F0BA3E8">
            <w:pPr>
              <w:spacing w:before="79" w:line="219" w:lineRule="auto"/>
              <w:jc w:val="both"/>
              <w:rPr>
                <w:rFonts w:hint="default" w:ascii="宋体" w:hAnsi="宋体" w:eastAsia="宋体" w:cs="宋体"/>
                <w:spacing w:val="-14"/>
                <w:sz w:val="24"/>
                <w:szCs w:val="24"/>
                <w:lang w:val="en-US" w:eastAsia="zh-CN"/>
              </w:rPr>
            </w:pPr>
            <w:r>
              <w:rPr>
                <w:rFonts w:ascii="宋体" w:hAnsi="宋体" w:eastAsia="宋体" w:cs="宋体"/>
                <w:spacing w:val="-5"/>
                <w:sz w:val="24"/>
                <w:szCs w:val="24"/>
              </w:rPr>
              <w:t>其他：打印机、复印机、扫描仪、传真机等</w:t>
            </w:r>
          </w:p>
        </w:tc>
      </w:tr>
      <w:tr w14:paraId="518C16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8" w:hRule="atLeast"/>
        </w:trPr>
        <w:tc>
          <w:tcPr>
            <w:tcW w:w="787" w:type="dxa"/>
            <w:shd w:val="clear" w:color="auto" w:fill="auto"/>
            <w:vAlign w:val="top"/>
          </w:tcPr>
          <w:p w14:paraId="78CC131C">
            <w:pPr>
              <w:pStyle w:val="22"/>
              <w:spacing w:line="249" w:lineRule="auto"/>
              <w:rPr>
                <w:rFonts w:hint="default" w:eastAsia="宋体"/>
                <w:lang w:val="en-US" w:eastAsia="zh-CN"/>
              </w:rPr>
            </w:pPr>
          </w:p>
          <w:p w14:paraId="348F21D3">
            <w:pPr>
              <w:spacing w:before="78" w:line="219" w:lineRule="auto"/>
              <w:ind w:left="117" w:leftChars="0"/>
              <w:rPr>
                <w:rFonts w:ascii="宋体" w:hAnsi="宋体" w:eastAsia="宋体" w:cs="宋体"/>
                <w:kern w:val="2"/>
                <w:sz w:val="24"/>
                <w:szCs w:val="24"/>
                <w:lang w:val="en-US" w:eastAsia="zh-CN" w:bidi="ar-SA"/>
              </w:rPr>
            </w:pPr>
            <w:r>
              <w:rPr>
                <w:rFonts w:ascii="宋体" w:hAnsi="宋体" w:eastAsia="宋体" w:cs="宋体"/>
                <w:spacing w:val="-5"/>
                <w:sz w:val="24"/>
                <w:szCs w:val="24"/>
              </w:rPr>
              <w:t>服务</w:t>
            </w:r>
          </w:p>
        </w:tc>
        <w:tc>
          <w:tcPr>
            <w:tcW w:w="8169" w:type="dxa"/>
            <w:shd w:val="clear" w:color="auto" w:fill="auto"/>
            <w:vAlign w:val="top"/>
          </w:tcPr>
          <w:p w14:paraId="766D186C">
            <w:pPr>
              <w:spacing w:before="245" w:line="219" w:lineRule="auto"/>
              <w:jc w:val="both"/>
              <w:rPr>
                <w:rFonts w:ascii="宋体" w:hAnsi="宋体" w:eastAsia="宋体" w:cs="宋体"/>
                <w:sz w:val="24"/>
                <w:szCs w:val="24"/>
              </w:rPr>
            </w:pPr>
            <w:r>
              <w:rPr>
                <w:rFonts w:ascii="宋体" w:hAnsi="宋体" w:eastAsia="宋体" w:cs="宋体"/>
                <w:spacing w:val="-9"/>
                <w:sz w:val="24"/>
                <w:szCs w:val="24"/>
              </w:rPr>
              <w:t>办公服务：为提高效率而开发的管理信息系统（MIS</w:t>
            </w:r>
            <w:r>
              <w:rPr>
                <w:rFonts w:ascii="宋体" w:hAnsi="宋体" w:eastAsia="宋体" w:cs="宋体"/>
                <w:spacing w:val="-53"/>
                <w:w w:val="84"/>
                <w:sz w:val="24"/>
                <w:szCs w:val="24"/>
              </w:rPr>
              <w:t>），</w:t>
            </w:r>
            <w:r>
              <w:rPr>
                <w:rFonts w:ascii="宋体" w:hAnsi="宋体" w:eastAsia="宋体" w:cs="宋体"/>
                <w:spacing w:val="-9"/>
                <w:sz w:val="24"/>
                <w:szCs w:val="24"/>
              </w:rPr>
              <w:t>包括各种</w:t>
            </w:r>
            <w:r>
              <w:rPr>
                <w:rFonts w:ascii="宋体" w:hAnsi="宋体" w:eastAsia="宋体" w:cs="宋体"/>
                <w:spacing w:val="-10"/>
                <w:sz w:val="24"/>
                <w:szCs w:val="24"/>
              </w:rPr>
              <w:t>内部配置管理、</w:t>
            </w:r>
            <w:r>
              <w:rPr>
                <w:rFonts w:ascii="宋体" w:hAnsi="宋体" w:eastAsia="宋体" w:cs="宋体"/>
                <w:spacing w:val="-5"/>
                <w:sz w:val="24"/>
                <w:szCs w:val="24"/>
              </w:rPr>
              <w:t>文件流转管理等服务</w:t>
            </w:r>
          </w:p>
          <w:p w14:paraId="2074331A">
            <w:pPr>
              <w:spacing w:before="78" w:line="219" w:lineRule="auto"/>
              <w:rPr>
                <w:rFonts w:ascii="宋体" w:hAnsi="宋体" w:eastAsia="宋体" w:cs="宋体"/>
                <w:sz w:val="24"/>
                <w:szCs w:val="24"/>
              </w:rPr>
            </w:pPr>
            <w:r>
              <w:rPr>
                <w:rFonts w:ascii="宋体" w:hAnsi="宋体" w:eastAsia="宋体" w:cs="宋体"/>
                <w:spacing w:val="-5"/>
                <w:sz w:val="24"/>
                <w:szCs w:val="24"/>
              </w:rPr>
              <w:t>网络服务：各种网络设备、设施提供的网络连接服务</w:t>
            </w:r>
          </w:p>
          <w:p w14:paraId="64CB2826">
            <w:pPr>
              <w:spacing w:before="78" w:line="219" w:lineRule="auto"/>
              <w:rPr>
                <w:rFonts w:ascii="宋体" w:hAnsi="宋体" w:eastAsia="宋体" w:cs="宋体"/>
                <w:kern w:val="2"/>
                <w:sz w:val="24"/>
                <w:szCs w:val="24"/>
                <w:lang w:val="en-US" w:eastAsia="zh-CN" w:bidi="ar-SA"/>
              </w:rPr>
            </w:pPr>
            <w:r>
              <w:rPr>
                <w:rFonts w:ascii="宋体" w:hAnsi="宋体" w:eastAsia="宋体" w:cs="宋体"/>
                <w:spacing w:val="-5"/>
                <w:sz w:val="24"/>
                <w:szCs w:val="24"/>
              </w:rPr>
              <w:t>信息服务：对外依赖该系统开展的各类服务</w:t>
            </w:r>
          </w:p>
        </w:tc>
      </w:tr>
      <w:tr w14:paraId="36966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7" w:type="dxa"/>
            <w:shd w:val="clear" w:color="auto" w:fill="auto"/>
            <w:vAlign w:val="top"/>
          </w:tcPr>
          <w:p w14:paraId="76F4795B">
            <w:pPr>
              <w:spacing w:before="246" w:line="219" w:lineRule="auto"/>
              <w:ind w:left="119" w:leftChars="0"/>
              <w:rPr>
                <w:rFonts w:ascii="宋体" w:hAnsi="宋体" w:eastAsia="宋体" w:cs="宋体"/>
                <w:kern w:val="2"/>
                <w:sz w:val="24"/>
                <w:szCs w:val="24"/>
                <w:lang w:val="en-US" w:eastAsia="zh-CN" w:bidi="ar-SA"/>
              </w:rPr>
            </w:pPr>
            <w:r>
              <w:rPr>
                <w:rFonts w:ascii="宋体" w:hAnsi="宋体" w:eastAsia="宋体" w:cs="宋体"/>
                <w:spacing w:val="-6"/>
                <w:sz w:val="24"/>
                <w:szCs w:val="24"/>
              </w:rPr>
              <w:t>文档</w:t>
            </w:r>
          </w:p>
        </w:tc>
        <w:tc>
          <w:tcPr>
            <w:tcW w:w="8169" w:type="dxa"/>
            <w:shd w:val="clear" w:color="auto" w:fill="auto"/>
            <w:vAlign w:val="top"/>
          </w:tcPr>
          <w:p w14:paraId="0D93D7BA">
            <w:pPr>
              <w:spacing w:before="246" w:line="218" w:lineRule="auto"/>
              <w:ind w:left="115" w:leftChars="0"/>
              <w:rPr>
                <w:rFonts w:ascii="宋体" w:hAnsi="宋体" w:eastAsia="宋体" w:cs="宋体"/>
                <w:kern w:val="2"/>
                <w:sz w:val="24"/>
                <w:szCs w:val="24"/>
                <w:lang w:val="en-US" w:eastAsia="zh-CN" w:bidi="ar-SA"/>
              </w:rPr>
            </w:pPr>
            <w:r>
              <w:rPr>
                <w:rFonts w:ascii="宋体" w:hAnsi="宋体" w:eastAsia="宋体" w:cs="宋体"/>
                <w:spacing w:val="-5"/>
                <w:sz w:val="24"/>
                <w:szCs w:val="24"/>
              </w:rPr>
              <w:t>纸质的各种文件、传真、电报、财务报告、发展计划等</w:t>
            </w:r>
          </w:p>
        </w:tc>
      </w:tr>
      <w:tr w14:paraId="188C5E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9A9510A">
            <w:pPr>
              <w:pStyle w:val="22"/>
              <w:spacing w:line="262" w:lineRule="auto"/>
            </w:pPr>
          </w:p>
          <w:p w14:paraId="04C921E7">
            <w:pPr>
              <w:pStyle w:val="22"/>
              <w:spacing w:line="263" w:lineRule="auto"/>
            </w:pPr>
          </w:p>
          <w:p w14:paraId="68AC954F">
            <w:pPr>
              <w:spacing w:before="78" w:line="221" w:lineRule="auto"/>
              <w:ind w:left="119" w:leftChars="0"/>
              <w:rPr>
                <w:rFonts w:ascii="宋体" w:hAnsi="宋体" w:eastAsia="宋体" w:cs="宋体"/>
                <w:kern w:val="2"/>
                <w:sz w:val="24"/>
                <w:szCs w:val="24"/>
                <w:lang w:val="en-US" w:eastAsia="zh-CN" w:bidi="ar-SA"/>
              </w:rPr>
            </w:pPr>
            <w:r>
              <w:rPr>
                <w:rFonts w:ascii="宋体" w:hAnsi="宋体" w:eastAsia="宋体" w:cs="宋体"/>
                <w:spacing w:val="-6"/>
                <w:sz w:val="24"/>
                <w:szCs w:val="24"/>
              </w:rPr>
              <w:t>人员</w:t>
            </w:r>
          </w:p>
        </w:tc>
        <w:tc>
          <w:tcPr>
            <w:tcW w:w="0" w:type="auto"/>
            <w:shd w:val="clear" w:color="auto" w:fill="auto"/>
            <w:vAlign w:val="top"/>
          </w:tcPr>
          <w:p w14:paraId="512205E2">
            <w:pPr>
              <w:spacing w:before="246" w:line="219" w:lineRule="auto"/>
              <w:rPr>
                <w:rFonts w:ascii="宋体" w:hAnsi="宋体" w:eastAsia="宋体" w:cs="宋体"/>
                <w:sz w:val="24"/>
                <w:szCs w:val="24"/>
              </w:rPr>
            </w:pPr>
            <w:r>
              <w:rPr>
                <w:rFonts w:ascii="宋体" w:hAnsi="宋体" w:eastAsia="宋体" w:cs="宋体"/>
                <w:spacing w:val="-6"/>
                <w:sz w:val="24"/>
                <w:szCs w:val="24"/>
              </w:rPr>
              <w:t>掌握重要信息和核心业务的人员，如主机维</w:t>
            </w:r>
            <w:r>
              <w:rPr>
                <w:rFonts w:ascii="宋体" w:hAnsi="宋体" w:eastAsia="宋体" w:cs="宋体"/>
                <w:spacing w:val="-7"/>
                <w:sz w:val="24"/>
                <w:szCs w:val="24"/>
              </w:rPr>
              <w:t>护主管、网络维护主管及应用项目</w:t>
            </w:r>
          </w:p>
          <w:p w14:paraId="3701F3D0">
            <w:pPr>
              <w:spacing w:before="78" w:line="219" w:lineRule="auto"/>
              <w:rPr>
                <w:rFonts w:ascii="宋体" w:hAnsi="宋体" w:eastAsia="宋体" w:cs="宋体"/>
                <w:kern w:val="2"/>
                <w:sz w:val="24"/>
                <w:szCs w:val="24"/>
                <w:lang w:val="en-US" w:eastAsia="zh-CN" w:bidi="ar-SA"/>
              </w:rPr>
            </w:pPr>
            <w:r>
              <w:rPr>
                <w:rFonts w:ascii="宋体" w:hAnsi="宋体" w:eastAsia="宋体" w:cs="宋体"/>
                <w:spacing w:val="-6"/>
                <w:sz w:val="24"/>
                <w:szCs w:val="24"/>
              </w:rPr>
              <w:t>经理等</w:t>
            </w:r>
          </w:p>
        </w:tc>
      </w:tr>
      <w:tr w14:paraId="32AB44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10223B9">
            <w:pPr>
              <w:spacing w:before="246" w:line="221" w:lineRule="auto"/>
              <w:ind w:left="118" w:leftChars="0"/>
              <w:rPr>
                <w:rFonts w:ascii="宋体" w:hAnsi="宋体" w:eastAsia="宋体" w:cs="宋体"/>
                <w:kern w:val="2"/>
                <w:sz w:val="24"/>
                <w:szCs w:val="24"/>
                <w:lang w:val="en-US" w:eastAsia="zh-CN" w:bidi="ar-SA"/>
              </w:rPr>
            </w:pPr>
            <w:r>
              <w:rPr>
                <w:rFonts w:ascii="宋体" w:hAnsi="宋体" w:eastAsia="宋体" w:cs="宋体"/>
                <w:spacing w:val="-6"/>
                <w:sz w:val="24"/>
                <w:szCs w:val="24"/>
              </w:rPr>
              <w:t>其它</w:t>
            </w:r>
          </w:p>
        </w:tc>
        <w:tc>
          <w:tcPr>
            <w:tcW w:w="0" w:type="auto"/>
            <w:shd w:val="clear" w:color="auto" w:fill="auto"/>
            <w:vAlign w:val="top"/>
          </w:tcPr>
          <w:p w14:paraId="21293C92">
            <w:pPr>
              <w:spacing w:before="247" w:line="219" w:lineRule="auto"/>
              <w:rPr>
                <w:rFonts w:ascii="宋体" w:hAnsi="宋体" w:eastAsia="宋体" w:cs="宋体"/>
                <w:kern w:val="2"/>
                <w:sz w:val="24"/>
                <w:szCs w:val="24"/>
                <w:lang w:val="en-US" w:eastAsia="zh-CN" w:bidi="ar-SA"/>
              </w:rPr>
            </w:pPr>
            <w:r>
              <w:rPr>
                <w:rFonts w:ascii="宋体" w:hAnsi="宋体" w:eastAsia="宋体" w:cs="宋体"/>
                <w:spacing w:val="-5"/>
                <w:sz w:val="24"/>
                <w:szCs w:val="24"/>
              </w:rPr>
              <w:t>企业形象，客户关系等</w:t>
            </w:r>
          </w:p>
        </w:tc>
      </w:tr>
    </w:tbl>
    <w:p w14:paraId="4C24F4FA">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0DC217B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资产识别方式及阶段成果：在资产识别过程中，本公司信息安全管理委员会可以通过问卷调查、人员问询的方式识别每一项资产，在本阶段结束后本公司信息安全管理委员会将向信息系统所有者提供《资产识别清单》，清单中应明确各资产的负责人/部门，并由信息系统所有者进行书面确认。</w:t>
      </w:r>
    </w:p>
    <w:p w14:paraId="582207E1">
      <w:pPr>
        <w:pStyle w:val="5"/>
        <w:bidi w:val="0"/>
        <w:rPr>
          <w:rFonts w:hint="default"/>
          <w:lang w:val="en-US" w:eastAsia="zh-CN"/>
        </w:rPr>
      </w:pPr>
      <w:r>
        <w:rPr>
          <w:rFonts w:hint="default"/>
          <w:lang w:val="en-US" w:eastAsia="zh-CN"/>
        </w:rPr>
        <w:t>3.4.2.2资产赋值</w:t>
      </w:r>
    </w:p>
    <w:p w14:paraId="71A395B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本指南所指资产赋值是对资产安全价值的估价，而不是以资产的账面价格来衡量的。在对资产进行估价时，不仅要考虑资产的成本价格，更重要的是考虑资产对于组织业务的安全重要性，即根据资产损失所引发的潜在的商务影响来决定。为确保资产估价时的一致性和准确性，本公司信息安全管理委员会应按照上述原则，建立一个资产价值尺度（资产评估标准），以明确如何对资产进行赋值。</w:t>
      </w:r>
    </w:p>
    <w:p w14:paraId="6BF4560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资产估价的过程也就是对资产机密性、完整性和可用性影响分析的过程。影响就是由人为或突发性引起的安全事件对资产破坏的后果。这一后果可能毁灭某些资产，危及信息系统并使其丧失机密性、完整性和可用性，最终还会导致财产损失、市场份额或公司形象的损失。特别重要的是，即使每一次影响引起的损失并不大，但长期积累的众多意外事件的影响总和则可造成严重损失。一般情况下，影响主要从以下几方面来考虑：</w:t>
      </w:r>
    </w:p>
    <w:p w14:paraId="24ACAB2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position w:val="-4"/>
          <w:sz w:val="24"/>
          <w:szCs w:val="24"/>
        </w:rPr>
        <w:drawing>
          <wp:inline distT="0" distB="0" distL="0" distR="0">
            <wp:extent cx="107950" cy="168275"/>
            <wp:effectExtent l="0" t="0" r="13970" b="14605"/>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 xml:space="preserve"> 违反了有关法律或（和）规章制度</w:t>
      </w:r>
    </w:p>
    <w:p w14:paraId="3F21FB6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position w:val="-4"/>
          <w:sz w:val="24"/>
          <w:szCs w:val="24"/>
        </w:rPr>
        <w:drawing>
          <wp:inline distT="0" distB="0" distL="0" distR="0">
            <wp:extent cx="107950" cy="168275"/>
            <wp:effectExtent l="0" t="0" r="13970" b="14605"/>
            <wp:docPr id="3" name="IM 8"/>
            <wp:cNvGraphicFramePr/>
            <a:graphic xmlns:a="http://schemas.openxmlformats.org/drawingml/2006/main">
              <a:graphicData uri="http://schemas.openxmlformats.org/drawingml/2006/picture">
                <pic:pic xmlns:pic="http://schemas.openxmlformats.org/drawingml/2006/picture">
                  <pic:nvPicPr>
                    <pic:cNvPr id="3" name="IM 8"/>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 xml:space="preserve"> 影响了业务执行</w:t>
      </w:r>
    </w:p>
    <w:p w14:paraId="79D9E50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position w:val="-4"/>
          <w:sz w:val="24"/>
          <w:szCs w:val="24"/>
        </w:rPr>
        <w:drawing>
          <wp:inline distT="0" distB="0" distL="0" distR="0">
            <wp:extent cx="107950" cy="168275"/>
            <wp:effectExtent l="0" t="0" r="13970" b="14605"/>
            <wp:docPr id="5" name="IM 8"/>
            <wp:cNvGraphicFramePr/>
            <a:graphic xmlns:a="http://schemas.openxmlformats.org/drawingml/2006/main">
              <a:graphicData uri="http://schemas.openxmlformats.org/drawingml/2006/picture">
                <pic:pic xmlns:pic="http://schemas.openxmlformats.org/drawingml/2006/picture">
                  <pic:nvPicPr>
                    <pic:cNvPr id="5" name="IM 8"/>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 xml:space="preserve"> 造成了信誉、声誉损失</w:t>
      </w:r>
    </w:p>
    <w:p w14:paraId="15710831">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position w:val="-4"/>
          <w:sz w:val="24"/>
          <w:szCs w:val="24"/>
        </w:rPr>
        <w:drawing>
          <wp:inline distT="0" distB="0" distL="0" distR="0">
            <wp:extent cx="107950" cy="168275"/>
            <wp:effectExtent l="0" t="0" r="13970" b="14605"/>
            <wp:docPr id="7" name="IM 8"/>
            <wp:cNvGraphicFramePr/>
            <a:graphic xmlns:a="http://schemas.openxmlformats.org/drawingml/2006/main">
              <a:graphicData uri="http://schemas.openxmlformats.org/drawingml/2006/picture">
                <pic:pic xmlns:pic="http://schemas.openxmlformats.org/drawingml/2006/picture">
                  <pic:nvPicPr>
                    <pic:cNvPr id="7" name="IM 8"/>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侵犯了个人隐私</w:t>
      </w:r>
    </w:p>
    <w:p w14:paraId="67069621">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position w:val="-4"/>
          <w:sz w:val="24"/>
          <w:szCs w:val="24"/>
        </w:rPr>
        <w:drawing>
          <wp:inline distT="0" distB="0" distL="0" distR="0">
            <wp:extent cx="107950" cy="168275"/>
            <wp:effectExtent l="0" t="0" r="13970" b="14605"/>
            <wp:docPr id="9" name="IM 8"/>
            <wp:cNvGraphicFramePr/>
            <a:graphic xmlns:a="http://schemas.openxmlformats.org/drawingml/2006/main">
              <a:graphicData uri="http://schemas.openxmlformats.org/drawingml/2006/picture">
                <pic:pic xmlns:pic="http://schemas.openxmlformats.org/drawingml/2006/picture">
                  <pic:nvPicPr>
                    <pic:cNvPr id="9" name="IM 8"/>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造成了人身伤害</w:t>
      </w:r>
    </w:p>
    <w:p w14:paraId="4749464A">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position w:val="-4"/>
          <w:sz w:val="24"/>
          <w:szCs w:val="24"/>
        </w:rPr>
        <w:drawing>
          <wp:inline distT="0" distB="0" distL="0" distR="0">
            <wp:extent cx="107950" cy="168275"/>
            <wp:effectExtent l="0" t="0" r="13970" b="14605"/>
            <wp:docPr id="10" name="IM 8"/>
            <wp:cNvGraphicFramePr/>
            <a:graphic xmlns:a="http://schemas.openxmlformats.org/drawingml/2006/main">
              <a:graphicData uri="http://schemas.openxmlformats.org/drawingml/2006/picture">
                <pic:pic xmlns:pic="http://schemas.openxmlformats.org/drawingml/2006/picture">
                  <pic:nvPicPr>
                    <pic:cNvPr id="10" name="IM 8"/>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对法律实施造成了负面影响</w:t>
      </w:r>
    </w:p>
    <w:p w14:paraId="4FA3843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position w:val="-4"/>
          <w:sz w:val="24"/>
          <w:szCs w:val="24"/>
        </w:rPr>
        <w:drawing>
          <wp:inline distT="0" distB="0" distL="0" distR="0">
            <wp:extent cx="107950" cy="168275"/>
            <wp:effectExtent l="0" t="0" r="13970" b="14605"/>
            <wp:docPr id="11" name="IM 8"/>
            <wp:cNvGraphicFramePr/>
            <a:graphic xmlns:a="http://schemas.openxmlformats.org/drawingml/2006/main">
              <a:graphicData uri="http://schemas.openxmlformats.org/drawingml/2006/picture">
                <pic:pic xmlns:pic="http://schemas.openxmlformats.org/drawingml/2006/picture">
                  <pic:nvPicPr>
                    <pic:cNvPr id="11" name="IM 8"/>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侵犯了商业机密</w:t>
      </w:r>
    </w:p>
    <w:p w14:paraId="69FD447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position w:val="-4"/>
          <w:sz w:val="24"/>
          <w:szCs w:val="24"/>
        </w:rPr>
        <w:drawing>
          <wp:inline distT="0" distB="0" distL="0" distR="0">
            <wp:extent cx="107950" cy="168275"/>
            <wp:effectExtent l="0" t="0" r="13970" b="14605"/>
            <wp:docPr id="12" name="IM 8"/>
            <wp:cNvGraphicFramePr/>
            <a:graphic xmlns:a="http://schemas.openxmlformats.org/drawingml/2006/main">
              <a:graphicData uri="http://schemas.openxmlformats.org/drawingml/2006/picture">
                <pic:pic xmlns:pic="http://schemas.openxmlformats.org/drawingml/2006/picture">
                  <pic:nvPicPr>
                    <pic:cNvPr id="12" name="IM 8"/>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违反了社会公共准则</w:t>
      </w:r>
    </w:p>
    <w:p w14:paraId="6C05349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position w:val="-4"/>
          <w:sz w:val="24"/>
          <w:szCs w:val="24"/>
        </w:rPr>
        <w:drawing>
          <wp:inline distT="0" distB="0" distL="0" distR="0">
            <wp:extent cx="107950" cy="168275"/>
            <wp:effectExtent l="0" t="0" r="13970" b="14605"/>
            <wp:docPr id="13" name="IM 8"/>
            <wp:cNvGraphicFramePr/>
            <a:graphic xmlns:a="http://schemas.openxmlformats.org/drawingml/2006/main">
              <a:graphicData uri="http://schemas.openxmlformats.org/drawingml/2006/picture">
                <pic:pic xmlns:pic="http://schemas.openxmlformats.org/drawingml/2006/picture">
                  <pic:nvPicPr>
                    <pic:cNvPr id="13" name="IM 8"/>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造成了经济损失</w:t>
      </w:r>
    </w:p>
    <w:p w14:paraId="6E1FC56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position w:val="-4"/>
          <w:sz w:val="24"/>
          <w:szCs w:val="24"/>
        </w:rPr>
        <w:drawing>
          <wp:inline distT="0" distB="0" distL="0" distR="0">
            <wp:extent cx="107950" cy="168275"/>
            <wp:effectExtent l="0" t="0" r="13970" b="14605"/>
            <wp:docPr id="14" name="IM 8"/>
            <wp:cNvGraphicFramePr/>
            <a:graphic xmlns:a="http://schemas.openxmlformats.org/drawingml/2006/main">
              <a:graphicData uri="http://schemas.openxmlformats.org/drawingml/2006/picture">
                <pic:pic xmlns:pic="http://schemas.openxmlformats.org/drawingml/2006/picture">
                  <pic:nvPicPr>
                    <pic:cNvPr id="14" name="IM 8"/>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破坏了业务活动</w:t>
      </w:r>
    </w:p>
    <w:p w14:paraId="3D37A15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position w:val="-4"/>
          <w:sz w:val="24"/>
          <w:szCs w:val="24"/>
        </w:rPr>
        <w:drawing>
          <wp:inline distT="0" distB="0" distL="0" distR="0">
            <wp:extent cx="107950" cy="168275"/>
            <wp:effectExtent l="0" t="0" r="13970" b="14605"/>
            <wp:docPr id="15" name="IM 8"/>
            <wp:cNvGraphicFramePr/>
            <a:graphic xmlns:a="http://schemas.openxmlformats.org/drawingml/2006/main">
              <a:graphicData uri="http://schemas.openxmlformats.org/drawingml/2006/picture">
                <pic:pic xmlns:pic="http://schemas.openxmlformats.org/drawingml/2006/picture">
                  <pic:nvPicPr>
                    <pic:cNvPr id="15" name="IM 8"/>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危害了公共安全</w:t>
      </w:r>
    </w:p>
    <w:p w14:paraId="01EBF20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资产安全属性的不同通常也意味着安全控制、保护功能需求的不同。风险评估小组应当通过考察三种不同安全属性，能够基本反映资产的价值。</w:t>
      </w:r>
    </w:p>
    <w:p w14:paraId="5C82993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ascii="Wingdings" w:hAnsi="Wingdings" w:eastAsia="Wingdings" w:cs="Wingdings"/>
          <w:spacing w:val="-9"/>
          <w:sz w:val="24"/>
          <w:szCs w:val="24"/>
        </w:rPr>
        <w:t>u</w:t>
      </w:r>
      <w:r>
        <w:rPr>
          <w:rFonts w:hint="default"/>
          <w:sz w:val="24"/>
          <w:lang w:val="en-US" w:eastAsia="zh-CN"/>
        </w:rPr>
        <w:t>机密性赋值</w:t>
      </w:r>
    </w:p>
    <w:p w14:paraId="0A6A689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根据资产机密性属性的不同，将它分为 5 个不同的等级，分别对应资产在机密性方面的价值或者在机密性方面受到损失时对整个评估的影响。</w:t>
      </w:r>
    </w:p>
    <w:tbl>
      <w:tblPr>
        <w:tblStyle w:val="15"/>
        <w:tblW w:w="96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1025"/>
        <w:gridCol w:w="7876"/>
      </w:tblGrid>
      <w:tr w14:paraId="667C60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0" w:type="dxa"/>
            <w:shd w:val="clear" w:color="auto" w:fill="auto"/>
            <w:vAlign w:val="top"/>
          </w:tcPr>
          <w:p w14:paraId="7E1FC6E7">
            <w:pPr>
              <w:spacing w:before="243" w:line="219" w:lineRule="auto"/>
              <w:ind w:left="115"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赋值</w:t>
            </w:r>
          </w:p>
        </w:tc>
        <w:tc>
          <w:tcPr>
            <w:tcW w:w="1025" w:type="dxa"/>
            <w:shd w:val="clear" w:color="auto" w:fill="auto"/>
            <w:vAlign w:val="top"/>
          </w:tcPr>
          <w:p w14:paraId="59CDD9D9">
            <w:pPr>
              <w:spacing w:before="242" w:line="220" w:lineRule="auto"/>
              <w:ind w:left="114"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标识</w:t>
            </w:r>
          </w:p>
        </w:tc>
        <w:tc>
          <w:tcPr>
            <w:tcW w:w="7876" w:type="dxa"/>
            <w:shd w:val="clear" w:color="auto" w:fill="auto"/>
            <w:vAlign w:val="top"/>
          </w:tcPr>
          <w:p w14:paraId="407571A2">
            <w:pPr>
              <w:spacing w:before="242" w:line="220" w:lineRule="auto"/>
              <w:ind w:left="119" w:leftChars="0"/>
              <w:rPr>
                <w:rFonts w:hint="default" w:ascii="宋体" w:hAnsi="宋体" w:eastAsia="宋体" w:cs="宋体"/>
                <w:kern w:val="2"/>
                <w:sz w:val="24"/>
                <w:szCs w:val="24"/>
                <w:lang w:val="en-US" w:eastAsia="zh-CN" w:bidi="ar-SA"/>
              </w:rPr>
            </w:pPr>
            <w:r>
              <w:rPr>
                <w:rFonts w:ascii="宋体" w:hAnsi="宋体" w:eastAsia="宋体" w:cs="宋体"/>
                <w:spacing w:val="-8"/>
                <w:sz w:val="24"/>
                <w:szCs w:val="24"/>
              </w:rPr>
              <w:t>定义</w:t>
            </w:r>
          </w:p>
        </w:tc>
      </w:tr>
      <w:tr w14:paraId="1319E8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shd w:val="clear" w:color="auto" w:fill="auto"/>
            <w:vAlign w:val="top"/>
          </w:tcPr>
          <w:p w14:paraId="3ECE2158">
            <w:pPr>
              <w:pStyle w:val="22"/>
              <w:spacing w:line="259" w:lineRule="auto"/>
            </w:pPr>
          </w:p>
          <w:p w14:paraId="2CCE302A">
            <w:pPr>
              <w:pStyle w:val="22"/>
              <w:spacing w:line="260" w:lineRule="auto"/>
            </w:pPr>
          </w:p>
          <w:p w14:paraId="48A3C264">
            <w:pPr>
              <w:spacing w:before="78"/>
              <w:ind w:left="118" w:leftChars="0"/>
              <w:rPr>
                <w:rFonts w:hint="default" w:ascii="宋体" w:hAnsi="宋体" w:eastAsia="宋体" w:cs="宋体"/>
                <w:kern w:val="2"/>
                <w:sz w:val="24"/>
                <w:szCs w:val="24"/>
                <w:lang w:val="en-US" w:eastAsia="zh-CN" w:bidi="ar-SA"/>
              </w:rPr>
            </w:pPr>
            <w:r>
              <w:rPr>
                <w:rFonts w:ascii="宋体" w:hAnsi="宋体" w:eastAsia="宋体" w:cs="宋体"/>
                <w:sz w:val="24"/>
                <w:szCs w:val="24"/>
              </w:rPr>
              <w:t>5</w:t>
            </w:r>
          </w:p>
        </w:tc>
        <w:tc>
          <w:tcPr>
            <w:tcW w:w="1025" w:type="dxa"/>
            <w:shd w:val="clear" w:color="auto" w:fill="auto"/>
            <w:vAlign w:val="top"/>
          </w:tcPr>
          <w:p w14:paraId="496E18A1">
            <w:pPr>
              <w:pStyle w:val="22"/>
              <w:spacing w:line="260" w:lineRule="auto"/>
            </w:pPr>
          </w:p>
          <w:p w14:paraId="390FACEE">
            <w:pPr>
              <w:pStyle w:val="22"/>
              <w:spacing w:line="260" w:lineRule="auto"/>
            </w:pPr>
          </w:p>
          <w:p w14:paraId="2F5AF420">
            <w:pPr>
              <w:spacing w:before="78" w:line="219" w:lineRule="auto"/>
              <w:ind w:left="116" w:leftChars="0"/>
              <w:rPr>
                <w:rFonts w:hint="default" w:ascii="宋体" w:hAnsi="宋体" w:eastAsia="宋体" w:cs="宋体"/>
                <w:kern w:val="2"/>
                <w:sz w:val="24"/>
                <w:szCs w:val="24"/>
                <w:lang w:val="en-US" w:eastAsia="zh-CN" w:bidi="ar-SA"/>
              </w:rPr>
            </w:pPr>
            <w:r>
              <w:rPr>
                <w:rFonts w:ascii="宋体" w:hAnsi="宋体" w:eastAsia="宋体" w:cs="宋体"/>
                <w:spacing w:val="-7"/>
                <w:sz w:val="24"/>
                <w:szCs w:val="24"/>
              </w:rPr>
              <w:t>极高</w:t>
            </w:r>
          </w:p>
        </w:tc>
        <w:tc>
          <w:tcPr>
            <w:tcW w:w="7876" w:type="dxa"/>
            <w:shd w:val="clear" w:color="auto" w:fill="auto"/>
            <w:vAlign w:val="top"/>
          </w:tcPr>
          <w:p w14:paraId="2D83F84F">
            <w:pPr>
              <w:spacing w:before="238" w:line="219" w:lineRule="auto"/>
              <w:rPr>
                <w:rFonts w:ascii="宋体" w:hAnsi="宋体" w:eastAsia="宋体" w:cs="宋体"/>
                <w:sz w:val="24"/>
                <w:szCs w:val="24"/>
              </w:rPr>
            </w:pPr>
            <w:r>
              <w:rPr>
                <w:rFonts w:ascii="宋体" w:hAnsi="宋体" w:eastAsia="宋体" w:cs="宋体"/>
                <w:spacing w:val="-1"/>
                <w:sz w:val="24"/>
                <w:szCs w:val="24"/>
              </w:rPr>
              <w:t>包含组织最重要的机密，关系组织未来发展的前途命运，对组织根本利益</w:t>
            </w:r>
          </w:p>
          <w:p w14:paraId="65E6B848">
            <w:pPr>
              <w:spacing w:before="78" w:line="219" w:lineRule="auto"/>
              <w:rPr>
                <w:rFonts w:hint="default" w:ascii="宋体" w:hAnsi="宋体" w:eastAsia="宋体" w:cs="宋体"/>
                <w:kern w:val="2"/>
                <w:sz w:val="24"/>
                <w:szCs w:val="24"/>
                <w:lang w:val="en-US" w:eastAsia="zh-CN" w:bidi="ar-SA"/>
              </w:rPr>
            </w:pPr>
            <w:r>
              <w:rPr>
                <w:rFonts w:ascii="宋体" w:hAnsi="宋体" w:eastAsia="宋体" w:cs="宋体"/>
                <w:spacing w:val="-5"/>
                <w:sz w:val="24"/>
                <w:szCs w:val="24"/>
              </w:rPr>
              <w:t>有着</w:t>
            </w:r>
            <w:bookmarkStart w:id="18" w:name="_GoBack"/>
            <w:bookmarkEnd w:id="18"/>
            <w:r>
              <w:rPr>
                <w:rFonts w:ascii="宋体" w:hAnsi="宋体" w:eastAsia="宋体" w:cs="宋体"/>
                <w:spacing w:val="-5"/>
                <w:sz w:val="24"/>
                <w:szCs w:val="24"/>
              </w:rPr>
              <w:t>决定性影响，如果泄漏会造成灾难性的损害</w:t>
            </w:r>
          </w:p>
        </w:tc>
      </w:tr>
      <w:tr w14:paraId="325B70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shd w:val="clear" w:color="auto" w:fill="auto"/>
            <w:vAlign w:val="top"/>
          </w:tcPr>
          <w:p w14:paraId="264D70D7">
            <w:pPr>
              <w:spacing w:before="242" w:line="241" w:lineRule="auto"/>
              <w:ind w:left="112" w:leftChars="0"/>
              <w:rPr>
                <w:rFonts w:hint="default" w:ascii="宋体" w:hAnsi="宋体" w:eastAsia="宋体" w:cs="宋体"/>
                <w:kern w:val="2"/>
                <w:sz w:val="24"/>
                <w:szCs w:val="24"/>
                <w:lang w:val="en-US" w:eastAsia="zh-CN" w:bidi="ar-SA"/>
              </w:rPr>
            </w:pPr>
            <w:r>
              <w:rPr>
                <w:rFonts w:ascii="宋体" w:hAnsi="宋体" w:eastAsia="宋体" w:cs="宋体"/>
                <w:sz w:val="24"/>
                <w:szCs w:val="24"/>
              </w:rPr>
              <w:t>4</w:t>
            </w:r>
          </w:p>
        </w:tc>
        <w:tc>
          <w:tcPr>
            <w:tcW w:w="1025" w:type="dxa"/>
            <w:shd w:val="clear" w:color="auto" w:fill="auto"/>
            <w:vAlign w:val="top"/>
          </w:tcPr>
          <w:p w14:paraId="6DC9900A">
            <w:pPr>
              <w:spacing w:before="242" w:line="219" w:lineRule="auto"/>
              <w:ind w:left="120" w:leftChars="0"/>
              <w:rPr>
                <w:rFonts w:hint="default" w:ascii="宋体" w:hAnsi="宋体" w:eastAsia="宋体" w:cs="宋体"/>
                <w:kern w:val="2"/>
                <w:sz w:val="24"/>
                <w:szCs w:val="24"/>
                <w:lang w:val="en-US" w:eastAsia="zh-CN" w:bidi="ar-SA"/>
              </w:rPr>
            </w:pPr>
            <w:r>
              <w:rPr>
                <w:rFonts w:ascii="宋体" w:hAnsi="宋体" w:eastAsia="宋体" w:cs="宋体"/>
                <w:sz w:val="24"/>
                <w:szCs w:val="24"/>
              </w:rPr>
              <w:t>高</w:t>
            </w:r>
          </w:p>
        </w:tc>
        <w:tc>
          <w:tcPr>
            <w:tcW w:w="7876" w:type="dxa"/>
            <w:shd w:val="clear" w:color="auto" w:fill="auto"/>
            <w:vAlign w:val="top"/>
          </w:tcPr>
          <w:p w14:paraId="639BB145">
            <w:pPr>
              <w:spacing w:before="241" w:line="219" w:lineRule="auto"/>
              <w:rPr>
                <w:rFonts w:hint="default" w:ascii="宋体" w:hAnsi="宋体" w:eastAsia="宋体" w:cs="宋体"/>
                <w:kern w:val="2"/>
                <w:sz w:val="24"/>
                <w:szCs w:val="24"/>
                <w:lang w:val="en-US" w:eastAsia="zh-CN" w:bidi="ar-SA"/>
              </w:rPr>
            </w:pPr>
            <w:r>
              <w:rPr>
                <w:rFonts w:ascii="宋体" w:hAnsi="宋体" w:eastAsia="宋体" w:cs="宋体"/>
                <w:spacing w:val="-4"/>
                <w:sz w:val="24"/>
                <w:szCs w:val="24"/>
              </w:rPr>
              <w:t>包含组织的重要秘密，其泄露会使组织的安全和</w:t>
            </w:r>
            <w:r>
              <w:rPr>
                <w:rFonts w:ascii="宋体" w:hAnsi="宋体" w:eastAsia="宋体" w:cs="宋体"/>
                <w:spacing w:val="-5"/>
                <w:sz w:val="24"/>
                <w:szCs w:val="24"/>
              </w:rPr>
              <w:t>利益遭受严重损害</w:t>
            </w:r>
          </w:p>
        </w:tc>
      </w:tr>
      <w:tr w14:paraId="317A6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shd w:val="clear" w:color="auto" w:fill="auto"/>
            <w:vAlign w:val="top"/>
          </w:tcPr>
          <w:p w14:paraId="5AFCE46C">
            <w:pPr>
              <w:spacing w:before="240"/>
              <w:ind w:left="118" w:leftChars="0"/>
              <w:rPr>
                <w:rFonts w:hint="default" w:ascii="宋体" w:hAnsi="宋体" w:eastAsia="宋体" w:cs="宋体"/>
                <w:kern w:val="2"/>
                <w:sz w:val="24"/>
                <w:szCs w:val="24"/>
                <w:lang w:val="en-US" w:eastAsia="zh-CN" w:bidi="ar-SA"/>
              </w:rPr>
            </w:pPr>
            <w:r>
              <w:rPr>
                <w:rFonts w:ascii="宋体" w:hAnsi="宋体" w:eastAsia="宋体" w:cs="宋体"/>
                <w:sz w:val="24"/>
                <w:szCs w:val="24"/>
              </w:rPr>
              <w:t>3</w:t>
            </w:r>
          </w:p>
        </w:tc>
        <w:tc>
          <w:tcPr>
            <w:tcW w:w="1025" w:type="dxa"/>
            <w:shd w:val="clear" w:color="auto" w:fill="auto"/>
            <w:vAlign w:val="top"/>
          </w:tcPr>
          <w:p w14:paraId="3E88BA3B">
            <w:pPr>
              <w:spacing w:before="241" w:line="219" w:lineRule="auto"/>
              <w:ind w:left="136" w:leftChars="0"/>
              <w:rPr>
                <w:rFonts w:hint="default" w:ascii="宋体" w:hAnsi="宋体" w:eastAsia="宋体" w:cs="宋体"/>
                <w:kern w:val="2"/>
                <w:sz w:val="24"/>
                <w:szCs w:val="24"/>
                <w:lang w:val="en-US" w:eastAsia="zh-CN" w:bidi="ar-SA"/>
              </w:rPr>
            </w:pPr>
            <w:r>
              <w:rPr>
                <w:rFonts w:ascii="宋体" w:hAnsi="宋体" w:eastAsia="宋体" w:cs="宋体"/>
                <w:spacing w:val="-16"/>
                <w:sz w:val="24"/>
                <w:szCs w:val="24"/>
              </w:rPr>
              <w:t>中等</w:t>
            </w:r>
          </w:p>
        </w:tc>
        <w:tc>
          <w:tcPr>
            <w:tcW w:w="7876" w:type="dxa"/>
            <w:shd w:val="clear" w:color="auto" w:fill="auto"/>
            <w:vAlign w:val="top"/>
          </w:tcPr>
          <w:p w14:paraId="73C92BE6">
            <w:pPr>
              <w:spacing w:before="240" w:line="219" w:lineRule="auto"/>
              <w:rPr>
                <w:rFonts w:hint="default" w:ascii="宋体" w:hAnsi="宋体" w:eastAsia="宋体" w:cs="宋体"/>
                <w:kern w:val="2"/>
                <w:sz w:val="24"/>
                <w:szCs w:val="24"/>
                <w:lang w:val="en-US" w:eastAsia="zh-CN" w:bidi="ar-SA"/>
              </w:rPr>
            </w:pPr>
            <w:r>
              <w:rPr>
                <w:rFonts w:ascii="宋体" w:hAnsi="宋体" w:eastAsia="宋体" w:cs="宋体"/>
                <w:spacing w:val="-5"/>
                <w:sz w:val="24"/>
                <w:szCs w:val="24"/>
              </w:rPr>
              <w:t>组织的一般性秘密，其泄露会使组织的安全和利益受到损害</w:t>
            </w:r>
          </w:p>
        </w:tc>
      </w:tr>
      <w:tr w14:paraId="45118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shd w:val="clear" w:color="auto" w:fill="auto"/>
            <w:vAlign w:val="top"/>
          </w:tcPr>
          <w:p w14:paraId="5E095388">
            <w:pPr>
              <w:pStyle w:val="22"/>
              <w:spacing w:line="260" w:lineRule="auto"/>
            </w:pPr>
          </w:p>
          <w:p w14:paraId="13AA89C0">
            <w:pPr>
              <w:pStyle w:val="22"/>
              <w:spacing w:line="261" w:lineRule="auto"/>
            </w:pPr>
          </w:p>
          <w:p w14:paraId="09024E45">
            <w:pPr>
              <w:spacing w:before="78" w:line="241" w:lineRule="auto"/>
              <w:ind w:left="116" w:leftChars="0"/>
              <w:rPr>
                <w:rFonts w:hint="default" w:ascii="宋体" w:hAnsi="宋体" w:eastAsia="宋体" w:cs="宋体"/>
                <w:kern w:val="2"/>
                <w:sz w:val="24"/>
                <w:szCs w:val="24"/>
                <w:lang w:val="en-US" w:eastAsia="zh-CN" w:bidi="ar-SA"/>
              </w:rPr>
            </w:pPr>
            <w:r>
              <w:rPr>
                <w:rFonts w:ascii="宋体" w:hAnsi="宋体" w:eastAsia="宋体" w:cs="宋体"/>
                <w:sz w:val="24"/>
                <w:szCs w:val="24"/>
              </w:rPr>
              <w:t>2</w:t>
            </w:r>
          </w:p>
        </w:tc>
        <w:tc>
          <w:tcPr>
            <w:tcW w:w="1025" w:type="dxa"/>
            <w:shd w:val="clear" w:color="auto" w:fill="auto"/>
            <w:vAlign w:val="top"/>
          </w:tcPr>
          <w:p w14:paraId="6B88FA0E">
            <w:pPr>
              <w:spacing w:before="78" w:line="221" w:lineRule="auto"/>
              <w:rPr>
                <w:rFonts w:hint="default" w:ascii="宋体" w:hAnsi="宋体" w:eastAsia="宋体" w:cs="宋体"/>
                <w:kern w:val="2"/>
                <w:sz w:val="24"/>
                <w:szCs w:val="24"/>
                <w:lang w:val="en-US" w:eastAsia="zh-CN" w:bidi="ar-SA"/>
              </w:rPr>
            </w:pPr>
            <w:r>
              <w:rPr>
                <w:rFonts w:ascii="宋体" w:hAnsi="宋体" w:eastAsia="宋体" w:cs="宋体"/>
                <w:sz w:val="24"/>
                <w:szCs w:val="24"/>
              </w:rPr>
              <w:t>低</w:t>
            </w:r>
          </w:p>
        </w:tc>
        <w:tc>
          <w:tcPr>
            <w:tcW w:w="7876" w:type="dxa"/>
            <w:shd w:val="clear" w:color="auto" w:fill="auto"/>
            <w:vAlign w:val="top"/>
          </w:tcPr>
          <w:p w14:paraId="0DC5FBF9">
            <w:pPr>
              <w:spacing w:before="243" w:line="216" w:lineRule="auto"/>
              <w:rPr>
                <w:rFonts w:hint="default" w:ascii="宋体" w:hAnsi="宋体" w:eastAsia="宋体" w:cs="宋体"/>
                <w:kern w:val="2"/>
                <w:sz w:val="24"/>
                <w:szCs w:val="24"/>
                <w:lang w:val="en-US" w:eastAsia="zh-CN" w:bidi="ar-SA"/>
              </w:rPr>
            </w:pPr>
            <w:r>
              <w:rPr>
                <w:rFonts w:ascii="宋体" w:hAnsi="宋体" w:eastAsia="宋体" w:cs="宋体"/>
                <w:spacing w:val="3"/>
                <w:sz w:val="24"/>
                <w:szCs w:val="24"/>
              </w:rPr>
              <w:t>仅能在组织内部或在组织某一部门内部公开的信息,向外扩散有可能对组</w:t>
            </w:r>
            <w:r>
              <w:rPr>
                <w:rFonts w:ascii="宋体" w:hAnsi="宋体" w:eastAsia="宋体" w:cs="宋体"/>
                <w:spacing w:val="-5"/>
                <w:sz w:val="24"/>
                <w:szCs w:val="24"/>
              </w:rPr>
              <w:t>织的利益造成轻微损害</w:t>
            </w:r>
          </w:p>
        </w:tc>
      </w:tr>
      <w:tr w14:paraId="3DAB66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shd w:val="clear" w:color="auto" w:fill="auto"/>
            <w:vAlign w:val="top"/>
          </w:tcPr>
          <w:p w14:paraId="20A0685D">
            <w:pPr>
              <w:spacing w:before="244" w:line="241" w:lineRule="auto"/>
              <w:ind w:left="131" w:leftChars="0"/>
              <w:rPr>
                <w:rFonts w:hint="default" w:ascii="宋体" w:hAnsi="宋体" w:eastAsia="宋体" w:cs="宋体"/>
                <w:kern w:val="2"/>
                <w:sz w:val="24"/>
                <w:szCs w:val="24"/>
                <w:lang w:val="en-US" w:eastAsia="zh-CN" w:bidi="ar-SA"/>
              </w:rPr>
            </w:pPr>
            <w:r>
              <w:rPr>
                <w:rFonts w:ascii="宋体" w:hAnsi="宋体" w:eastAsia="宋体" w:cs="宋体"/>
                <w:sz w:val="24"/>
                <w:szCs w:val="24"/>
              </w:rPr>
              <w:t>1</w:t>
            </w:r>
          </w:p>
        </w:tc>
        <w:tc>
          <w:tcPr>
            <w:tcW w:w="1025" w:type="dxa"/>
            <w:shd w:val="clear" w:color="auto" w:fill="auto"/>
            <w:vAlign w:val="top"/>
          </w:tcPr>
          <w:p w14:paraId="19B172C6">
            <w:pPr>
              <w:spacing w:before="245" w:line="220" w:lineRule="auto"/>
              <w:ind w:left="115"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很低</w:t>
            </w:r>
          </w:p>
        </w:tc>
        <w:tc>
          <w:tcPr>
            <w:tcW w:w="7876" w:type="dxa"/>
            <w:shd w:val="clear" w:color="auto" w:fill="auto"/>
            <w:vAlign w:val="top"/>
          </w:tcPr>
          <w:p w14:paraId="0CEA6804">
            <w:pPr>
              <w:spacing w:before="244" w:line="219" w:lineRule="auto"/>
              <w:ind w:left="115"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可对社会公开的信息，公用的信息处理设备和系统资源等</w:t>
            </w:r>
          </w:p>
        </w:tc>
      </w:tr>
    </w:tbl>
    <w:p w14:paraId="7221953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7CFA175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ascii="Wingdings" w:hAnsi="Wingdings" w:eastAsia="Wingdings" w:cs="Wingdings"/>
          <w:spacing w:val="-9"/>
          <w:sz w:val="24"/>
          <w:szCs w:val="24"/>
        </w:rPr>
        <w:t>u</w:t>
      </w:r>
      <w:r>
        <w:rPr>
          <w:rFonts w:hint="default"/>
          <w:sz w:val="24"/>
          <w:lang w:val="en-US" w:eastAsia="zh-CN"/>
        </w:rPr>
        <w:t>完整性赋值</w:t>
      </w:r>
    </w:p>
    <w:p w14:paraId="38DE601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66C39C2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根据资产完整性属性的不同，将它分为 5 个不同的等级，分别对应资产在完整性方面的价值或者在完整性方面受到损失时对整个评估的影响。</w:t>
      </w:r>
    </w:p>
    <w:tbl>
      <w:tblPr>
        <w:tblStyle w:val="15"/>
        <w:tblW w:w="96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8"/>
        <w:gridCol w:w="881"/>
        <w:gridCol w:w="7974"/>
      </w:tblGrid>
      <w:tr w14:paraId="58C666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shd w:val="clear" w:color="auto" w:fill="auto"/>
            <w:vAlign w:val="top"/>
          </w:tcPr>
          <w:p w14:paraId="6A786C00">
            <w:pPr>
              <w:spacing w:before="244" w:line="219" w:lineRule="auto"/>
              <w:ind w:left="116" w:leftChars="0"/>
              <w:rPr>
                <w:rFonts w:ascii="宋体" w:hAnsi="宋体" w:eastAsia="宋体" w:cs="宋体"/>
                <w:kern w:val="2"/>
                <w:sz w:val="24"/>
                <w:szCs w:val="24"/>
                <w:lang w:val="en-US" w:eastAsia="zh-CN" w:bidi="ar-SA"/>
              </w:rPr>
            </w:pPr>
            <w:r>
              <w:rPr>
                <w:rFonts w:ascii="宋体" w:hAnsi="宋体" w:eastAsia="宋体" w:cs="宋体"/>
                <w:spacing w:val="-6"/>
                <w:sz w:val="24"/>
                <w:szCs w:val="24"/>
              </w:rPr>
              <w:t>赋值</w:t>
            </w:r>
          </w:p>
        </w:tc>
        <w:tc>
          <w:tcPr>
            <w:tcW w:w="881" w:type="dxa"/>
            <w:shd w:val="clear" w:color="auto" w:fill="auto"/>
            <w:vAlign w:val="top"/>
          </w:tcPr>
          <w:p w14:paraId="3BBD8255">
            <w:pPr>
              <w:spacing w:before="243" w:line="220" w:lineRule="auto"/>
              <w:ind w:left="113" w:leftChars="0"/>
              <w:rPr>
                <w:rFonts w:ascii="宋体" w:hAnsi="宋体" w:eastAsia="宋体" w:cs="宋体"/>
                <w:kern w:val="2"/>
                <w:sz w:val="24"/>
                <w:szCs w:val="24"/>
                <w:lang w:val="en-US" w:eastAsia="zh-CN" w:bidi="ar-SA"/>
              </w:rPr>
            </w:pPr>
            <w:r>
              <w:rPr>
                <w:rFonts w:ascii="宋体" w:hAnsi="宋体" w:eastAsia="宋体" w:cs="宋体"/>
                <w:spacing w:val="-6"/>
                <w:sz w:val="24"/>
                <w:szCs w:val="24"/>
              </w:rPr>
              <w:t>标识</w:t>
            </w:r>
          </w:p>
        </w:tc>
        <w:tc>
          <w:tcPr>
            <w:tcW w:w="7974" w:type="dxa"/>
            <w:shd w:val="clear" w:color="auto" w:fill="auto"/>
            <w:vAlign w:val="top"/>
          </w:tcPr>
          <w:p w14:paraId="4AB663D8">
            <w:pPr>
              <w:spacing w:before="243" w:line="220" w:lineRule="auto"/>
              <w:ind w:left="120" w:leftChars="0"/>
              <w:rPr>
                <w:rFonts w:ascii="宋体" w:hAnsi="宋体" w:eastAsia="宋体" w:cs="宋体"/>
                <w:kern w:val="2"/>
                <w:sz w:val="24"/>
                <w:szCs w:val="24"/>
                <w:lang w:val="en-US" w:eastAsia="zh-CN" w:bidi="ar-SA"/>
              </w:rPr>
            </w:pPr>
            <w:r>
              <w:rPr>
                <w:rFonts w:ascii="宋体" w:hAnsi="宋体" w:eastAsia="宋体" w:cs="宋体"/>
                <w:spacing w:val="-8"/>
                <w:sz w:val="24"/>
                <w:szCs w:val="24"/>
              </w:rPr>
              <w:t>定义</w:t>
            </w:r>
          </w:p>
        </w:tc>
      </w:tr>
      <w:tr w14:paraId="715B7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shd w:val="clear" w:color="auto" w:fill="auto"/>
            <w:vAlign w:val="top"/>
          </w:tcPr>
          <w:p w14:paraId="1C213A2D">
            <w:pPr>
              <w:pStyle w:val="22"/>
              <w:spacing w:line="261" w:lineRule="auto"/>
            </w:pPr>
          </w:p>
          <w:p w14:paraId="73668F79">
            <w:pPr>
              <w:pStyle w:val="22"/>
              <w:spacing w:line="261" w:lineRule="auto"/>
            </w:pPr>
          </w:p>
          <w:p w14:paraId="39D0D55C">
            <w:pPr>
              <w:spacing w:before="78"/>
              <w:ind w:left="119" w:leftChars="0"/>
              <w:rPr>
                <w:rFonts w:ascii="宋体" w:hAnsi="宋体" w:eastAsia="宋体" w:cs="宋体"/>
                <w:kern w:val="2"/>
                <w:sz w:val="24"/>
                <w:szCs w:val="24"/>
                <w:lang w:val="en-US" w:eastAsia="zh-CN" w:bidi="ar-SA"/>
              </w:rPr>
            </w:pPr>
            <w:r>
              <w:rPr>
                <w:rFonts w:ascii="宋体" w:hAnsi="宋体" w:eastAsia="宋体" w:cs="宋体"/>
                <w:sz w:val="24"/>
                <w:szCs w:val="24"/>
              </w:rPr>
              <w:t>5</w:t>
            </w:r>
          </w:p>
        </w:tc>
        <w:tc>
          <w:tcPr>
            <w:tcW w:w="881" w:type="dxa"/>
            <w:shd w:val="clear" w:color="auto" w:fill="auto"/>
            <w:vAlign w:val="top"/>
          </w:tcPr>
          <w:p w14:paraId="59959862">
            <w:pPr>
              <w:pStyle w:val="22"/>
              <w:spacing w:line="261" w:lineRule="auto"/>
            </w:pPr>
          </w:p>
          <w:p w14:paraId="6831C9C3">
            <w:pPr>
              <w:pStyle w:val="22"/>
              <w:spacing w:line="262" w:lineRule="auto"/>
            </w:pPr>
          </w:p>
          <w:p w14:paraId="3EA86A3C">
            <w:pPr>
              <w:spacing w:before="78" w:line="219" w:lineRule="auto"/>
              <w:ind w:left="115" w:leftChars="0"/>
              <w:rPr>
                <w:rFonts w:ascii="宋体" w:hAnsi="宋体" w:eastAsia="宋体" w:cs="宋体"/>
                <w:kern w:val="2"/>
                <w:sz w:val="24"/>
                <w:szCs w:val="24"/>
                <w:lang w:val="en-US" w:eastAsia="zh-CN" w:bidi="ar-SA"/>
              </w:rPr>
            </w:pPr>
            <w:r>
              <w:rPr>
                <w:rFonts w:ascii="宋体" w:hAnsi="宋体" w:eastAsia="宋体" w:cs="宋体"/>
                <w:spacing w:val="-7"/>
                <w:sz w:val="24"/>
                <w:szCs w:val="24"/>
              </w:rPr>
              <w:t>极高</w:t>
            </w:r>
          </w:p>
        </w:tc>
        <w:tc>
          <w:tcPr>
            <w:tcW w:w="7974" w:type="dxa"/>
            <w:shd w:val="clear" w:color="auto" w:fill="auto"/>
            <w:vAlign w:val="top"/>
          </w:tcPr>
          <w:p w14:paraId="5DE5E7A2">
            <w:pPr>
              <w:spacing w:before="241" w:line="218" w:lineRule="auto"/>
            </w:pPr>
            <w:r>
              <w:rPr>
                <w:rFonts w:ascii="宋体" w:hAnsi="宋体" w:eastAsia="宋体" w:cs="宋体"/>
                <w:spacing w:val="-5"/>
                <w:sz w:val="24"/>
                <w:szCs w:val="24"/>
              </w:rPr>
              <w:t>完整性价值非常关键，未经授权的修改或破坏会对评估体造成重大的或无法</w:t>
            </w:r>
          </w:p>
          <w:p w14:paraId="0A74AAE9">
            <w:pPr>
              <w:spacing w:before="78" w:line="219" w:lineRule="auto"/>
              <w:jc w:val="both"/>
              <w:rPr>
                <w:rFonts w:hint="default" w:ascii="宋体" w:hAnsi="宋体" w:eastAsia="宋体" w:cs="宋体"/>
                <w:spacing w:val="-11"/>
                <w:sz w:val="24"/>
                <w:szCs w:val="24"/>
                <w:lang w:val="en-US" w:eastAsia="zh-CN"/>
              </w:rPr>
            </w:pPr>
            <w:r>
              <w:rPr>
                <w:rFonts w:ascii="宋体" w:hAnsi="宋体" w:eastAsia="宋体" w:cs="宋体"/>
                <w:spacing w:val="-10"/>
                <w:sz w:val="24"/>
                <w:szCs w:val="24"/>
              </w:rPr>
              <w:t>接受、特别不愿接受的影响，对业务冲击重大，并可能造成严</w:t>
            </w:r>
            <w:r>
              <w:rPr>
                <w:rFonts w:ascii="宋体" w:hAnsi="宋体" w:eastAsia="宋体" w:cs="宋体"/>
                <w:spacing w:val="-11"/>
                <w:sz w:val="24"/>
                <w:szCs w:val="24"/>
              </w:rPr>
              <w:t>重的业务中断，</w:t>
            </w:r>
            <w:r>
              <w:rPr>
                <w:rFonts w:hint="eastAsia" w:ascii="宋体" w:hAnsi="宋体" w:cs="宋体"/>
                <w:spacing w:val="-11"/>
                <w:sz w:val="24"/>
                <w:szCs w:val="24"/>
                <w:lang w:val="en-US" w:eastAsia="zh-CN"/>
              </w:rPr>
              <w:t>难以弥补</w:t>
            </w:r>
          </w:p>
        </w:tc>
      </w:tr>
      <w:tr w14:paraId="41B23E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shd w:val="clear" w:color="auto" w:fill="auto"/>
            <w:vAlign w:val="top"/>
          </w:tcPr>
          <w:p w14:paraId="36DB73BD">
            <w:pPr>
              <w:pStyle w:val="22"/>
              <w:spacing w:line="260" w:lineRule="auto"/>
            </w:pPr>
          </w:p>
          <w:p w14:paraId="62068D2A">
            <w:pPr>
              <w:pStyle w:val="22"/>
              <w:spacing w:line="261" w:lineRule="auto"/>
            </w:pPr>
          </w:p>
          <w:p w14:paraId="0B4F9D28">
            <w:pPr>
              <w:spacing w:before="78" w:line="241" w:lineRule="auto"/>
              <w:ind w:left="113" w:leftChars="0"/>
              <w:rPr>
                <w:rFonts w:ascii="宋体" w:hAnsi="宋体" w:eastAsia="宋体" w:cs="宋体"/>
                <w:kern w:val="2"/>
                <w:sz w:val="24"/>
                <w:szCs w:val="24"/>
                <w:lang w:val="en-US" w:eastAsia="zh-CN" w:bidi="ar-SA"/>
              </w:rPr>
            </w:pPr>
            <w:r>
              <w:rPr>
                <w:rFonts w:ascii="宋体" w:hAnsi="宋体" w:eastAsia="宋体" w:cs="宋体"/>
                <w:sz w:val="24"/>
                <w:szCs w:val="24"/>
              </w:rPr>
              <w:t>4</w:t>
            </w:r>
          </w:p>
        </w:tc>
        <w:tc>
          <w:tcPr>
            <w:tcW w:w="881" w:type="dxa"/>
            <w:shd w:val="clear" w:color="auto" w:fill="auto"/>
            <w:vAlign w:val="top"/>
          </w:tcPr>
          <w:p w14:paraId="48A22D2A">
            <w:pPr>
              <w:pStyle w:val="22"/>
              <w:spacing w:line="260" w:lineRule="auto"/>
            </w:pPr>
          </w:p>
          <w:p w14:paraId="60509FE6">
            <w:pPr>
              <w:pStyle w:val="22"/>
              <w:spacing w:line="261" w:lineRule="auto"/>
            </w:pPr>
          </w:p>
          <w:p w14:paraId="5DE2689E">
            <w:pPr>
              <w:spacing w:before="78" w:line="219" w:lineRule="auto"/>
              <w:ind w:left="118" w:leftChars="0"/>
              <w:rPr>
                <w:rFonts w:ascii="宋体" w:hAnsi="宋体" w:eastAsia="宋体" w:cs="宋体"/>
                <w:kern w:val="2"/>
                <w:sz w:val="24"/>
                <w:szCs w:val="24"/>
                <w:lang w:val="en-US" w:eastAsia="zh-CN" w:bidi="ar-SA"/>
              </w:rPr>
            </w:pPr>
            <w:r>
              <w:rPr>
                <w:rFonts w:ascii="宋体" w:hAnsi="宋体" w:eastAsia="宋体" w:cs="宋体"/>
                <w:sz w:val="24"/>
                <w:szCs w:val="24"/>
              </w:rPr>
              <w:t>高</w:t>
            </w:r>
          </w:p>
        </w:tc>
        <w:tc>
          <w:tcPr>
            <w:tcW w:w="7974" w:type="dxa"/>
            <w:shd w:val="clear" w:color="auto" w:fill="auto"/>
            <w:vAlign w:val="top"/>
          </w:tcPr>
          <w:p w14:paraId="3D3C208A">
            <w:pPr>
              <w:spacing w:before="240" w:line="218" w:lineRule="auto"/>
            </w:pPr>
            <w:r>
              <w:rPr>
                <w:rFonts w:ascii="宋体" w:hAnsi="宋体" w:eastAsia="宋体" w:cs="宋体"/>
                <w:spacing w:val="-5"/>
                <w:sz w:val="24"/>
                <w:szCs w:val="24"/>
              </w:rPr>
              <w:t>完整性价值较高，未经授权的修改或破坏会对评估体造成重大影响，对业务</w:t>
            </w:r>
          </w:p>
          <w:p w14:paraId="1F5FD98D">
            <w:pPr>
              <w:spacing w:before="79" w:line="220" w:lineRule="auto"/>
              <w:rPr>
                <w:rFonts w:ascii="宋体" w:hAnsi="宋体" w:eastAsia="宋体" w:cs="宋体"/>
                <w:kern w:val="2"/>
                <w:sz w:val="24"/>
                <w:szCs w:val="24"/>
                <w:lang w:val="en-US" w:eastAsia="zh-CN" w:bidi="ar-SA"/>
              </w:rPr>
            </w:pPr>
            <w:r>
              <w:rPr>
                <w:rFonts w:ascii="宋体" w:hAnsi="宋体" w:eastAsia="宋体" w:cs="宋体"/>
                <w:spacing w:val="-5"/>
                <w:sz w:val="24"/>
                <w:szCs w:val="24"/>
              </w:rPr>
              <w:t>冲击严重，比较难以弥补</w:t>
            </w:r>
          </w:p>
        </w:tc>
      </w:tr>
      <w:tr w14:paraId="45D1A1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shd w:val="clear" w:color="auto" w:fill="auto"/>
            <w:vAlign w:val="top"/>
          </w:tcPr>
          <w:p w14:paraId="35A416B7">
            <w:pPr>
              <w:pStyle w:val="22"/>
              <w:spacing w:line="260" w:lineRule="auto"/>
            </w:pPr>
          </w:p>
          <w:p w14:paraId="4751D77F">
            <w:pPr>
              <w:pStyle w:val="22"/>
              <w:spacing w:line="261" w:lineRule="auto"/>
            </w:pPr>
          </w:p>
          <w:p w14:paraId="6102ADC2">
            <w:pPr>
              <w:spacing w:before="78"/>
              <w:ind w:left="119" w:leftChars="0"/>
              <w:rPr>
                <w:rFonts w:ascii="宋体" w:hAnsi="宋体" w:eastAsia="宋体" w:cs="宋体"/>
                <w:kern w:val="2"/>
                <w:sz w:val="24"/>
                <w:szCs w:val="24"/>
                <w:lang w:val="en-US" w:eastAsia="zh-CN" w:bidi="ar-SA"/>
              </w:rPr>
            </w:pPr>
            <w:r>
              <w:rPr>
                <w:rFonts w:ascii="宋体" w:hAnsi="宋体" w:eastAsia="宋体" w:cs="宋体"/>
                <w:sz w:val="24"/>
                <w:szCs w:val="24"/>
              </w:rPr>
              <w:t>3</w:t>
            </w:r>
          </w:p>
        </w:tc>
        <w:tc>
          <w:tcPr>
            <w:tcW w:w="881" w:type="dxa"/>
            <w:shd w:val="clear" w:color="auto" w:fill="auto"/>
            <w:vAlign w:val="top"/>
          </w:tcPr>
          <w:p w14:paraId="3A41F9FB">
            <w:pPr>
              <w:pStyle w:val="22"/>
              <w:spacing w:line="261" w:lineRule="auto"/>
            </w:pPr>
          </w:p>
          <w:p w14:paraId="1C256FB0">
            <w:pPr>
              <w:pStyle w:val="22"/>
              <w:spacing w:line="261" w:lineRule="auto"/>
            </w:pPr>
          </w:p>
          <w:p w14:paraId="0BA0F2C9">
            <w:pPr>
              <w:spacing w:before="78" w:line="219" w:lineRule="auto"/>
              <w:ind w:left="134" w:leftChars="0"/>
              <w:rPr>
                <w:rFonts w:ascii="宋体" w:hAnsi="宋体" w:eastAsia="宋体" w:cs="宋体"/>
                <w:kern w:val="2"/>
                <w:sz w:val="24"/>
                <w:szCs w:val="24"/>
                <w:lang w:val="en-US" w:eastAsia="zh-CN" w:bidi="ar-SA"/>
              </w:rPr>
            </w:pPr>
            <w:r>
              <w:rPr>
                <w:rFonts w:ascii="宋体" w:hAnsi="宋体" w:eastAsia="宋体" w:cs="宋体"/>
                <w:spacing w:val="-16"/>
                <w:sz w:val="24"/>
                <w:szCs w:val="24"/>
              </w:rPr>
              <w:t>中等</w:t>
            </w:r>
          </w:p>
        </w:tc>
        <w:tc>
          <w:tcPr>
            <w:tcW w:w="7974" w:type="dxa"/>
            <w:shd w:val="clear" w:color="auto" w:fill="auto"/>
            <w:vAlign w:val="top"/>
          </w:tcPr>
          <w:p w14:paraId="295B7023">
            <w:pPr>
              <w:spacing w:before="243" w:line="218" w:lineRule="auto"/>
            </w:pPr>
            <w:r>
              <w:rPr>
                <w:rFonts w:ascii="宋体" w:hAnsi="宋体" w:eastAsia="宋体" w:cs="宋体"/>
                <w:spacing w:val="-5"/>
                <w:sz w:val="24"/>
                <w:szCs w:val="24"/>
              </w:rPr>
              <w:t>完整性价值中等，未经授权的修改或破坏会对评估体造成影响，对业务冲击</w:t>
            </w:r>
          </w:p>
          <w:p w14:paraId="0141ED97">
            <w:pPr>
              <w:spacing w:before="78" w:line="219" w:lineRule="auto"/>
              <w:rPr>
                <w:rFonts w:ascii="宋体" w:hAnsi="宋体" w:eastAsia="宋体" w:cs="宋体"/>
                <w:kern w:val="2"/>
                <w:sz w:val="24"/>
                <w:szCs w:val="24"/>
                <w:lang w:val="en-US" w:eastAsia="zh-CN" w:bidi="ar-SA"/>
              </w:rPr>
            </w:pPr>
            <w:r>
              <w:rPr>
                <w:rFonts w:ascii="宋体" w:hAnsi="宋体" w:eastAsia="宋体" w:cs="宋体"/>
                <w:spacing w:val="-7"/>
                <w:sz w:val="24"/>
                <w:szCs w:val="24"/>
              </w:rPr>
              <w:t>明显，但可以弥补</w:t>
            </w:r>
          </w:p>
        </w:tc>
      </w:tr>
      <w:tr w14:paraId="74C3D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shd w:val="clear" w:color="auto" w:fill="auto"/>
            <w:vAlign w:val="top"/>
          </w:tcPr>
          <w:p w14:paraId="2573CCB6">
            <w:pPr>
              <w:pStyle w:val="22"/>
              <w:spacing w:line="261" w:lineRule="auto"/>
            </w:pPr>
          </w:p>
          <w:p w14:paraId="0FA09049">
            <w:pPr>
              <w:pStyle w:val="22"/>
              <w:spacing w:line="261" w:lineRule="auto"/>
            </w:pPr>
          </w:p>
          <w:p w14:paraId="25629811">
            <w:pPr>
              <w:spacing w:before="78" w:line="241" w:lineRule="auto"/>
              <w:ind w:left="117" w:leftChars="0"/>
              <w:rPr>
                <w:rFonts w:ascii="宋体" w:hAnsi="宋体" w:eastAsia="宋体" w:cs="宋体"/>
                <w:kern w:val="2"/>
                <w:sz w:val="24"/>
                <w:szCs w:val="24"/>
                <w:lang w:val="en-US" w:eastAsia="zh-CN" w:bidi="ar-SA"/>
              </w:rPr>
            </w:pPr>
            <w:r>
              <w:rPr>
                <w:rFonts w:ascii="宋体" w:hAnsi="宋体" w:eastAsia="宋体" w:cs="宋体"/>
                <w:sz w:val="24"/>
                <w:szCs w:val="24"/>
              </w:rPr>
              <w:t>2</w:t>
            </w:r>
          </w:p>
        </w:tc>
        <w:tc>
          <w:tcPr>
            <w:tcW w:w="881" w:type="dxa"/>
            <w:shd w:val="clear" w:color="auto" w:fill="auto"/>
            <w:vAlign w:val="top"/>
          </w:tcPr>
          <w:p w14:paraId="0EF0A0AD">
            <w:pPr>
              <w:pStyle w:val="22"/>
              <w:spacing w:line="261" w:lineRule="auto"/>
            </w:pPr>
          </w:p>
          <w:p w14:paraId="5465ECD1">
            <w:pPr>
              <w:pStyle w:val="22"/>
              <w:spacing w:line="261" w:lineRule="auto"/>
            </w:pPr>
          </w:p>
          <w:p w14:paraId="1307DB65">
            <w:pPr>
              <w:spacing w:before="78" w:line="221" w:lineRule="auto"/>
              <w:ind w:left="111" w:leftChars="0"/>
              <w:rPr>
                <w:rFonts w:ascii="宋体" w:hAnsi="宋体" w:eastAsia="宋体" w:cs="宋体"/>
                <w:kern w:val="2"/>
                <w:sz w:val="24"/>
                <w:szCs w:val="24"/>
                <w:lang w:val="en-US" w:eastAsia="zh-CN" w:bidi="ar-SA"/>
              </w:rPr>
            </w:pPr>
            <w:r>
              <w:rPr>
                <w:rFonts w:ascii="宋体" w:hAnsi="宋体" w:eastAsia="宋体" w:cs="宋体"/>
                <w:sz w:val="24"/>
                <w:szCs w:val="24"/>
              </w:rPr>
              <w:t>低</w:t>
            </w:r>
          </w:p>
        </w:tc>
        <w:tc>
          <w:tcPr>
            <w:tcW w:w="7974" w:type="dxa"/>
            <w:shd w:val="clear" w:color="auto" w:fill="auto"/>
            <w:vAlign w:val="top"/>
          </w:tcPr>
          <w:p w14:paraId="01C40BBA">
            <w:pPr>
              <w:spacing w:before="243" w:line="218" w:lineRule="auto"/>
              <w:rPr>
                <w:rFonts w:ascii="宋体" w:hAnsi="宋体" w:eastAsia="宋体" w:cs="宋体"/>
                <w:kern w:val="2"/>
                <w:sz w:val="24"/>
                <w:szCs w:val="24"/>
                <w:lang w:val="en-US" w:eastAsia="zh-CN" w:bidi="ar-SA"/>
              </w:rPr>
            </w:pPr>
            <w:r>
              <w:rPr>
                <w:rFonts w:ascii="宋体" w:hAnsi="宋体" w:eastAsia="宋体" w:cs="宋体"/>
                <w:spacing w:val="-5"/>
                <w:sz w:val="24"/>
                <w:szCs w:val="24"/>
              </w:rPr>
              <w:t>完整性价值较低，未经授权的修改或破坏会对评估体造成轻微影响，可以忍受，对业务冲击轻微，容易弥补</w:t>
            </w:r>
          </w:p>
        </w:tc>
      </w:tr>
      <w:tr w14:paraId="6B61F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shd w:val="clear" w:color="auto" w:fill="auto"/>
            <w:vAlign w:val="top"/>
          </w:tcPr>
          <w:p w14:paraId="6D7F84CF">
            <w:pPr>
              <w:pStyle w:val="22"/>
              <w:spacing w:line="261" w:lineRule="auto"/>
            </w:pPr>
          </w:p>
          <w:p w14:paraId="31E01B06">
            <w:pPr>
              <w:pStyle w:val="22"/>
              <w:spacing w:line="262" w:lineRule="auto"/>
            </w:pPr>
          </w:p>
          <w:p w14:paraId="4E9A15B7">
            <w:pPr>
              <w:spacing w:before="78" w:line="241" w:lineRule="auto"/>
              <w:ind w:left="132" w:leftChars="0"/>
              <w:rPr>
                <w:rFonts w:ascii="宋体" w:hAnsi="宋体" w:eastAsia="宋体" w:cs="宋体"/>
                <w:kern w:val="2"/>
                <w:sz w:val="24"/>
                <w:szCs w:val="24"/>
                <w:lang w:val="en-US" w:eastAsia="zh-CN" w:bidi="ar-SA"/>
              </w:rPr>
            </w:pPr>
            <w:r>
              <w:rPr>
                <w:rFonts w:ascii="宋体" w:hAnsi="宋体" w:eastAsia="宋体" w:cs="宋体"/>
                <w:sz w:val="24"/>
                <w:szCs w:val="24"/>
              </w:rPr>
              <w:t>1</w:t>
            </w:r>
          </w:p>
        </w:tc>
        <w:tc>
          <w:tcPr>
            <w:tcW w:w="881" w:type="dxa"/>
            <w:shd w:val="clear" w:color="auto" w:fill="auto"/>
            <w:vAlign w:val="top"/>
          </w:tcPr>
          <w:p w14:paraId="3F36FA12">
            <w:pPr>
              <w:spacing w:before="78" w:line="220" w:lineRule="auto"/>
              <w:rPr>
                <w:rFonts w:ascii="宋体" w:hAnsi="宋体" w:eastAsia="宋体" w:cs="宋体"/>
                <w:kern w:val="2"/>
                <w:sz w:val="24"/>
                <w:szCs w:val="24"/>
                <w:lang w:val="en-US" w:eastAsia="zh-CN" w:bidi="ar-SA"/>
              </w:rPr>
            </w:pPr>
            <w:r>
              <w:rPr>
                <w:rFonts w:ascii="宋体" w:hAnsi="宋体" w:eastAsia="宋体" w:cs="宋体"/>
                <w:spacing w:val="-6"/>
                <w:sz w:val="24"/>
                <w:szCs w:val="24"/>
              </w:rPr>
              <w:t>很低</w:t>
            </w:r>
          </w:p>
        </w:tc>
        <w:tc>
          <w:tcPr>
            <w:tcW w:w="7974" w:type="dxa"/>
            <w:shd w:val="clear" w:color="auto" w:fill="auto"/>
            <w:vAlign w:val="top"/>
          </w:tcPr>
          <w:p w14:paraId="57AE3C34">
            <w:pPr>
              <w:spacing w:before="244" w:line="218" w:lineRule="auto"/>
              <w:rPr>
                <w:rFonts w:ascii="宋体" w:hAnsi="宋体" w:eastAsia="宋体" w:cs="宋体"/>
                <w:kern w:val="2"/>
                <w:sz w:val="24"/>
                <w:szCs w:val="24"/>
                <w:lang w:val="en-US" w:eastAsia="zh-CN" w:bidi="ar-SA"/>
              </w:rPr>
            </w:pPr>
            <w:r>
              <w:rPr>
                <w:rFonts w:ascii="宋体" w:hAnsi="宋体" w:eastAsia="宋体" w:cs="宋体"/>
                <w:spacing w:val="2"/>
                <w:sz w:val="24"/>
                <w:szCs w:val="24"/>
              </w:rPr>
              <w:t>完整性价值非常低，未经授权的修改或破坏会对评估体造成的影响可以忽</w:t>
            </w:r>
            <w:r>
              <w:rPr>
                <w:rFonts w:ascii="宋体" w:hAnsi="宋体" w:eastAsia="宋体" w:cs="宋体"/>
                <w:spacing w:val="-6"/>
                <w:sz w:val="24"/>
                <w:szCs w:val="24"/>
              </w:rPr>
              <w:t>略，对业务冲击可以忽略。</w:t>
            </w:r>
          </w:p>
        </w:tc>
      </w:tr>
    </w:tbl>
    <w:p w14:paraId="1069317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p>
    <w:p w14:paraId="5DCDCFB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ascii="Wingdings" w:hAnsi="Wingdings" w:eastAsia="Wingdings" w:cs="Wingdings"/>
          <w:spacing w:val="-9"/>
          <w:sz w:val="24"/>
          <w:szCs w:val="24"/>
        </w:rPr>
        <w:t>u</w:t>
      </w:r>
      <w:r>
        <w:rPr>
          <w:rFonts w:hint="default"/>
          <w:sz w:val="24"/>
          <w:lang w:val="en-US" w:eastAsia="zh-CN"/>
        </w:rPr>
        <w:t>资产可用性赋值</w:t>
      </w:r>
    </w:p>
    <w:p w14:paraId="6AA79AD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3CF0437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根据资产可用性属性的不同，将它分为 5 个不同的等级，分别对应资产在可用性方面的价值或者在可用性方面受到损失时对整个评估系统的影响。</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0"/>
        <w:gridCol w:w="1489"/>
        <w:gridCol w:w="5553"/>
      </w:tblGrid>
      <w:tr w14:paraId="26D79B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top"/>
          </w:tcPr>
          <w:p w14:paraId="6F1F60C7">
            <w:pPr>
              <w:spacing w:before="241" w:line="219" w:lineRule="auto"/>
              <w:ind w:left="116"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赋值</w:t>
            </w:r>
          </w:p>
        </w:tc>
        <w:tc>
          <w:tcPr>
            <w:tcW w:w="2841" w:type="dxa"/>
            <w:shd w:val="clear" w:color="auto" w:fill="auto"/>
            <w:vAlign w:val="top"/>
          </w:tcPr>
          <w:p w14:paraId="2761B028">
            <w:pPr>
              <w:spacing w:before="241" w:line="220" w:lineRule="auto"/>
              <w:ind w:left="112"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标识</w:t>
            </w:r>
          </w:p>
        </w:tc>
        <w:tc>
          <w:tcPr>
            <w:tcW w:w="2841" w:type="dxa"/>
            <w:shd w:val="clear" w:color="auto" w:fill="auto"/>
            <w:vAlign w:val="top"/>
          </w:tcPr>
          <w:p w14:paraId="296C4C6C">
            <w:pPr>
              <w:spacing w:before="241" w:line="220" w:lineRule="auto"/>
              <w:ind w:left="119" w:leftChars="0"/>
              <w:rPr>
                <w:rFonts w:hint="default" w:ascii="宋体" w:hAnsi="宋体" w:eastAsia="宋体" w:cs="宋体"/>
                <w:kern w:val="2"/>
                <w:sz w:val="24"/>
                <w:szCs w:val="24"/>
                <w:lang w:val="en-US" w:eastAsia="zh-CN" w:bidi="ar-SA"/>
              </w:rPr>
            </w:pPr>
            <w:r>
              <w:rPr>
                <w:rFonts w:ascii="宋体" w:hAnsi="宋体" w:eastAsia="宋体" w:cs="宋体"/>
                <w:spacing w:val="-8"/>
                <w:sz w:val="24"/>
                <w:szCs w:val="24"/>
              </w:rPr>
              <w:t>定义</w:t>
            </w:r>
          </w:p>
        </w:tc>
      </w:tr>
      <w:tr w14:paraId="137C39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41C4ED3">
            <w:pPr>
              <w:pStyle w:val="22"/>
              <w:spacing w:line="259" w:lineRule="auto"/>
            </w:pPr>
          </w:p>
          <w:p w14:paraId="6759AD89">
            <w:pPr>
              <w:pStyle w:val="22"/>
              <w:spacing w:line="260" w:lineRule="auto"/>
            </w:pPr>
          </w:p>
          <w:p w14:paraId="6AE0B956">
            <w:pPr>
              <w:spacing w:before="78"/>
              <w:ind w:left="119" w:leftChars="0"/>
              <w:rPr>
                <w:rFonts w:hint="default" w:ascii="宋体" w:hAnsi="宋体" w:eastAsia="宋体" w:cs="宋体"/>
                <w:kern w:val="2"/>
                <w:sz w:val="24"/>
                <w:szCs w:val="24"/>
                <w:lang w:val="en-US" w:eastAsia="zh-CN" w:bidi="ar-SA"/>
              </w:rPr>
            </w:pPr>
            <w:r>
              <w:rPr>
                <w:rFonts w:ascii="宋体" w:hAnsi="宋体" w:eastAsia="宋体" w:cs="宋体"/>
                <w:sz w:val="24"/>
                <w:szCs w:val="24"/>
              </w:rPr>
              <w:t>5</w:t>
            </w:r>
          </w:p>
        </w:tc>
        <w:tc>
          <w:tcPr>
            <w:tcW w:w="2841" w:type="dxa"/>
            <w:shd w:val="clear" w:color="auto" w:fill="auto"/>
            <w:vAlign w:val="top"/>
          </w:tcPr>
          <w:p w14:paraId="3E210207">
            <w:pPr>
              <w:pStyle w:val="22"/>
              <w:spacing w:line="260" w:lineRule="auto"/>
            </w:pPr>
          </w:p>
          <w:p w14:paraId="44DA69A5">
            <w:pPr>
              <w:pStyle w:val="22"/>
              <w:spacing w:line="260" w:lineRule="auto"/>
            </w:pPr>
          </w:p>
          <w:p w14:paraId="6E70EB82">
            <w:pPr>
              <w:spacing w:before="78" w:line="219" w:lineRule="auto"/>
              <w:ind w:left="114" w:leftChars="0"/>
              <w:rPr>
                <w:rFonts w:hint="default" w:ascii="宋体" w:hAnsi="宋体" w:eastAsia="宋体" w:cs="宋体"/>
                <w:kern w:val="2"/>
                <w:sz w:val="24"/>
                <w:szCs w:val="24"/>
                <w:lang w:val="en-US" w:eastAsia="zh-CN" w:bidi="ar-SA"/>
              </w:rPr>
            </w:pPr>
            <w:r>
              <w:rPr>
                <w:rFonts w:ascii="宋体" w:hAnsi="宋体" w:eastAsia="宋体" w:cs="宋体"/>
                <w:spacing w:val="-7"/>
                <w:sz w:val="24"/>
                <w:szCs w:val="24"/>
              </w:rPr>
              <w:t>极高</w:t>
            </w:r>
          </w:p>
        </w:tc>
        <w:tc>
          <w:tcPr>
            <w:tcW w:w="2841" w:type="dxa"/>
            <w:shd w:val="clear" w:color="auto" w:fill="auto"/>
            <w:vAlign w:val="top"/>
          </w:tcPr>
          <w:p w14:paraId="59AA06C7">
            <w:pPr>
              <w:spacing w:before="241" w:line="218" w:lineRule="auto"/>
              <w:ind w:left="115"/>
              <w:rPr>
                <w:rFonts w:hint="default" w:ascii="宋体" w:hAnsi="宋体" w:eastAsia="宋体" w:cs="宋体"/>
                <w:kern w:val="2"/>
                <w:sz w:val="24"/>
                <w:szCs w:val="24"/>
                <w:lang w:val="en-US" w:eastAsia="zh-CN" w:bidi="ar-SA"/>
              </w:rPr>
            </w:pPr>
            <w:r>
              <w:rPr>
                <w:rFonts w:ascii="宋体" w:hAnsi="宋体" w:eastAsia="宋体" w:cs="宋体"/>
                <w:sz w:val="24"/>
                <w:szCs w:val="24"/>
              </w:rPr>
              <w:t>可用性价值非常高，合法使用者对信息及信息系统</w:t>
            </w:r>
            <w:r>
              <w:rPr>
                <w:rFonts w:ascii="宋体" w:hAnsi="宋体" w:eastAsia="宋体" w:cs="宋体"/>
                <w:spacing w:val="-1"/>
                <w:sz w:val="24"/>
                <w:szCs w:val="24"/>
              </w:rPr>
              <w:t>的可用度达到年度99.9%</w:t>
            </w:r>
            <w:r>
              <w:rPr>
                <w:rFonts w:ascii="宋体" w:hAnsi="宋体" w:eastAsia="宋体" w:cs="宋体"/>
                <w:spacing w:val="-7"/>
                <w:sz w:val="24"/>
                <w:szCs w:val="24"/>
              </w:rPr>
              <w:t>以上，或系统不允许中断</w:t>
            </w:r>
          </w:p>
        </w:tc>
      </w:tr>
      <w:tr w14:paraId="2149B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16C975D">
            <w:pPr>
              <w:pStyle w:val="22"/>
              <w:spacing w:line="260" w:lineRule="auto"/>
            </w:pPr>
          </w:p>
          <w:p w14:paraId="74D91D45">
            <w:pPr>
              <w:pStyle w:val="22"/>
              <w:spacing w:line="261" w:lineRule="auto"/>
            </w:pPr>
          </w:p>
          <w:p w14:paraId="2F372B27">
            <w:pPr>
              <w:spacing w:before="78" w:line="241" w:lineRule="auto"/>
              <w:ind w:left="113" w:leftChars="0"/>
              <w:rPr>
                <w:rFonts w:ascii="宋体" w:hAnsi="宋体" w:eastAsia="宋体" w:cs="宋体"/>
                <w:kern w:val="2"/>
                <w:sz w:val="24"/>
                <w:szCs w:val="24"/>
                <w:lang w:val="en-US" w:eastAsia="zh-CN" w:bidi="ar-SA"/>
              </w:rPr>
            </w:pPr>
            <w:r>
              <w:rPr>
                <w:rFonts w:ascii="宋体" w:hAnsi="宋体" w:eastAsia="宋体" w:cs="宋体"/>
                <w:sz w:val="24"/>
                <w:szCs w:val="24"/>
              </w:rPr>
              <w:t>4</w:t>
            </w:r>
          </w:p>
        </w:tc>
        <w:tc>
          <w:tcPr>
            <w:tcW w:w="2841" w:type="dxa"/>
            <w:shd w:val="clear" w:color="auto" w:fill="auto"/>
            <w:vAlign w:val="top"/>
          </w:tcPr>
          <w:p w14:paraId="5754D537">
            <w:pPr>
              <w:pStyle w:val="22"/>
              <w:spacing w:line="260" w:lineRule="auto"/>
            </w:pPr>
          </w:p>
          <w:p w14:paraId="74F5E090">
            <w:pPr>
              <w:pStyle w:val="22"/>
              <w:spacing w:line="261" w:lineRule="auto"/>
            </w:pPr>
          </w:p>
          <w:p w14:paraId="05A48C4F">
            <w:pPr>
              <w:spacing w:before="78" w:line="219" w:lineRule="auto"/>
              <w:ind w:left="118" w:leftChars="0"/>
              <w:rPr>
                <w:rFonts w:ascii="宋体" w:hAnsi="宋体" w:eastAsia="宋体" w:cs="宋体"/>
                <w:kern w:val="2"/>
                <w:sz w:val="24"/>
                <w:szCs w:val="24"/>
                <w:lang w:val="en-US" w:eastAsia="zh-CN" w:bidi="ar-SA"/>
              </w:rPr>
            </w:pPr>
            <w:r>
              <w:rPr>
                <w:rFonts w:ascii="宋体" w:hAnsi="宋体" w:eastAsia="宋体" w:cs="宋体"/>
                <w:sz w:val="24"/>
                <w:szCs w:val="24"/>
              </w:rPr>
              <w:t>高</w:t>
            </w:r>
          </w:p>
        </w:tc>
        <w:tc>
          <w:tcPr>
            <w:tcW w:w="2841" w:type="dxa"/>
            <w:shd w:val="clear" w:color="auto" w:fill="auto"/>
            <w:vAlign w:val="top"/>
          </w:tcPr>
          <w:p w14:paraId="3C4A65A5">
            <w:pPr>
              <w:spacing w:before="242" w:line="218" w:lineRule="auto"/>
              <w:jc w:val="left"/>
              <w:rPr>
                <w:rFonts w:ascii="宋体" w:hAnsi="宋体" w:eastAsia="宋体" w:cs="宋体"/>
                <w:kern w:val="2"/>
                <w:sz w:val="24"/>
                <w:szCs w:val="24"/>
                <w:lang w:val="en-US" w:eastAsia="zh-CN" w:bidi="ar-SA"/>
              </w:rPr>
            </w:pPr>
            <w:r>
              <w:rPr>
                <w:rFonts w:ascii="宋体" w:hAnsi="宋体" w:eastAsia="宋体" w:cs="宋体"/>
                <w:spacing w:val="-8"/>
                <w:sz w:val="24"/>
                <w:szCs w:val="24"/>
              </w:rPr>
              <w:t>可用性价值较高，合法使用者对信息及信息系统的可用度达到每天</w:t>
            </w:r>
            <w:r>
              <w:rPr>
                <w:rFonts w:ascii="宋体" w:hAnsi="宋体" w:eastAsia="宋体" w:cs="宋体"/>
                <w:spacing w:val="-36"/>
                <w:sz w:val="24"/>
                <w:szCs w:val="24"/>
              </w:rPr>
              <w:t xml:space="preserve"> </w:t>
            </w:r>
            <w:r>
              <w:rPr>
                <w:rFonts w:ascii="宋体" w:hAnsi="宋体" w:eastAsia="宋体" w:cs="宋体"/>
                <w:spacing w:val="-8"/>
                <w:sz w:val="24"/>
                <w:szCs w:val="24"/>
              </w:rPr>
              <w:t>90%以上，</w:t>
            </w:r>
            <w:r>
              <w:rPr>
                <w:rFonts w:ascii="宋体" w:hAnsi="宋体" w:eastAsia="宋体" w:cs="宋体"/>
                <w:spacing w:val="-7"/>
                <w:sz w:val="24"/>
                <w:szCs w:val="24"/>
              </w:rPr>
              <w:t>或系统允许中断时间小于</w:t>
            </w:r>
            <w:r>
              <w:rPr>
                <w:rFonts w:ascii="宋体" w:hAnsi="宋体" w:eastAsia="宋体" w:cs="宋体"/>
                <w:spacing w:val="-29"/>
                <w:sz w:val="24"/>
                <w:szCs w:val="24"/>
              </w:rPr>
              <w:t xml:space="preserve"> </w:t>
            </w:r>
            <w:r>
              <w:rPr>
                <w:rFonts w:ascii="宋体" w:hAnsi="宋体" w:eastAsia="宋体" w:cs="宋体"/>
                <w:spacing w:val="-7"/>
                <w:sz w:val="24"/>
                <w:szCs w:val="24"/>
              </w:rPr>
              <w:t>10</w:t>
            </w:r>
            <w:r>
              <w:rPr>
                <w:rFonts w:ascii="宋体" w:hAnsi="宋体" w:eastAsia="宋体" w:cs="宋体"/>
                <w:spacing w:val="-53"/>
                <w:sz w:val="24"/>
                <w:szCs w:val="24"/>
              </w:rPr>
              <w:t xml:space="preserve"> </w:t>
            </w:r>
            <w:r>
              <w:rPr>
                <w:rFonts w:ascii="宋体" w:hAnsi="宋体" w:eastAsia="宋体" w:cs="宋体"/>
                <w:spacing w:val="-7"/>
                <w:sz w:val="24"/>
                <w:szCs w:val="24"/>
              </w:rPr>
              <w:t>分钟</w:t>
            </w:r>
          </w:p>
        </w:tc>
      </w:tr>
      <w:tr w14:paraId="6B4214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402EEA8">
            <w:pPr>
              <w:pStyle w:val="22"/>
              <w:spacing w:line="260" w:lineRule="auto"/>
            </w:pPr>
          </w:p>
          <w:p w14:paraId="330FFAED">
            <w:pPr>
              <w:pStyle w:val="22"/>
              <w:spacing w:line="261" w:lineRule="auto"/>
            </w:pPr>
          </w:p>
          <w:p w14:paraId="0C470885">
            <w:pPr>
              <w:spacing w:before="78"/>
              <w:ind w:left="119" w:leftChars="0"/>
              <w:rPr>
                <w:rFonts w:ascii="宋体" w:hAnsi="宋体" w:eastAsia="宋体" w:cs="宋体"/>
                <w:kern w:val="2"/>
                <w:sz w:val="24"/>
                <w:szCs w:val="24"/>
                <w:lang w:val="en-US" w:eastAsia="zh-CN" w:bidi="ar-SA"/>
              </w:rPr>
            </w:pPr>
            <w:r>
              <w:rPr>
                <w:rFonts w:ascii="宋体" w:hAnsi="宋体" w:eastAsia="宋体" w:cs="宋体"/>
                <w:sz w:val="24"/>
                <w:szCs w:val="24"/>
              </w:rPr>
              <w:t>3</w:t>
            </w:r>
          </w:p>
        </w:tc>
        <w:tc>
          <w:tcPr>
            <w:tcW w:w="2841" w:type="dxa"/>
            <w:shd w:val="clear" w:color="auto" w:fill="auto"/>
            <w:vAlign w:val="top"/>
          </w:tcPr>
          <w:p w14:paraId="7199CBAA">
            <w:pPr>
              <w:pStyle w:val="22"/>
              <w:spacing w:line="261" w:lineRule="auto"/>
            </w:pPr>
          </w:p>
          <w:p w14:paraId="1AA74940">
            <w:pPr>
              <w:pStyle w:val="22"/>
              <w:spacing w:line="261" w:lineRule="auto"/>
            </w:pPr>
          </w:p>
          <w:p w14:paraId="50EC0170">
            <w:pPr>
              <w:spacing w:before="78" w:line="219" w:lineRule="auto"/>
              <w:ind w:left="134" w:leftChars="0"/>
              <w:rPr>
                <w:rFonts w:ascii="宋体" w:hAnsi="宋体" w:eastAsia="宋体" w:cs="宋体"/>
                <w:kern w:val="2"/>
                <w:sz w:val="24"/>
                <w:szCs w:val="24"/>
                <w:lang w:val="en-US" w:eastAsia="zh-CN" w:bidi="ar-SA"/>
              </w:rPr>
            </w:pPr>
            <w:r>
              <w:rPr>
                <w:rFonts w:ascii="宋体" w:hAnsi="宋体" w:eastAsia="宋体" w:cs="宋体"/>
                <w:spacing w:val="-16"/>
                <w:sz w:val="24"/>
                <w:szCs w:val="24"/>
              </w:rPr>
              <w:t>中等</w:t>
            </w:r>
          </w:p>
        </w:tc>
        <w:tc>
          <w:tcPr>
            <w:tcW w:w="2841" w:type="dxa"/>
            <w:shd w:val="clear" w:color="auto" w:fill="auto"/>
            <w:vAlign w:val="top"/>
          </w:tcPr>
          <w:p w14:paraId="7C608110">
            <w:pPr>
              <w:spacing w:before="242" w:line="218" w:lineRule="auto"/>
              <w:rPr>
                <w:rFonts w:ascii="宋体" w:hAnsi="宋体" w:eastAsia="宋体" w:cs="宋体"/>
                <w:kern w:val="2"/>
                <w:sz w:val="24"/>
                <w:szCs w:val="24"/>
                <w:lang w:val="en-US" w:eastAsia="zh-CN" w:bidi="ar-SA"/>
              </w:rPr>
            </w:pPr>
            <w:r>
              <w:rPr>
                <w:rFonts w:ascii="宋体" w:hAnsi="宋体" w:eastAsia="宋体" w:cs="宋体"/>
                <w:spacing w:val="-4"/>
                <w:sz w:val="24"/>
                <w:szCs w:val="24"/>
              </w:rPr>
              <w:t>可用性价值中等，合法使用者对信息及信息系统的可用度在正常工作时间达</w:t>
            </w:r>
            <w:r>
              <w:rPr>
                <w:rFonts w:ascii="宋体" w:hAnsi="宋体" w:eastAsia="宋体" w:cs="宋体"/>
                <w:spacing w:val="-6"/>
                <w:sz w:val="24"/>
                <w:szCs w:val="24"/>
              </w:rPr>
              <w:t>到</w:t>
            </w:r>
            <w:r>
              <w:rPr>
                <w:rFonts w:ascii="宋体" w:hAnsi="宋体" w:eastAsia="宋体" w:cs="宋体"/>
                <w:spacing w:val="-39"/>
                <w:sz w:val="24"/>
                <w:szCs w:val="24"/>
              </w:rPr>
              <w:t xml:space="preserve"> </w:t>
            </w:r>
            <w:r>
              <w:rPr>
                <w:rFonts w:ascii="宋体" w:hAnsi="宋体" w:eastAsia="宋体" w:cs="宋体"/>
                <w:spacing w:val="-6"/>
                <w:sz w:val="24"/>
                <w:szCs w:val="24"/>
              </w:rPr>
              <w:t>90%以上，或系统允许中断时间小于</w:t>
            </w:r>
            <w:r>
              <w:rPr>
                <w:rFonts w:ascii="宋体" w:hAnsi="宋体" w:eastAsia="宋体" w:cs="宋体"/>
                <w:spacing w:val="-51"/>
                <w:sz w:val="24"/>
                <w:szCs w:val="24"/>
              </w:rPr>
              <w:t xml:space="preserve"> </w:t>
            </w:r>
            <w:r>
              <w:rPr>
                <w:rFonts w:ascii="宋体" w:hAnsi="宋体" w:eastAsia="宋体" w:cs="宋体"/>
                <w:spacing w:val="-6"/>
                <w:sz w:val="24"/>
                <w:szCs w:val="24"/>
              </w:rPr>
              <w:t>30</w:t>
            </w:r>
            <w:r>
              <w:rPr>
                <w:rFonts w:ascii="宋体" w:hAnsi="宋体" w:eastAsia="宋体" w:cs="宋体"/>
                <w:spacing w:val="-52"/>
                <w:sz w:val="24"/>
                <w:szCs w:val="24"/>
              </w:rPr>
              <w:t xml:space="preserve"> </w:t>
            </w:r>
            <w:r>
              <w:rPr>
                <w:rFonts w:ascii="宋体" w:hAnsi="宋体" w:eastAsia="宋体" w:cs="宋体"/>
                <w:spacing w:val="-6"/>
                <w:sz w:val="24"/>
                <w:szCs w:val="24"/>
              </w:rPr>
              <w:t>分钟</w:t>
            </w:r>
          </w:p>
        </w:tc>
      </w:tr>
      <w:tr w14:paraId="498795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3E4C162">
            <w:pPr>
              <w:pStyle w:val="22"/>
              <w:spacing w:line="259" w:lineRule="auto"/>
            </w:pPr>
          </w:p>
          <w:p w14:paraId="12CA9C69">
            <w:pPr>
              <w:pStyle w:val="22"/>
              <w:spacing w:line="260" w:lineRule="auto"/>
            </w:pPr>
          </w:p>
          <w:p w14:paraId="7EB01254">
            <w:pPr>
              <w:spacing w:before="78" w:line="241" w:lineRule="auto"/>
              <w:ind w:left="117" w:leftChars="0"/>
              <w:rPr>
                <w:rFonts w:ascii="宋体" w:hAnsi="宋体" w:eastAsia="宋体" w:cs="宋体"/>
                <w:kern w:val="2"/>
                <w:sz w:val="24"/>
                <w:szCs w:val="24"/>
                <w:lang w:val="en-US" w:eastAsia="zh-CN" w:bidi="ar-SA"/>
              </w:rPr>
            </w:pPr>
            <w:r>
              <w:rPr>
                <w:rFonts w:ascii="宋体" w:hAnsi="宋体" w:eastAsia="宋体" w:cs="宋体"/>
                <w:sz w:val="24"/>
                <w:szCs w:val="24"/>
              </w:rPr>
              <w:t>2</w:t>
            </w:r>
          </w:p>
        </w:tc>
        <w:tc>
          <w:tcPr>
            <w:tcW w:w="0" w:type="auto"/>
            <w:shd w:val="clear" w:color="auto" w:fill="auto"/>
            <w:vAlign w:val="top"/>
          </w:tcPr>
          <w:p w14:paraId="507C6615">
            <w:pPr>
              <w:pStyle w:val="22"/>
              <w:spacing w:line="259" w:lineRule="auto"/>
            </w:pPr>
          </w:p>
          <w:p w14:paraId="5547EE5B">
            <w:pPr>
              <w:pStyle w:val="22"/>
              <w:spacing w:line="260" w:lineRule="auto"/>
            </w:pPr>
          </w:p>
          <w:p w14:paraId="62B76761">
            <w:pPr>
              <w:spacing w:before="78" w:line="221" w:lineRule="auto"/>
              <w:ind w:left="110" w:leftChars="0"/>
              <w:rPr>
                <w:rFonts w:ascii="宋体" w:hAnsi="宋体" w:eastAsia="宋体" w:cs="宋体"/>
                <w:kern w:val="2"/>
                <w:sz w:val="24"/>
                <w:szCs w:val="24"/>
                <w:lang w:val="en-US" w:eastAsia="zh-CN" w:bidi="ar-SA"/>
              </w:rPr>
            </w:pPr>
            <w:r>
              <w:rPr>
                <w:rFonts w:ascii="宋体" w:hAnsi="宋体" w:eastAsia="宋体" w:cs="宋体"/>
                <w:sz w:val="24"/>
                <w:szCs w:val="24"/>
              </w:rPr>
              <w:t>低</w:t>
            </w:r>
          </w:p>
        </w:tc>
        <w:tc>
          <w:tcPr>
            <w:tcW w:w="0" w:type="auto"/>
            <w:shd w:val="clear" w:color="auto" w:fill="auto"/>
            <w:vAlign w:val="top"/>
          </w:tcPr>
          <w:p w14:paraId="13C069FD">
            <w:pPr>
              <w:spacing w:before="240" w:line="218" w:lineRule="auto"/>
              <w:rPr>
                <w:rFonts w:ascii="宋体" w:hAnsi="宋体" w:eastAsia="宋体" w:cs="宋体"/>
                <w:kern w:val="2"/>
                <w:sz w:val="24"/>
                <w:szCs w:val="24"/>
                <w:lang w:val="en-US" w:eastAsia="zh-CN" w:bidi="ar-SA"/>
              </w:rPr>
            </w:pPr>
            <w:r>
              <w:rPr>
                <w:rFonts w:ascii="宋体" w:hAnsi="宋体" w:eastAsia="宋体" w:cs="宋体"/>
                <w:spacing w:val="-4"/>
                <w:sz w:val="24"/>
                <w:szCs w:val="24"/>
              </w:rPr>
              <w:t>可用性价值较低，合法使用者对信息及信息系统的可用度在正常工作时间达</w:t>
            </w:r>
            <w:r>
              <w:rPr>
                <w:rFonts w:ascii="宋体" w:hAnsi="宋体" w:eastAsia="宋体" w:cs="宋体"/>
                <w:spacing w:val="-6"/>
                <w:sz w:val="24"/>
                <w:szCs w:val="24"/>
              </w:rPr>
              <w:t>到</w:t>
            </w:r>
            <w:r>
              <w:rPr>
                <w:rFonts w:ascii="宋体" w:hAnsi="宋体" w:eastAsia="宋体" w:cs="宋体"/>
                <w:spacing w:val="-36"/>
                <w:sz w:val="24"/>
                <w:szCs w:val="24"/>
              </w:rPr>
              <w:t xml:space="preserve"> </w:t>
            </w:r>
            <w:r>
              <w:rPr>
                <w:rFonts w:ascii="宋体" w:hAnsi="宋体" w:eastAsia="宋体" w:cs="宋体"/>
                <w:spacing w:val="-6"/>
                <w:sz w:val="24"/>
                <w:szCs w:val="24"/>
              </w:rPr>
              <w:t>25%以上，或系统允许中断时间小于</w:t>
            </w:r>
            <w:r>
              <w:rPr>
                <w:rFonts w:ascii="宋体" w:hAnsi="宋体" w:eastAsia="宋体" w:cs="宋体"/>
                <w:spacing w:val="-54"/>
                <w:sz w:val="24"/>
                <w:szCs w:val="24"/>
              </w:rPr>
              <w:t xml:space="preserve"> </w:t>
            </w:r>
            <w:r>
              <w:rPr>
                <w:rFonts w:ascii="宋体" w:hAnsi="宋体" w:eastAsia="宋体" w:cs="宋体"/>
                <w:spacing w:val="-6"/>
                <w:sz w:val="24"/>
                <w:szCs w:val="24"/>
              </w:rPr>
              <w:t>60</w:t>
            </w:r>
            <w:r>
              <w:rPr>
                <w:rFonts w:ascii="宋体" w:hAnsi="宋体" w:eastAsia="宋体" w:cs="宋体"/>
                <w:spacing w:val="-52"/>
                <w:sz w:val="24"/>
                <w:szCs w:val="24"/>
              </w:rPr>
              <w:t xml:space="preserve"> </w:t>
            </w:r>
            <w:r>
              <w:rPr>
                <w:rFonts w:ascii="宋体" w:hAnsi="宋体" w:eastAsia="宋体" w:cs="宋体"/>
                <w:spacing w:val="-6"/>
                <w:sz w:val="24"/>
                <w:szCs w:val="24"/>
              </w:rPr>
              <w:t>分钟</w:t>
            </w:r>
          </w:p>
        </w:tc>
      </w:tr>
      <w:tr w14:paraId="077B0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5A4FB40">
            <w:pPr>
              <w:pStyle w:val="22"/>
              <w:spacing w:line="262" w:lineRule="auto"/>
            </w:pPr>
          </w:p>
          <w:p w14:paraId="318E23D9">
            <w:pPr>
              <w:pStyle w:val="22"/>
              <w:spacing w:line="262" w:lineRule="auto"/>
            </w:pPr>
          </w:p>
          <w:p w14:paraId="49D4AB08">
            <w:pPr>
              <w:spacing w:before="78" w:line="241" w:lineRule="auto"/>
              <w:ind w:left="132" w:leftChars="0"/>
              <w:rPr>
                <w:rFonts w:ascii="宋体" w:hAnsi="宋体" w:eastAsia="宋体" w:cs="宋体"/>
                <w:kern w:val="2"/>
                <w:sz w:val="24"/>
                <w:szCs w:val="24"/>
                <w:lang w:val="en-US" w:eastAsia="zh-CN" w:bidi="ar-SA"/>
              </w:rPr>
            </w:pPr>
            <w:r>
              <w:rPr>
                <w:rFonts w:ascii="宋体" w:hAnsi="宋体" w:eastAsia="宋体" w:cs="宋体"/>
                <w:sz w:val="24"/>
                <w:szCs w:val="24"/>
              </w:rPr>
              <w:t>1</w:t>
            </w:r>
          </w:p>
        </w:tc>
        <w:tc>
          <w:tcPr>
            <w:tcW w:w="0" w:type="auto"/>
            <w:shd w:val="clear" w:color="auto" w:fill="auto"/>
            <w:vAlign w:val="top"/>
          </w:tcPr>
          <w:p w14:paraId="32D8513A">
            <w:pPr>
              <w:spacing w:before="242" w:line="223" w:lineRule="auto"/>
              <w:ind w:left="113"/>
              <w:rPr>
                <w:rFonts w:ascii="宋体" w:hAnsi="宋体" w:eastAsia="宋体" w:cs="宋体"/>
                <w:kern w:val="2"/>
                <w:sz w:val="24"/>
                <w:szCs w:val="24"/>
                <w:lang w:val="en-US" w:eastAsia="zh-CN" w:bidi="ar-SA"/>
              </w:rPr>
            </w:pPr>
            <w:r>
              <w:rPr>
                <w:rFonts w:ascii="宋体" w:hAnsi="宋体" w:eastAsia="宋体" w:cs="宋体"/>
                <w:spacing w:val="-6"/>
                <w:sz w:val="24"/>
                <w:szCs w:val="24"/>
              </w:rPr>
              <w:t>可忽</w:t>
            </w:r>
            <w:r>
              <w:rPr>
                <w:rFonts w:ascii="宋体" w:hAnsi="宋体" w:eastAsia="宋体" w:cs="宋体"/>
                <w:sz w:val="24"/>
                <w:szCs w:val="24"/>
              </w:rPr>
              <w:t>略</w:t>
            </w:r>
          </w:p>
        </w:tc>
        <w:tc>
          <w:tcPr>
            <w:tcW w:w="0" w:type="auto"/>
            <w:shd w:val="clear" w:color="auto" w:fill="auto"/>
            <w:vAlign w:val="top"/>
          </w:tcPr>
          <w:p w14:paraId="2DCD47A6">
            <w:pPr>
              <w:spacing w:before="242" w:line="218" w:lineRule="auto"/>
              <w:rPr>
                <w:rFonts w:ascii="宋体" w:hAnsi="宋体" w:eastAsia="宋体" w:cs="宋体"/>
                <w:kern w:val="2"/>
                <w:sz w:val="24"/>
                <w:szCs w:val="24"/>
                <w:lang w:val="en-US" w:eastAsia="zh-CN" w:bidi="ar-SA"/>
              </w:rPr>
            </w:pPr>
            <w:r>
              <w:rPr>
                <w:rFonts w:ascii="宋体" w:hAnsi="宋体" w:eastAsia="宋体" w:cs="宋体"/>
                <w:spacing w:val="-4"/>
                <w:sz w:val="24"/>
                <w:szCs w:val="24"/>
              </w:rPr>
              <w:t>可用性价值可以忽略，法使用者对信息及信息系统的可用度在正常工作时间</w:t>
            </w:r>
            <w:r>
              <w:rPr>
                <w:rFonts w:ascii="宋体" w:hAnsi="宋体" w:eastAsia="宋体" w:cs="宋体"/>
                <w:spacing w:val="-5"/>
                <w:sz w:val="24"/>
                <w:szCs w:val="24"/>
              </w:rPr>
              <w:t>低于</w:t>
            </w:r>
            <w:r>
              <w:rPr>
                <w:rFonts w:ascii="宋体" w:hAnsi="宋体" w:eastAsia="宋体" w:cs="宋体"/>
                <w:spacing w:val="-52"/>
                <w:sz w:val="24"/>
                <w:szCs w:val="24"/>
              </w:rPr>
              <w:t xml:space="preserve"> </w:t>
            </w:r>
            <w:r>
              <w:rPr>
                <w:rFonts w:ascii="宋体" w:hAnsi="宋体" w:eastAsia="宋体" w:cs="宋体"/>
                <w:spacing w:val="-5"/>
                <w:sz w:val="24"/>
                <w:szCs w:val="24"/>
              </w:rPr>
              <w:t>25%。</w:t>
            </w:r>
          </w:p>
        </w:tc>
      </w:tr>
    </w:tbl>
    <w:p w14:paraId="2C44A31A">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2B5EEA7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ascii="Wingdings" w:hAnsi="Wingdings" w:eastAsia="Wingdings" w:cs="Wingdings"/>
          <w:spacing w:val="-9"/>
          <w:sz w:val="24"/>
          <w:szCs w:val="24"/>
        </w:rPr>
        <w:t>u</w:t>
      </w:r>
      <w:r>
        <w:rPr>
          <w:rFonts w:hint="default"/>
          <w:sz w:val="24"/>
          <w:lang w:val="en-US" w:eastAsia="zh-CN"/>
        </w:rPr>
        <w:t xml:space="preserve"> 资产重要性等级</w:t>
      </w:r>
    </w:p>
    <w:p w14:paraId="43E8BDC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最终资产价值可以通过违反资产的机密性、完整性和可用性三个方面的程度综合确定，资产的赋值采用定性的相对等级的方式。与以上安全属性的等级相对应，资产价值的等级可分为五级，从 1 到 5 由低到高分别代表五个级别的资产相对价值，等级越大，资产越重要。</w:t>
      </w:r>
    </w:p>
    <w:p w14:paraId="608EAA8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由于资产最终价值的等级评估是依据资产机密性、完整性、可用性的赋值级别经过综合评定得出的，本标准的评定准则选择“最高的属性级别 ”为综合资产赋值准则的方法。</w:t>
      </w:r>
    </w:p>
    <w:p w14:paraId="728C0CA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当然，风险评估小组也可以根据被评估系统的实际情况自定义资产的等级，但该评定方法必须在事先得到信息系统所有者认可。</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8"/>
        <w:gridCol w:w="1930"/>
        <w:gridCol w:w="4674"/>
      </w:tblGrid>
      <w:tr w14:paraId="298A93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1E5D833">
            <w:pPr>
              <w:spacing w:before="242" w:line="219" w:lineRule="auto"/>
              <w:ind w:left="116"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等级</w:t>
            </w:r>
          </w:p>
        </w:tc>
        <w:tc>
          <w:tcPr>
            <w:tcW w:w="2841" w:type="dxa"/>
            <w:shd w:val="clear" w:color="auto" w:fill="auto"/>
            <w:vAlign w:val="top"/>
          </w:tcPr>
          <w:p w14:paraId="19F2246A">
            <w:pPr>
              <w:spacing w:before="242" w:line="220" w:lineRule="auto"/>
              <w:ind w:left="110"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标识</w:t>
            </w:r>
          </w:p>
        </w:tc>
        <w:tc>
          <w:tcPr>
            <w:tcW w:w="2841" w:type="dxa"/>
            <w:shd w:val="clear" w:color="auto" w:fill="auto"/>
            <w:vAlign w:val="top"/>
          </w:tcPr>
          <w:p w14:paraId="4D6FA9B5">
            <w:pPr>
              <w:spacing w:before="241" w:line="218" w:lineRule="auto"/>
              <w:ind w:left="120" w:leftChars="0"/>
              <w:rPr>
                <w:rFonts w:hint="default" w:ascii="宋体" w:hAnsi="宋体" w:eastAsia="宋体" w:cs="宋体"/>
                <w:kern w:val="2"/>
                <w:sz w:val="24"/>
                <w:szCs w:val="24"/>
                <w:lang w:val="en-US" w:eastAsia="zh-CN" w:bidi="ar-SA"/>
              </w:rPr>
            </w:pPr>
            <w:r>
              <w:rPr>
                <w:rFonts w:ascii="宋体" w:hAnsi="宋体" w:eastAsia="宋体" w:cs="宋体"/>
                <w:spacing w:val="-7"/>
                <w:sz w:val="24"/>
                <w:szCs w:val="24"/>
              </w:rPr>
              <w:t>资产价值定义</w:t>
            </w:r>
          </w:p>
        </w:tc>
      </w:tr>
      <w:tr w14:paraId="624F41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9E71E7A">
            <w:pPr>
              <w:spacing w:before="241"/>
              <w:ind w:left="119" w:leftChars="0"/>
              <w:rPr>
                <w:rFonts w:hint="default" w:ascii="宋体" w:hAnsi="宋体" w:eastAsia="宋体" w:cs="宋体"/>
                <w:kern w:val="2"/>
                <w:sz w:val="24"/>
                <w:szCs w:val="24"/>
                <w:lang w:val="en-US" w:eastAsia="zh-CN" w:bidi="ar-SA"/>
              </w:rPr>
            </w:pPr>
            <w:r>
              <w:rPr>
                <w:rFonts w:ascii="宋体" w:hAnsi="宋体" w:eastAsia="宋体" w:cs="宋体"/>
                <w:sz w:val="24"/>
                <w:szCs w:val="24"/>
              </w:rPr>
              <w:t>5</w:t>
            </w:r>
          </w:p>
        </w:tc>
        <w:tc>
          <w:tcPr>
            <w:tcW w:w="2841" w:type="dxa"/>
            <w:shd w:val="clear" w:color="auto" w:fill="auto"/>
            <w:vAlign w:val="top"/>
          </w:tcPr>
          <w:p w14:paraId="0EB68B7F">
            <w:pPr>
              <w:spacing w:before="242" w:line="219" w:lineRule="auto"/>
              <w:ind w:left="110"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很高</w:t>
            </w:r>
          </w:p>
        </w:tc>
        <w:tc>
          <w:tcPr>
            <w:tcW w:w="2841" w:type="dxa"/>
            <w:shd w:val="clear" w:color="auto" w:fill="auto"/>
            <w:vAlign w:val="top"/>
          </w:tcPr>
          <w:p w14:paraId="10EF3ADD">
            <w:pPr>
              <w:spacing w:before="242" w:line="220" w:lineRule="auto"/>
              <w:rPr>
                <w:rFonts w:hint="default" w:ascii="宋体" w:hAnsi="宋体" w:eastAsia="宋体" w:cs="宋体"/>
                <w:kern w:val="2"/>
                <w:sz w:val="24"/>
                <w:szCs w:val="24"/>
                <w:lang w:val="en-US" w:eastAsia="zh-CN" w:bidi="ar-SA"/>
              </w:rPr>
            </w:pPr>
            <w:r>
              <w:rPr>
                <w:rFonts w:ascii="宋体" w:hAnsi="宋体" w:eastAsia="宋体" w:cs="宋体"/>
                <w:spacing w:val="-5"/>
                <w:sz w:val="24"/>
                <w:szCs w:val="24"/>
              </w:rPr>
              <w:t>非常重要，其安全属性破坏后可能对组织造成非常严重的损失</w:t>
            </w:r>
          </w:p>
        </w:tc>
      </w:tr>
      <w:tr w14:paraId="4047A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A6F6E13">
            <w:pPr>
              <w:spacing w:before="244" w:line="241" w:lineRule="auto"/>
              <w:ind w:left="113" w:leftChars="0"/>
              <w:rPr>
                <w:rFonts w:hint="default" w:ascii="宋体" w:hAnsi="宋体" w:eastAsia="宋体" w:cs="宋体"/>
                <w:kern w:val="2"/>
                <w:sz w:val="24"/>
                <w:szCs w:val="24"/>
                <w:lang w:val="en-US" w:eastAsia="zh-CN" w:bidi="ar-SA"/>
              </w:rPr>
            </w:pPr>
            <w:r>
              <w:rPr>
                <w:rFonts w:ascii="宋体" w:hAnsi="宋体" w:eastAsia="宋体" w:cs="宋体"/>
                <w:sz w:val="24"/>
                <w:szCs w:val="24"/>
              </w:rPr>
              <w:t>4</w:t>
            </w:r>
          </w:p>
        </w:tc>
        <w:tc>
          <w:tcPr>
            <w:tcW w:w="2841" w:type="dxa"/>
            <w:shd w:val="clear" w:color="auto" w:fill="auto"/>
            <w:vAlign w:val="top"/>
          </w:tcPr>
          <w:p w14:paraId="2AB5609A">
            <w:pPr>
              <w:spacing w:before="244" w:line="219" w:lineRule="auto"/>
              <w:ind w:left="115" w:leftChars="0"/>
              <w:rPr>
                <w:rFonts w:hint="default" w:ascii="宋体" w:hAnsi="宋体" w:eastAsia="宋体" w:cs="宋体"/>
                <w:kern w:val="2"/>
                <w:sz w:val="24"/>
                <w:szCs w:val="24"/>
                <w:lang w:val="en-US" w:eastAsia="zh-CN" w:bidi="ar-SA"/>
              </w:rPr>
            </w:pPr>
            <w:r>
              <w:rPr>
                <w:rFonts w:ascii="宋体" w:hAnsi="宋体" w:eastAsia="宋体" w:cs="宋体"/>
                <w:sz w:val="24"/>
                <w:szCs w:val="24"/>
              </w:rPr>
              <w:t>高</w:t>
            </w:r>
          </w:p>
        </w:tc>
        <w:tc>
          <w:tcPr>
            <w:tcW w:w="2841" w:type="dxa"/>
            <w:shd w:val="clear" w:color="auto" w:fill="auto"/>
            <w:vAlign w:val="top"/>
          </w:tcPr>
          <w:p w14:paraId="4DA9964E">
            <w:pPr>
              <w:spacing w:before="244" w:line="220" w:lineRule="auto"/>
              <w:rPr>
                <w:rFonts w:hint="default" w:ascii="宋体" w:hAnsi="宋体" w:eastAsia="宋体" w:cs="宋体"/>
                <w:kern w:val="2"/>
                <w:sz w:val="24"/>
                <w:szCs w:val="24"/>
                <w:lang w:val="en-US" w:eastAsia="zh-CN" w:bidi="ar-SA"/>
              </w:rPr>
            </w:pPr>
            <w:r>
              <w:rPr>
                <w:rFonts w:ascii="宋体" w:hAnsi="宋体" w:eastAsia="宋体" w:cs="宋体"/>
                <w:spacing w:val="-5"/>
                <w:sz w:val="24"/>
                <w:szCs w:val="24"/>
              </w:rPr>
              <w:t>重要，其安全属性破坏后可能对组织造成比较严重的损失</w:t>
            </w:r>
          </w:p>
        </w:tc>
      </w:tr>
      <w:tr w14:paraId="2612A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5A1EF58">
            <w:pPr>
              <w:spacing w:before="252"/>
              <w:ind w:left="119" w:leftChars="0"/>
              <w:rPr>
                <w:rFonts w:ascii="宋体" w:hAnsi="宋体" w:eastAsia="宋体" w:cs="宋体"/>
                <w:kern w:val="2"/>
                <w:sz w:val="24"/>
                <w:szCs w:val="24"/>
                <w:lang w:val="en-US" w:eastAsia="zh-CN" w:bidi="ar-SA"/>
              </w:rPr>
            </w:pPr>
            <w:r>
              <w:rPr>
                <w:rFonts w:ascii="宋体" w:hAnsi="宋体" w:eastAsia="宋体" w:cs="宋体"/>
                <w:sz w:val="24"/>
                <w:szCs w:val="24"/>
              </w:rPr>
              <w:t>3</w:t>
            </w:r>
          </w:p>
        </w:tc>
        <w:tc>
          <w:tcPr>
            <w:tcW w:w="2841" w:type="dxa"/>
            <w:shd w:val="clear" w:color="auto" w:fill="auto"/>
            <w:vAlign w:val="top"/>
          </w:tcPr>
          <w:p w14:paraId="5895538F">
            <w:pPr>
              <w:spacing w:before="252" w:line="220" w:lineRule="auto"/>
              <w:ind w:left="131" w:leftChars="0"/>
              <w:rPr>
                <w:rFonts w:ascii="宋体" w:hAnsi="宋体" w:eastAsia="宋体" w:cs="宋体"/>
                <w:kern w:val="2"/>
                <w:sz w:val="24"/>
                <w:szCs w:val="24"/>
                <w:lang w:val="en-US" w:eastAsia="zh-CN" w:bidi="ar-SA"/>
              </w:rPr>
            </w:pPr>
            <w:r>
              <w:rPr>
                <w:rFonts w:ascii="宋体" w:hAnsi="宋体" w:eastAsia="宋体" w:cs="宋体"/>
                <w:sz w:val="24"/>
                <w:szCs w:val="24"/>
              </w:rPr>
              <w:t>中</w:t>
            </w:r>
          </w:p>
        </w:tc>
        <w:tc>
          <w:tcPr>
            <w:tcW w:w="2841" w:type="dxa"/>
            <w:shd w:val="clear" w:color="auto" w:fill="auto"/>
            <w:vAlign w:val="top"/>
          </w:tcPr>
          <w:p w14:paraId="2BA7E8AC">
            <w:pPr>
              <w:spacing w:before="253" w:line="219" w:lineRule="auto"/>
              <w:rPr>
                <w:rFonts w:ascii="宋体" w:hAnsi="宋体" w:eastAsia="宋体" w:cs="宋体"/>
                <w:kern w:val="2"/>
                <w:sz w:val="24"/>
                <w:szCs w:val="24"/>
                <w:lang w:val="en-US" w:eastAsia="zh-CN" w:bidi="ar-SA"/>
              </w:rPr>
            </w:pPr>
            <w:r>
              <w:rPr>
                <w:rFonts w:ascii="宋体" w:hAnsi="宋体" w:eastAsia="宋体" w:cs="宋体"/>
                <w:spacing w:val="-5"/>
                <w:sz w:val="24"/>
                <w:szCs w:val="24"/>
              </w:rPr>
              <w:t>比较重要，其安全属性破坏后可能对组织造成中等</w:t>
            </w:r>
            <w:r>
              <w:rPr>
                <w:rFonts w:ascii="宋体" w:hAnsi="宋体" w:eastAsia="宋体" w:cs="宋体"/>
                <w:spacing w:val="-6"/>
                <w:sz w:val="24"/>
                <w:szCs w:val="24"/>
              </w:rPr>
              <w:t>程度的损失</w:t>
            </w:r>
          </w:p>
        </w:tc>
      </w:tr>
      <w:tr w14:paraId="7457AB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575DAB">
            <w:pPr>
              <w:spacing w:before="242" w:line="241" w:lineRule="auto"/>
              <w:ind w:left="117" w:leftChars="0"/>
              <w:rPr>
                <w:rFonts w:ascii="宋体" w:hAnsi="宋体" w:eastAsia="宋体" w:cs="宋体"/>
                <w:kern w:val="2"/>
                <w:sz w:val="24"/>
                <w:szCs w:val="24"/>
                <w:lang w:val="en-US" w:eastAsia="zh-CN" w:bidi="ar-SA"/>
              </w:rPr>
            </w:pPr>
            <w:r>
              <w:rPr>
                <w:rFonts w:ascii="宋体" w:hAnsi="宋体" w:eastAsia="宋体" w:cs="宋体"/>
                <w:sz w:val="24"/>
                <w:szCs w:val="24"/>
              </w:rPr>
              <w:t>2</w:t>
            </w:r>
          </w:p>
        </w:tc>
        <w:tc>
          <w:tcPr>
            <w:tcW w:w="0" w:type="auto"/>
            <w:shd w:val="clear" w:color="auto" w:fill="auto"/>
            <w:vAlign w:val="top"/>
          </w:tcPr>
          <w:p w14:paraId="02A860F7">
            <w:pPr>
              <w:spacing w:before="242" w:line="221" w:lineRule="auto"/>
              <w:ind w:left="108" w:leftChars="0"/>
              <w:rPr>
                <w:rFonts w:ascii="宋体" w:hAnsi="宋体" w:eastAsia="宋体" w:cs="宋体"/>
                <w:kern w:val="2"/>
                <w:sz w:val="24"/>
                <w:szCs w:val="24"/>
                <w:lang w:val="en-US" w:eastAsia="zh-CN" w:bidi="ar-SA"/>
              </w:rPr>
            </w:pPr>
            <w:r>
              <w:rPr>
                <w:rFonts w:ascii="宋体" w:hAnsi="宋体" w:eastAsia="宋体" w:cs="宋体"/>
                <w:sz w:val="24"/>
                <w:szCs w:val="24"/>
              </w:rPr>
              <w:t>低</w:t>
            </w:r>
          </w:p>
        </w:tc>
        <w:tc>
          <w:tcPr>
            <w:tcW w:w="0" w:type="auto"/>
            <w:shd w:val="clear" w:color="auto" w:fill="auto"/>
            <w:vAlign w:val="top"/>
          </w:tcPr>
          <w:p w14:paraId="4F122B2C">
            <w:pPr>
              <w:spacing w:before="242" w:line="220" w:lineRule="auto"/>
              <w:rPr>
                <w:rFonts w:ascii="宋体" w:hAnsi="宋体" w:eastAsia="宋体" w:cs="宋体"/>
                <w:kern w:val="2"/>
                <w:sz w:val="24"/>
                <w:szCs w:val="24"/>
                <w:lang w:val="en-US" w:eastAsia="zh-CN" w:bidi="ar-SA"/>
              </w:rPr>
            </w:pPr>
            <w:r>
              <w:rPr>
                <w:rFonts w:ascii="宋体" w:hAnsi="宋体" w:eastAsia="宋体" w:cs="宋体"/>
                <w:spacing w:val="-5"/>
                <w:sz w:val="24"/>
                <w:szCs w:val="24"/>
              </w:rPr>
              <w:t>不太重要，其安全属性破坏后可能对组织造成较低的损失</w:t>
            </w:r>
          </w:p>
        </w:tc>
      </w:tr>
      <w:tr w14:paraId="180EDD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00ACDA">
            <w:pPr>
              <w:spacing w:before="242" w:line="241" w:lineRule="auto"/>
              <w:ind w:left="132" w:leftChars="0"/>
              <w:rPr>
                <w:rFonts w:ascii="宋体" w:hAnsi="宋体" w:eastAsia="宋体" w:cs="宋体"/>
                <w:kern w:val="2"/>
                <w:sz w:val="24"/>
                <w:szCs w:val="24"/>
                <w:lang w:val="en-US" w:eastAsia="zh-CN" w:bidi="ar-SA"/>
              </w:rPr>
            </w:pPr>
            <w:r>
              <w:rPr>
                <w:rFonts w:ascii="宋体" w:hAnsi="宋体" w:eastAsia="宋体" w:cs="宋体"/>
                <w:sz w:val="24"/>
                <w:szCs w:val="24"/>
              </w:rPr>
              <w:t>1</w:t>
            </w:r>
          </w:p>
        </w:tc>
        <w:tc>
          <w:tcPr>
            <w:tcW w:w="0" w:type="auto"/>
            <w:shd w:val="clear" w:color="auto" w:fill="auto"/>
            <w:vAlign w:val="top"/>
          </w:tcPr>
          <w:p w14:paraId="44A80B7A">
            <w:pPr>
              <w:spacing w:before="242" w:line="220" w:lineRule="auto"/>
              <w:ind w:left="110" w:leftChars="0"/>
              <w:rPr>
                <w:rFonts w:ascii="宋体" w:hAnsi="宋体" w:eastAsia="宋体" w:cs="宋体"/>
                <w:kern w:val="2"/>
                <w:sz w:val="24"/>
                <w:szCs w:val="24"/>
                <w:lang w:val="en-US" w:eastAsia="zh-CN" w:bidi="ar-SA"/>
              </w:rPr>
            </w:pPr>
            <w:r>
              <w:rPr>
                <w:rFonts w:ascii="宋体" w:hAnsi="宋体" w:eastAsia="宋体" w:cs="宋体"/>
                <w:spacing w:val="-6"/>
                <w:sz w:val="24"/>
                <w:szCs w:val="24"/>
              </w:rPr>
              <w:t>很低</w:t>
            </w:r>
          </w:p>
        </w:tc>
        <w:tc>
          <w:tcPr>
            <w:tcW w:w="0" w:type="auto"/>
            <w:shd w:val="clear" w:color="auto" w:fill="auto"/>
            <w:vAlign w:val="top"/>
          </w:tcPr>
          <w:p w14:paraId="13779C9F">
            <w:pPr>
              <w:spacing w:before="242" w:line="220" w:lineRule="auto"/>
              <w:rPr>
                <w:rFonts w:ascii="宋体" w:hAnsi="宋体" w:eastAsia="宋体" w:cs="宋体"/>
                <w:kern w:val="2"/>
                <w:sz w:val="24"/>
                <w:szCs w:val="24"/>
                <w:lang w:val="en-US" w:eastAsia="zh-CN" w:bidi="ar-SA"/>
              </w:rPr>
            </w:pPr>
            <w:r>
              <w:rPr>
                <w:rFonts w:ascii="宋体" w:hAnsi="宋体" w:eastAsia="宋体" w:cs="宋体"/>
                <w:spacing w:val="-4"/>
                <w:sz w:val="24"/>
                <w:szCs w:val="24"/>
              </w:rPr>
              <w:t>不重要，其安全属性破坏后可能对组织造成很</w:t>
            </w:r>
            <w:r>
              <w:rPr>
                <w:rFonts w:ascii="宋体" w:hAnsi="宋体" w:eastAsia="宋体" w:cs="宋体"/>
                <w:spacing w:val="-5"/>
                <w:sz w:val="24"/>
                <w:szCs w:val="24"/>
              </w:rPr>
              <w:t>小的损失，甚至忽略不计</w:t>
            </w:r>
          </w:p>
        </w:tc>
      </w:tr>
    </w:tbl>
    <w:p w14:paraId="24315A4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p>
    <w:p w14:paraId="29AFEEAE">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ascii="Wingdings" w:hAnsi="Wingdings" w:eastAsia="Wingdings" w:cs="Wingdings"/>
          <w:spacing w:val="-9"/>
          <w:sz w:val="24"/>
          <w:szCs w:val="24"/>
        </w:rPr>
        <w:t>u</w:t>
      </w:r>
      <w:r>
        <w:rPr>
          <w:rFonts w:hint="default"/>
          <w:sz w:val="24"/>
          <w:lang w:val="en-US" w:eastAsia="zh-CN"/>
        </w:rPr>
        <w:t>资产重要性等级划分表</w:t>
      </w:r>
    </w:p>
    <w:p w14:paraId="4A377E9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阶段成果：风险评估小组确定在信息安全方面对组织业务发展（考虑相关方要求）起到关键作用的资产，根据本规则，对资产的机密性、完整性、可用性进行赋值与计算，并根据资产赋值结果得出《重要资产清单》，该清单一般应包括重要资产名称、描述、类型、重要程度、责任人/部门，应根据预先制定的规则，对资产的机密性、完整性、可用性进行赋值与计算。</w:t>
      </w:r>
    </w:p>
    <w:p w14:paraId="1451507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在本阶段结束时应由本公司信息安全管理委员会向信息系统所有者提供《重要资产清单》，并由信息系统所有者进行书面确认，然后主要围绕重要资产展开以下实施步骤。</w:t>
      </w:r>
    </w:p>
    <w:p w14:paraId="24E37B0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资产识别阶段小结如表</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6848"/>
      </w:tblGrid>
      <w:tr w14:paraId="212BE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auto"/>
            <w:vAlign w:val="top"/>
          </w:tcPr>
          <w:p w14:paraId="75167CA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ascii="宋体" w:hAnsi="宋体" w:eastAsia="宋体" w:cs="宋体"/>
                <w:spacing w:val="-7"/>
                <w:sz w:val="24"/>
                <w:szCs w:val="24"/>
              </w:rPr>
              <w:t>资产识别阶段</w:t>
            </w:r>
          </w:p>
        </w:tc>
      </w:tr>
      <w:tr w14:paraId="5ECC2B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vAlign w:val="top"/>
          </w:tcPr>
          <w:p w14:paraId="09F5BFF4">
            <w:pPr>
              <w:pStyle w:val="22"/>
              <w:spacing w:line="249" w:lineRule="auto"/>
            </w:pPr>
          </w:p>
          <w:p w14:paraId="7B0F4E37">
            <w:pPr>
              <w:pStyle w:val="22"/>
              <w:spacing w:line="249" w:lineRule="auto"/>
            </w:pPr>
          </w:p>
          <w:p w14:paraId="65C25530">
            <w:pPr>
              <w:spacing w:before="78" w:line="219" w:lineRule="auto"/>
              <w:ind w:left="120"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工作任务</w:t>
            </w:r>
          </w:p>
        </w:tc>
        <w:tc>
          <w:tcPr>
            <w:tcW w:w="6848" w:type="dxa"/>
            <w:shd w:val="clear" w:color="auto" w:fill="auto"/>
            <w:vAlign w:val="top"/>
          </w:tcPr>
          <w:p w14:paraId="5814788B">
            <w:pPr>
              <w:spacing w:before="244" w:line="219" w:lineRule="auto"/>
              <w:ind w:left="113"/>
            </w:pPr>
            <w:r>
              <w:rPr>
                <w:rFonts w:ascii="宋体" w:hAnsi="宋体" w:eastAsia="宋体" w:cs="宋体"/>
                <w:spacing w:val="-5"/>
                <w:sz w:val="24"/>
                <w:szCs w:val="24"/>
              </w:rPr>
              <w:t>根据资产的表现形式对资产进行分类；</w:t>
            </w:r>
          </w:p>
          <w:p w14:paraId="04DDBC51">
            <w:pPr>
              <w:spacing w:before="78" w:line="218" w:lineRule="auto"/>
              <w:ind w:left="113"/>
            </w:pPr>
            <w:r>
              <w:rPr>
                <w:rFonts w:ascii="宋体" w:hAnsi="宋体" w:eastAsia="宋体" w:cs="宋体"/>
                <w:spacing w:val="-5"/>
                <w:sz w:val="24"/>
                <w:szCs w:val="24"/>
              </w:rPr>
              <w:t>根据对资产安全价值的估价对资产进行三性（机密性、完整性、可用性）赋值；</w:t>
            </w:r>
          </w:p>
          <w:p w14:paraId="6E2616AF">
            <w:pPr>
              <w:spacing w:before="79" w:line="218" w:lineRule="auto"/>
              <w:ind w:left="113"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根据资产赋值结果，采用“最高的属性级别</w:t>
            </w:r>
            <w:r>
              <w:rPr>
                <w:rFonts w:ascii="宋体" w:hAnsi="宋体" w:eastAsia="宋体" w:cs="宋体"/>
                <w:spacing w:val="-93"/>
                <w:sz w:val="24"/>
                <w:szCs w:val="24"/>
              </w:rPr>
              <w:t xml:space="preserve"> </w:t>
            </w:r>
            <w:r>
              <w:rPr>
                <w:rFonts w:ascii="宋体" w:hAnsi="宋体" w:eastAsia="宋体" w:cs="宋体"/>
                <w:spacing w:val="-5"/>
                <w:sz w:val="24"/>
                <w:szCs w:val="24"/>
              </w:rPr>
              <w:t>”法评价</w:t>
            </w:r>
            <w:r>
              <w:rPr>
                <w:rFonts w:ascii="宋体" w:hAnsi="宋体" w:eastAsia="宋体" w:cs="宋体"/>
                <w:spacing w:val="-6"/>
                <w:sz w:val="24"/>
                <w:szCs w:val="24"/>
              </w:rPr>
              <w:t>出重要资产。</w:t>
            </w:r>
          </w:p>
        </w:tc>
      </w:tr>
      <w:tr w14:paraId="607F70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vAlign w:val="top"/>
          </w:tcPr>
          <w:p w14:paraId="28AD1DB8">
            <w:pPr>
              <w:spacing w:before="247" w:line="220" w:lineRule="auto"/>
              <w:ind w:left="120" w:leftChars="0"/>
              <w:rPr>
                <w:rFonts w:ascii="宋体" w:hAnsi="宋体" w:eastAsia="宋体" w:cs="宋体"/>
                <w:kern w:val="2"/>
                <w:sz w:val="24"/>
                <w:szCs w:val="24"/>
                <w:lang w:val="en-US" w:eastAsia="zh-CN" w:bidi="ar-SA"/>
              </w:rPr>
            </w:pPr>
            <w:r>
              <w:rPr>
                <w:rFonts w:ascii="宋体" w:hAnsi="宋体" w:eastAsia="宋体" w:cs="宋体"/>
                <w:spacing w:val="-5"/>
                <w:sz w:val="24"/>
                <w:szCs w:val="24"/>
              </w:rPr>
              <w:t>工作方式</w:t>
            </w:r>
          </w:p>
        </w:tc>
        <w:tc>
          <w:tcPr>
            <w:tcW w:w="6848" w:type="dxa"/>
            <w:shd w:val="clear" w:color="auto" w:fill="auto"/>
            <w:vAlign w:val="top"/>
          </w:tcPr>
          <w:p w14:paraId="58D20B21">
            <w:pPr>
              <w:spacing w:before="247" w:line="221" w:lineRule="auto"/>
              <w:ind w:left="140" w:leftChars="0"/>
              <w:rPr>
                <w:rFonts w:ascii="宋体" w:hAnsi="宋体" w:eastAsia="宋体" w:cs="宋体"/>
                <w:kern w:val="2"/>
                <w:sz w:val="24"/>
                <w:szCs w:val="24"/>
                <w:lang w:val="en-US" w:eastAsia="zh-CN" w:bidi="ar-SA"/>
              </w:rPr>
            </w:pPr>
            <w:r>
              <w:rPr>
                <w:rFonts w:ascii="宋体" w:hAnsi="宋体" w:eastAsia="宋体" w:cs="宋体"/>
                <w:spacing w:val="-8"/>
                <w:sz w:val="24"/>
                <w:szCs w:val="24"/>
              </w:rPr>
              <w:t>问卷调查、人员问询</w:t>
            </w:r>
          </w:p>
        </w:tc>
      </w:tr>
      <w:tr w14:paraId="429484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vAlign w:val="top"/>
          </w:tcPr>
          <w:p w14:paraId="04F4EB1E">
            <w:pPr>
              <w:spacing w:before="247" w:line="221" w:lineRule="auto"/>
              <w:ind w:left="119" w:leftChars="0"/>
              <w:rPr>
                <w:rFonts w:ascii="宋体" w:hAnsi="宋体" w:eastAsia="宋体" w:cs="宋体"/>
                <w:kern w:val="2"/>
                <w:sz w:val="24"/>
                <w:szCs w:val="24"/>
                <w:lang w:val="en-US" w:eastAsia="zh-CN" w:bidi="ar-SA"/>
              </w:rPr>
            </w:pPr>
            <w:r>
              <w:rPr>
                <w:rFonts w:ascii="宋体" w:hAnsi="宋体" w:eastAsia="宋体" w:cs="宋体"/>
                <w:spacing w:val="-5"/>
                <w:sz w:val="24"/>
                <w:szCs w:val="24"/>
              </w:rPr>
              <w:t>参与人员</w:t>
            </w:r>
          </w:p>
        </w:tc>
        <w:tc>
          <w:tcPr>
            <w:tcW w:w="6848" w:type="dxa"/>
            <w:shd w:val="clear" w:color="auto" w:fill="auto"/>
            <w:vAlign w:val="top"/>
          </w:tcPr>
          <w:p w14:paraId="2EF8A8FE">
            <w:pPr>
              <w:spacing w:before="247" w:line="218" w:lineRule="auto"/>
              <w:ind w:left="113" w:leftChars="0"/>
              <w:rPr>
                <w:rFonts w:ascii="宋体" w:hAnsi="宋体" w:eastAsia="宋体" w:cs="宋体"/>
                <w:kern w:val="2"/>
                <w:sz w:val="24"/>
                <w:szCs w:val="24"/>
                <w:lang w:val="en-US" w:eastAsia="zh-CN" w:bidi="ar-SA"/>
              </w:rPr>
            </w:pPr>
            <w:r>
              <w:rPr>
                <w:rFonts w:ascii="宋体" w:hAnsi="宋体" w:eastAsia="宋体" w:cs="宋体"/>
                <w:spacing w:val="-5"/>
                <w:sz w:val="24"/>
                <w:szCs w:val="24"/>
              </w:rPr>
              <w:t>信息系统所有者项目负责人及相关技术人员，评估小组</w:t>
            </w:r>
          </w:p>
        </w:tc>
      </w:tr>
      <w:tr w14:paraId="4F01A6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E84E2D5">
            <w:pPr>
              <w:spacing w:before="243" w:line="220" w:lineRule="auto"/>
              <w:ind w:left="128" w:leftChars="0"/>
              <w:rPr>
                <w:rFonts w:ascii="宋体" w:hAnsi="宋体" w:eastAsia="宋体" w:cs="宋体"/>
                <w:kern w:val="2"/>
                <w:sz w:val="24"/>
                <w:szCs w:val="24"/>
                <w:lang w:val="en-US" w:eastAsia="zh-CN" w:bidi="ar-SA"/>
              </w:rPr>
            </w:pPr>
            <w:r>
              <w:rPr>
                <w:rFonts w:ascii="宋体" w:hAnsi="宋体" w:eastAsia="宋体" w:cs="宋体"/>
                <w:spacing w:val="-7"/>
                <w:sz w:val="24"/>
                <w:szCs w:val="24"/>
              </w:rPr>
              <w:t>阶段成果</w:t>
            </w:r>
          </w:p>
        </w:tc>
        <w:tc>
          <w:tcPr>
            <w:tcW w:w="0" w:type="auto"/>
            <w:shd w:val="clear" w:color="auto" w:fill="auto"/>
            <w:vAlign w:val="top"/>
          </w:tcPr>
          <w:p w14:paraId="4DACB15B">
            <w:pPr>
              <w:spacing w:before="244" w:line="219" w:lineRule="auto"/>
              <w:ind w:left="119" w:leftChars="0"/>
              <w:rPr>
                <w:rFonts w:ascii="宋体" w:hAnsi="宋体" w:eastAsia="宋体" w:cs="宋体"/>
                <w:kern w:val="2"/>
                <w:sz w:val="24"/>
                <w:szCs w:val="24"/>
                <w:lang w:val="en-US" w:eastAsia="zh-CN" w:bidi="ar-SA"/>
              </w:rPr>
            </w:pPr>
            <w:r>
              <w:rPr>
                <w:rFonts w:ascii="宋体" w:hAnsi="宋体" w:eastAsia="宋体" w:cs="宋体"/>
                <w:spacing w:val="-19"/>
                <w:sz w:val="24"/>
                <w:szCs w:val="24"/>
              </w:rPr>
              <w:t>《资产识别清单》、《重要资产清单》</w:t>
            </w:r>
          </w:p>
        </w:tc>
      </w:tr>
    </w:tbl>
    <w:p w14:paraId="263D1413">
      <w:pPr>
        <w:pStyle w:val="4"/>
        <w:bidi w:val="0"/>
        <w:rPr>
          <w:rFonts w:hint="default"/>
          <w:lang w:val="en-US" w:eastAsia="zh-CN"/>
        </w:rPr>
      </w:pPr>
      <w:bookmarkStart w:id="11" w:name="_Toc7743"/>
      <w:r>
        <w:rPr>
          <w:rFonts w:hint="default"/>
          <w:lang w:val="en-US" w:eastAsia="zh-CN"/>
        </w:rPr>
        <w:t>3.4.3 威胁识别</w:t>
      </w:r>
      <w:bookmarkEnd w:id="11"/>
    </w:p>
    <w:p w14:paraId="0325C4B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安全威胁是一种对组织及其资产构成潜在破坏的可能性因素或者事件。无论对于多么安全的信息系统，安全威胁是一个客观存在的事物，它是风险评估的重要因素之一。</w:t>
      </w:r>
    </w:p>
    <w:p w14:paraId="35D95B0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产生安全威胁的主要因素可以分为人为因素和环境因素。人为因素又可区分为恶意和非恶意两种。环境因素包括自然界的不可抗的因素和其它物理因素。威胁作用形式可以是对信息系统直接或间接的攻击，例如非授权的泄露、篡改、删除等，在机密性、完整性或可用性等方面造成损害。也可能是偶发的、或蓄意的事件。一般来说，威胁总是要利用网络、系统、应用或数据的弱点才可能成功地对资产造成伤害。安全事件及其后果是分析威胁的重要依据。但是有相当一部分威胁发生时，由于未能造成后果，或者没有意识到，而被安全管理人员忽略。这将导致对安全威胁的认识出现偏差。</w:t>
      </w:r>
    </w:p>
    <w:p w14:paraId="05303FA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在威胁识别过程中，本公司信息安全管理委员会通过问卷调查、人员问询的方式对信息系统所有者需要保护的每一项关键资产进行威胁识别，并根据资产所处的环境条件和资产以前遭受威胁损害的情况来判断威胁的程度。一项资产可能面临着多个威胁，同样一个威胁可能对不同的资产造成影响。</w:t>
      </w:r>
    </w:p>
    <w:p w14:paraId="7B334B9D">
      <w:pPr>
        <w:pStyle w:val="5"/>
        <w:bidi w:val="0"/>
        <w:rPr>
          <w:rFonts w:hint="default"/>
          <w:lang w:val="en-US" w:eastAsia="zh-CN"/>
        </w:rPr>
      </w:pPr>
      <w:r>
        <w:rPr>
          <w:rFonts w:hint="default"/>
          <w:lang w:val="en-US" w:eastAsia="zh-CN"/>
        </w:rPr>
        <w:t>3.4.3.1威胁分类</w:t>
      </w:r>
    </w:p>
    <w:p w14:paraId="599DCCBA">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分析存在哪些威胁种类，首先要考虑威胁的来源，信息系统的安全威胁来源可参</w:t>
      </w:r>
    </w:p>
    <w:p w14:paraId="646514FE">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考如下表。</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560"/>
        <w:gridCol w:w="5341"/>
      </w:tblGrid>
      <w:tr w14:paraId="0869EE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1" w:type="dxa"/>
            <w:gridSpan w:val="2"/>
          </w:tcPr>
          <w:p w14:paraId="43552A99">
            <w:pPr>
              <w:spacing w:before="242" w:line="219" w:lineRule="auto"/>
              <w:ind w:left="112" w:leftChars="0"/>
              <w:rPr>
                <w:rFonts w:hint="default" w:ascii="宋体" w:hAnsi="宋体" w:eastAsia="宋体" w:cs="宋体"/>
                <w:kern w:val="2"/>
                <w:sz w:val="24"/>
                <w:szCs w:val="24"/>
                <w:lang w:val="en-US" w:eastAsia="zh-CN" w:bidi="ar-SA"/>
              </w:rPr>
            </w:pPr>
            <w:r>
              <w:rPr>
                <w:rFonts w:ascii="宋体" w:hAnsi="宋体" w:eastAsia="宋体" w:cs="宋体"/>
                <w:spacing w:val="-4"/>
                <w:sz w:val="24"/>
                <w:szCs w:val="24"/>
              </w:rPr>
              <w:t>威胁来源</w:t>
            </w:r>
          </w:p>
        </w:tc>
        <w:tc>
          <w:tcPr>
            <w:tcW w:w="5341" w:type="dxa"/>
            <w:shd w:val="clear" w:color="auto" w:fill="auto"/>
            <w:vAlign w:val="top"/>
          </w:tcPr>
          <w:p w14:paraId="51906809">
            <w:pPr>
              <w:spacing w:before="242" w:line="219" w:lineRule="auto"/>
              <w:ind w:left="113"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威胁来源描述</w:t>
            </w:r>
          </w:p>
        </w:tc>
      </w:tr>
      <w:tr w14:paraId="1826AF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1" w:type="dxa"/>
            <w:gridSpan w:val="2"/>
          </w:tcPr>
          <w:p w14:paraId="39050D82">
            <w:pPr>
              <w:pStyle w:val="22"/>
              <w:spacing w:line="294" w:lineRule="auto"/>
            </w:pPr>
          </w:p>
          <w:p w14:paraId="4F46B2D6">
            <w:pPr>
              <w:spacing w:before="78" w:line="219" w:lineRule="auto"/>
              <w:ind w:left="113"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环境因素</w:t>
            </w:r>
          </w:p>
        </w:tc>
        <w:tc>
          <w:tcPr>
            <w:tcW w:w="5341" w:type="dxa"/>
            <w:shd w:val="clear" w:color="auto" w:fill="auto"/>
            <w:vAlign w:val="top"/>
          </w:tcPr>
          <w:p w14:paraId="03057F01">
            <w:pPr>
              <w:spacing w:before="238" w:line="219" w:lineRule="auto"/>
              <w:jc w:val="left"/>
              <w:rPr>
                <w:rFonts w:hint="default" w:ascii="宋体" w:hAnsi="宋体" w:eastAsia="宋体" w:cs="宋体"/>
                <w:kern w:val="2"/>
                <w:sz w:val="24"/>
                <w:szCs w:val="24"/>
                <w:lang w:val="en-US" w:eastAsia="zh-CN" w:bidi="ar-SA"/>
              </w:rPr>
            </w:pPr>
            <w:r>
              <w:rPr>
                <w:rFonts w:ascii="宋体" w:hAnsi="宋体" w:eastAsia="宋体" w:cs="宋体"/>
                <w:spacing w:val="-8"/>
                <w:sz w:val="24"/>
                <w:szCs w:val="24"/>
              </w:rPr>
              <w:t>由于断电、静电、灰尘、潮湿、温度、鼠蚁虫害、电磁干扰、洪灾、</w:t>
            </w:r>
            <w:r>
              <w:rPr>
                <w:rFonts w:ascii="宋体" w:hAnsi="宋体" w:eastAsia="宋体" w:cs="宋体"/>
                <w:spacing w:val="-2"/>
                <w:sz w:val="24"/>
                <w:szCs w:val="24"/>
              </w:rPr>
              <w:t>火灾、地震等环境条件和自然灾害；意外事故或由于软件、硬件、</w:t>
            </w:r>
            <w:r>
              <w:rPr>
                <w:rFonts w:ascii="宋体" w:hAnsi="宋体" w:eastAsia="宋体" w:cs="宋体"/>
                <w:spacing w:val="-5"/>
                <w:sz w:val="24"/>
                <w:szCs w:val="24"/>
              </w:rPr>
              <w:t>数据、通讯线路方面的故障</w:t>
            </w:r>
          </w:p>
        </w:tc>
      </w:tr>
      <w:tr w14:paraId="008206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vMerge w:val="restart"/>
          </w:tcPr>
          <w:p w14:paraId="06D49F7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ascii="宋体" w:hAnsi="宋体" w:eastAsia="宋体" w:cs="宋体"/>
                <w:spacing w:val="-5"/>
                <w:sz w:val="24"/>
                <w:szCs w:val="24"/>
              </w:rPr>
              <w:t>人为因素</w:t>
            </w:r>
          </w:p>
        </w:tc>
        <w:tc>
          <w:tcPr>
            <w:tcW w:w="1560" w:type="dxa"/>
            <w:shd w:val="clear" w:color="auto" w:fill="auto"/>
            <w:vAlign w:val="top"/>
          </w:tcPr>
          <w:p w14:paraId="6EA83129">
            <w:pPr>
              <w:pStyle w:val="22"/>
              <w:spacing w:line="248" w:lineRule="auto"/>
            </w:pPr>
          </w:p>
          <w:p w14:paraId="58FF9161">
            <w:pPr>
              <w:pStyle w:val="22"/>
              <w:spacing w:line="248" w:lineRule="auto"/>
            </w:pPr>
          </w:p>
          <w:p w14:paraId="46339AA7">
            <w:pPr>
              <w:pStyle w:val="22"/>
              <w:spacing w:line="248" w:lineRule="auto"/>
            </w:pPr>
          </w:p>
          <w:p w14:paraId="35DC71AD">
            <w:pPr>
              <w:pStyle w:val="22"/>
              <w:spacing w:line="248" w:lineRule="auto"/>
            </w:pPr>
          </w:p>
          <w:p w14:paraId="7FC1BD61">
            <w:pPr>
              <w:pStyle w:val="22"/>
              <w:spacing w:line="249" w:lineRule="auto"/>
            </w:pPr>
          </w:p>
          <w:p w14:paraId="2CBAA084">
            <w:pPr>
              <w:spacing w:before="78" w:line="221" w:lineRule="auto"/>
              <w:ind w:left="113"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恶意人员</w:t>
            </w:r>
          </w:p>
        </w:tc>
        <w:tc>
          <w:tcPr>
            <w:tcW w:w="5341" w:type="dxa"/>
            <w:shd w:val="clear" w:color="auto" w:fill="auto"/>
            <w:vAlign w:val="top"/>
          </w:tcPr>
          <w:p w14:paraId="69B2A75E">
            <w:pPr>
              <w:spacing w:before="242" w:line="219" w:lineRule="auto"/>
              <w:ind w:left="118"/>
              <w:rPr>
                <w:rFonts w:hint="default" w:ascii="宋体" w:hAnsi="宋体" w:eastAsia="宋体" w:cs="宋体"/>
                <w:kern w:val="2"/>
                <w:sz w:val="24"/>
                <w:szCs w:val="24"/>
                <w:lang w:val="en-US" w:eastAsia="zh-CN" w:bidi="ar-SA"/>
              </w:rPr>
            </w:pPr>
            <w:r>
              <w:rPr>
                <w:rFonts w:ascii="宋体" w:hAnsi="宋体" w:eastAsia="宋体" w:cs="宋体"/>
                <w:spacing w:val="-2"/>
                <w:sz w:val="24"/>
                <w:szCs w:val="24"/>
              </w:rPr>
              <w:t>不满的或有预谋的内部人员对信息系统进行恶意破坏；采用自主的</w:t>
            </w:r>
            <w:r>
              <w:rPr>
                <w:rFonts w:ascii="宋体" w:hAnsi="宋体" w:eastAsia="宋体" w:cs="宋体"/>
                <w:spacing w:val="-5"/>
                <w:sz w:val="24"/>
                <w:szCs w:val="24"/>
              </w:rPr>
              <w:t>或内外勾结的方式盗窃机密信息或进行篡改，获取利益。</w:t>
            </w:r>
            <w:r>
              <w:rPr>
                <w:rFonts w:ascii="宋体" w:hAnsi="宋体" w:eastAsia="宋体" w:cs="宋体"/>
                <w:spacing w:val="-2"/>
                <w:sz w:val="24"/>
                <w:szCs w:val="24"/>
              </w:rPr>
              <w:t>外部人员利用信息系统的脆弱性，对网络或系统的机密性、完整性</w:t>
            </w:r>
            <w:r>
              <w:rPr>
                <w:rFonts w:ascii="宋体" w:hAnsi="宋体" w:eastAsia="宋体" w:cs="宋体"/>
                <w:spacing w:val="-5"/>
                <w:sz w:val="24"/>
                <w:szCs w:val="24"/>
              </w:rPr>
              <w:t>和可用性进行破坏，以获取利益或炫耀能力。</w:t>
            </w:r>
          </w:p>
        </w:tc>
      </w:tr>
      <w:tr w14:paraId="2F2354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vMerge w:val="continue"/>
          </w:tcPr>
          <w:p w14:paraId="03CCBDF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p>
        </w:tc>
        <w:tc>
          <w:tcPr>
            <w:tcW w:w="1560" w:type="dxa"/>
            <w:shd w:val="clear" w:color="auto" w:fill="auto"/>
            <w:vAlign w:val="top"/>
          </w:tcPr>
          <w:p w14:paraId="416C5B5D">
            <w:pPr>
              <w:pStyle w:val="22"/>
              <w:spacing w:line="294" w:lineRule="auto"/>
            </w:pPr>
          </w:p>
          <w:p w14:paraId="4E7F075C">
            <w:pPr>
              <w:pStyle w:val="22"/>
              <w:spacing w:line="294" w:lineRule="auto"/>
            </w:pPr>
          </w:p>
          <w:p w14:paraId="0C70D441">
            <w:pPr>
              <w:pStyle w:val="22"/>
              <w:spacing w:line="295" w:lineRule="auto"/>
            </w:pPr>
          </w:p>
          <w:p w14:paraId="55A9A238">
            <w:pPr>
              <w:spacing w:before="78" w:line="220" w:lineRule="auto"/>
              <w:ind w:left="116"/>
              <w:rPr>
                <w:rFonts w:ascii="宋体" w:hAnsi="宋体" w:eastAsia="宋体" w:cs="宋体"/>
                <w:spacing w:val="31"/>
                <w:sz w:val="24"/>
                <w:szCs w:val="24"/>
              </w:rPr>
            </w:pPr>
            <w:r>
              <w:rPr>
                <w:rFonts w:ascii="宋体" w:hAnsi="宋体" w:eastAsia="宋体" w:cs="宋体"/>
                <w:spacing w:val="31"/>
                <w:sz w:val="24"/>
                <w:szCs w:val="24"/>
              </w:rPr>
              <w:t>非恶意</w:t>
            </w:r>
          </w:p>
          <w:p w14:paraId="5F10FC6C">
            <w:pPr>
              <w:spacing w:before="78" w:line="220" w:lineRule="auto"/>
              <w:ind w:left="116"/>
              <w:rPr>
                <w:rFonts w:ascii="宋体" w:hAnsi="宋体" w:eastAsia="宋体" w:cs="宋体"/>
                <w:kern w:val="2"/>
                <w:sz w:val="24"/>
                <w:szCs w:val="24"/>
                <w:lang w:val="en-US" w:eastAsia="zh-CN" w:bidi="ar-SA"/>
              </w:rPr>
            </w:pPr>
            <w:r>
              <w:rPr>
                <w:rFonts w:ascii="宋体" w:hAnsi="宋体" w:eastAsia="宋体" w:cs="宋体"/>
                <w:spacing w:val="31"/>
                <w:sz w:val="24"/>
                <w:szCs w:val="24"/>
              </w:rPr>
              <w:t>人</w:t>
            </w:r>
            <w:r>
              <w:rPr>
                <w:rFonts w:ascii="宋体" w:hAnsi="宋体" w:eastAsia="宋体" w:cs="宋体"/>
                <w:sz w:val="24"/>
                <w:szCs w:val="24"/>
              </w:rPr>
              <w:t>员</w:t>
            </w:r>
          </w:p>
        </w:tc>
        <w:tc>
          <w:tcPr>
            <w:tcW w:w="5341" w:type="dxa"/>
            <w:shd w:val="clear" w:color="auto" w:fill="auto"/>
            <w:vAlign w:val="top"/>
          </w:tcPr>
          <w:p w14:paraId="3F30ABA1">
            <w:pPr>
              <w:spacing w:before="244" w:line="219" w:lineRule="auto"/>
              <w:ind w:left="143"/>
            </w:pPr>
            <w:r>
              <w:rPr>
                <w:rFonts w:ascii="宋体" w:hAnsi="宋体" w:eastAsia="宋体" w:cs="宋体"/>
                <w:spacing w:val="-3"/>
                <w:sz w:val="24"/>
                <w:szCs w:val="24"/>
              </w:rPr>
              <w:t>内部人员由于缺乏责任心，或者由于不关心和不专注，或者没有遵</w:t>
            </w:r>
          </w:p>
          <w:p w14:paraId="46506410">
            <w:pPr>
              <w:spacing w:before="78" w:line="219" w:lineRule="auto"/>
              <w:ind w:left="114"/>
            </w:pPr>
            <w:r>
              <w:rPr>
                <w:rFonts w:ascii="宋体" w:hAnsi="宋体" w:eastAsia="宋体" w:cs="宋体"/>
                <w:spacing w:val="-2"/>
                <w:sz w:val="24"/>
                <w:szCs w:val="24"/>
              </w:rPr>
              <w:t>循规章制度和操作流程而导致故障或被攻击；内部人员由于缺乏培</w:t>
            </w:r>
          </w:p>
          <w:p w14:paraId="1DF3ADB9">
            <w:pPr>
              <w:spacing w:before="78" w:line="216" w:lineRule="auto"/>
              <w:ind w:left="117"/>
              <w:rPr>
                <w:rFonts w:ascii="宋体" w:hAnsi="宋体" w:eastAsia="宋体" w:cs="宋体"/>
                <w:kern w:val="2"/>
                <w:sz w:val="24"/>
                <w:szCs w:val="24"/>
                <w:lang w:val="en-US" w:eastAsia="zh-CN" w:bidi="ar-SA"/>
              </w:rPr>
            </w:pPr>
            <w:r>
              <w:rPr>
                <w:rFonts w:ascii="宋体" w:hAnsi="宋体" w:eastAsia="宋体" w:cs="宋体"/>
                <w:spacing w:val="-6"/>
                <w:sz w:val="24"/>
                <w:szCs w:val="24"/>
              </w:rPr>
              <w:t>训，专业技能不足,不具备岗位技能要求而导致信息系统故障或被攻</w:t>
            </w:r>
            <w:r>
              <w:rPr>
                <w:rFonts w:ascii="宋体" w:hAnsi="宋体" w:eastAsia="宋体" w:cs="宋体"/>
                <w:spacing w:val="-5"/>
                <w:sz w:val="24"/>
                <w:szCs w:val="24"/>
              </w:rPr>
              <w:t>击。</w:t>
            </w:r>
          </w:p>
        </w:tc>
      </w:tr>
    </w:tbl>
    <w:p w14:paraId="2C959DE5">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6AF5B47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对安全威胁进行分类的方式有多种多样，针对上表威胁来源，可以将威胁分为以下种类。</w:t>
      </w:r>
    </w:p>
    <w:tbl>
      <w:tblPr>
        <w:tblStyle w:val="15"/>
        <w:tblW w:w="7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0"/>
        <w:gridCol w:w="2900"/>
        <w:gridCol w:w="3840"/>
      </w:tblGrid>
      <w:tr w14:paraId="5232A8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7" w:type="dxa"/>
            <w:shd w:val="clear" w:color="auto" w:fill="auto"/>
            <w:vAlign w:val="top"/>
          </w:tcPr>
          <w:p w14:paraId="2D29CC7E">
            <w:pPr>
              <w:spacing w:before="246" w:line="219" w:lineRule="auto"/>
              <w:ind w:left="115" w:leftChars="0"/>
              <w:rPr>
                <w:rFonts w:hint="default" w:ascii="宋体" w:hAnsi="宋体" w:eastAsia="宋体" w:cs="宋体"/>
                <w:kern w:val="2"/>
                <w:sz w:val="24"/>
                <w:szCs w:val="24"/>
                <w:lang w:val="en-US" w:eastAsia="zh-CN" w:bidi="ar-SA"/>
              </w:rPr>
            </w:pPr>
            <w:r>
              <w:rPr>
                <w:rFonts w:ascii="宋体" w:hAnsi="宋体" w:eastAsia="宋体" w:cs="宋体"/>
                <w:spacing w:val="-4"/>
                <w:sz w:val="24"/>
                <w:szCs w:val="24"/>
              </w:rPr>
              <w:t>威胁种类</w:t>
            </w:r>
          </w:p>
        </w:tc>
        <w:tc>
          <w:tcPr>
            <w:tcW w:w="1819" w:type="dxa"/>
            <w:shd w:val="clear" w:color="auto" w:fill="auto"/>
            <w:vAlign w:val="top"/>
          </w:tcPr>
          <w:p w14:paraId="28309F78">
            <w:pPr>
              <w:spacing w:before="246" w:line="221" w:lineRule="auto"/>
              <w:ind w:left="113" w:leftChars="0"/>
              <w:rPr>
                <w:rFonts w:hint="default" w:ascii="宋体" w:hAnsi="宋体" w:eastAsia="宋体" w:cs="宋体"/>
                <w:kern w:val="2"/>
                <w:sz w:val="24"/>
                <w:szCs w:val="24"/>
                <w:lang w:val="en-US" w:eastAsia="zh-CN" w:bidi="ar-SA"/>
              </w:rPr>
            </w:pPr>
            <w:r>
              <w:rPr>
                <w:rFonts w:ascii="宋体" w:hAnsi="宋体" w:eastAsia="宋体" w:cs="宋体"/>
                <w:spacing w:val="-4"/>
                <w:sz w:val="24"/>
                <w:szCs w:val="24"/>
              </w:rPr>
              <w:t>威胁描述</w:t>
            </w:r>
          </w:p>
        </w:tc>
        <w:tc>
          <w:tcPr>
            <w:tcW w:w="3974" w:type="dxa"/>
            <w:shd w:val="clear" w:color="auto" w:fill="auto"/>
            <w:vAlign w:val="top"/>
          </w:tcPr>
          <w:p w14:paraId="28C6EAEB">
            <w:pPr>
              <w:spacing w:before="246" w:line="219" w:lineRule="auto"/>
              <w:ind w:left="114" w:leftChars="0"/>
              <w:rPr>
                <w:rFonts w:hint="default" w:ascii="宋体" w:hAnsi="宋体" w:eastAsia="宋体" w:cs="宋体"/>
                <w:kern w:val="2"/>
                <w:sz w:val="24"/>
                <w:szCs w:val="24"/>
                <w:lang w:val="en-US" w:eastAsia="zh-CN" w:bidi="ar-SA"/>
              </w:rPr>
            </w:pPr>
            <w:r>
              <w:rPr>
                <w:rFonts w:ascii="宋体" w:hAnsi="宋体" w:eastAsia="宋体" w:cs="宋体"/>
                <w:spacing w:val="-4"/>
                <w:sz w:val="24"/>
                <w:szCs w:val="24"/>
              </w:rPr>
              <w:t>威胁子类</w:t>
            </w:r>
          </w:p>
        </w:tc>
      </w:tr>
      <w:tr w14:paraId="031CE0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7" w:type="dxa"/>
            <w:shd w:val="clear" w:color="auto" w:fill="auto"/>
            <w:vAlign w:val="top"/>
          </w:tcPr>
          <w:p w14:paraId="50E246AA">
            <w:pPr>
              <w:spacing w:before="245" w:line="219" w:lineRule="auto"/>
              <w:ind w:left="119"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软硬件故障</w:t>
            </w:r>
          </w:p>
        </w:tc>
        <w:tc>
          <w:tcPr>
            <w:tcW w:w="1819" w:type="dxa"/>
            <w:shd w:val="clear" w:color="auto" w:fill="auto"/>
            <w:vAlign w:val="top"/>
          </w:tcPr>
          <w:p w14:paraId="68D8A1D3">
            <w:pPr>
              <w:spacing w:before="247" w:line="219" w:lineRule="auto"/>
              <w:ind w:left="119"/>
              <w:rPr>
                <w:rFonts w:hint="default" w:ascii="宋体" w:hAnsi="宋体" w:eastAsia="宋体" w:cs="宋体"/>
                <w:kern w:val="2"/>
                <w:sz w:val="24"/>
                <w:szCs w:val="24"/>
                <w:lang w:val="en-US" w:eastAsia="zh-CN" w:bidi="ar-SA"/>
              </w:rPr>
            </w:pPr>
            <w:r>
              <w:rPr>
                <w:rFonts w:ascii="宋体" w:hAnsi="宋体" w:eastAsia="宋体" w:cs="宋体"/>
                <w:spacing w:val="-7"/>
                <w:sz w:val="24"/>
                <w:szCs w:val="24"/>
              </w:rPr>
              <w:t>由于设备硬件故障、通讯链路中断、</w:t>
            </w:r>
            <w:r>
              <w:rPr>
                <w:rFonts w:ascii="宋体" w:hAnsi="宋体" w:eastAsia="宋体" w:cs="宋体"/>
                <w:spacing w:val="10"/>
                <w:sz w:val="24"/>
                <w:szCs w:val="24"/>
              </w:rPr>
              <w:t>系统本身或软件缺陷造成对业务实</w:t>
            </w:r>
            <w:r>
              <w:rPr>
                <w:rFonts w:ascii="宋体" w:hAnsi="宋体" w:eastAsia="宋体" w:cs="宋体"/>
                <w:spacing w:val="-5"/>
                <w:sz w:val="24"/>
                <w:szCs w:val="24"/>
              </w:rPr>
              <w:t>施、系统稳定运行的影响。</w:t>
            </w:r>
          </w:p>
        </w:tc>
        <w:tc>
          <w:tcPr>
            <w:tcW w:w="3974" w:type="dxa"/>
            <w:shd w:val="clear" w:color="auto" w:fill="auto"/>
            <w:vAlign w:val="top"/>
          </w:tcPr>
          <w:p w14:paraId="1C4C8F14">
            <w:pPr>
              <w:spacing w:before="247" w:line="219" w:lineRule="auto"/>
              <w:ind w:left="115"/>
              <w:rPr>
                <w:rFonts w:hint="default" w:ascii="宋体" w:hAnsi="宋体" w:eastAsia="宋体" w:cs="宋体"/>
                <w:kern w:val="2"/>
                <w:sz w:val="24"/>
                <w:szCs w:val="24"/>
                <w:lang w:val="en-US" w:eastAsia="zh-CN" w:bidi="ar-SA"/>
              </w:rPr>
            </w:pPr>
            <w:r>
              <w:rPr>
                <w:rFonts w:ascii="宋体" w:hAnsi="宋体" w:eastAsia="宋体" w:cs="宋体"/>
                <w:spacing w:val="-3"/>
                <w:sz w:val="24"/>
                <w:szCs w:val="24"/>
              </w:rPr>
              <w:t>设备硬件故障、传输设备故障、存储媒体故障、系统软件故障、应用软件故障、数据库软件故障、开发环境故</w:t>
            </w:r>
            <w:r>
              <w:rPr>
                <w:rFonts w:ascii="宋体" w:hAnsi="宋体" w:eastAsia="宋体" w:cs="宋体"/>
                <w:spacing w:val="-11"/>
                <w:sz w:val="24"/>
                <w:szCs w:val="24"/>
              </w:rPr>
              <w:t>障。</w:t>
            </w:r>
          </w:p>
        </w:tc>
      </w:tr>
      <w:tr w14:paraId="61A5C2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7" w:type="dxa"/>
            <w:shd w:val="clear" w:color="auto" w:fill="auto"/>
            <w:vAlign w:val="top"/>
          </w:tcPr>
          <w:p w14:paraId="51A153ED">
            <w:pPr>
              <w:spacing w:before="78" w:line="220" w:lineRule="auto"/>
              <w:rPr>
                <w:rFonts w:hint="default" w:ascii="宋体" w:hAnsi="宋体" w:eastAsia="宋体" w:cs="宋体"/>
                <w:kern w:val="2"/>
                <w:sz w:val="24"/>
                <w:szCs w:val="24"/>
                <w:lang w:val="en-US" w:eastAsia="zh-CN" w:bidi="ar-SA"/>
              </w:rPr>
            </w:pPr>
            <w:r>
              <w:rPr>
                <w:rFonts w:ascii="宋体" w:hAnsi="宋体" w:eastAsia="宋体" w:cs="宋体"/>
                <w:spacing w:val="-5"/>
                <w:sz w:val="24"/>
                <w:szCs w:val="24"/>
              </w:rPr>
              <w:t>物理环境影响</w:t>
            </w:r>
          </w:p>
        </w:tc>
        <w:tc>
          <w:tcPr>
            <w:tcW w:w="1819" w:type="dxa"/>
            <w:shd w:val="clear" w:color="auto" w:fill="auto"/>
            <w:vAlign w:val="top"/>
          </w:tcPr>
          <w:p w14:paraId="7F1F7AFB">
            <w:pPr>
              <w:spacing w:before="243" w:line="219" w:lineRule="auto"/>
              <w:rPr>
                <w:rFonts w:hint="default" w:ascii="宋体" w:hAnsi="宋体" w:eastAsia="宋体" w:cs="宋体"/>
                <w:kern w:val="2"/>
                <w:sz w:val="24"/>
                <w:szCs w:val="24"/>
                <w:lang w:val="en-US" w:eastAsia="zh-CN" w:bidi="ar-SA"/>
              </w:rPr>
            </w:pPr>
            <w:r>
              <w:rPr>
                <w:rFonts w:ascii="宋体" w:hAnsi="宋体" w:eastAsia="宋体" w:cs="宋体"/>
                <w:spacing w:val="-3"/>
                <w:sz w:val="24"/>
                <w:szCs w:val="24"/>
              </w:rPr>
              <w:t>断电、静电、灰尘、潮湿、温度、鼠</w:t>
            </w:r>
            <w:r>
              <w:rPr>
                <w:rFonts w:ascii="宋体" w:hAnsi="宋体" w:eastAsia="宋体" w:cs="宋体"/>
                <w:spacing w:val="-5"/>
                <w:sz w:val="24"/>
                <w:szCs w:val="24"/>
              </w:rPr>
              <w:t>蚁虫害、电磁干扰、洪灾、火灾、地震等环境问题或自然灾害</w:t>
            </w:r>
          </w:p>
        </w:tc>
        <w:tc>
          <w:tcPr>
            <w:tcW w:w="3974" w:type="dxa"/>
            <w:shd w:val="clear" w:color="auto" w:fill="auto"/>
            <w:vAlign w:val="top"/>
          </w:tcPr>
          <w:p w14:paraId="516BDB73">
            <w:pPr>
              <w:pStyle w:val="22"/>
              <w:rPr>
                <w:rFonts w:hint="default" w:ascii="Arial" w:hAnsi="Arial" w:eastAsia="Arial" w:cs="Arial"/>
                <w:kern w:val="2"/>
                <w:sz w:val="21"/>
                <w:szCs w:val="21"/>
                <w:lang w:val="en-US" w:eastAsia="zh-CN" w:bidi="ar-SA"/>
              </w:rPr>
            </w:pPr>
          </w:p>
        </w:tc>
      </w:tr>
      <w:tr w14:paraId="252FE5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shd w:val="clear" w:color="auto" w:fill="auto"/>
            <w:vAlign w:val="top"/>
          </w:tcPr>
          <w:p w14:paraId="54B19C0E">
            <w:pPr>
              <w:spacing w:before="78" w:line="219" w:lineRule="auto"/>
              <w:rPr>
                <w:rFonts w:hint="default" w:ascii="宋体" w:hAnsi="宋体" w:eastAsia="宋体" w:cs="宋体"/>
                <w:kern w:val="2"/>
                <w:sz w:val="24"/>
                <w:szCs w:val="24"/>
                <w:lang w:val="en-US" w:eastAsia="zh-CN" w:bidi="ar-SA"/>
              </w:rPr>
            </w:pPr>
            <w:r>
              <w:rPr>
                <w:rFonts w:ascii="宋体" w:hAnsi="宋体" w:eastAsia="宋体" w:cs="宋体"/>
                <w:spacing w:val="-5"/>
                <w:sz w:val="24"/>
                <w:szCs w:val="24"/>
              </w:rPr>
              <w:t>无作为或操作失误</w:t>
            </w:r>
          </w:p>
        </w:tc>
        <w:tc>
          <w:tcPr>
            <w:tcW w:w="1819" w:type="dxa"/>
            <w:shd w:val="clear" w:color="auto" w:fill="auto"/>
            <w:vAlign w:val="top"/>
          </w:tcPr>
          <w:p w14:paraId="013B861F">
            <w:pPr>
              <w:spacing w:before="243" w:line="219" w:lineRule="auto"/>
              <w:ind w:left="143"/>
              <w:rPr>
                <w:rFonts w:hint="default" w:ascii="宋体" w:hAnsi="宋体" w:eastAsia="宋体" w:cs="宋体"/>
                <w:kern w:val="2"/>
                <w:sz w:val="24"/>
                <w:szCs w:val="24"/>
                <w:lang w:val="en-US" w:eastAsia="zh-CN" w:bidi="ar-SA"/>
              </w:rPr>
            </w:pPr>
            <w:r>
              <w:rPr>
                <w:rFonts w:ascii="宋体" w:hAnsi="宋体" w:eastAsia="宋体" w:cs="宋体"/>
                <w:spacing w:val="9"/>
                <w:sz w:val="24"/>
                <w:szCs w:val="24"/>
              </w:rPr>
              <w:t>由于应该执行而没有执行相应的操</w:t>
            </w:r>
            <w:r>
              <w:rPr>
                <w:rFonts w:ascii="宋体" w:hAnsi="宋体" w:eastAsia="宋体" w:cs="宋体"/>
                <w:spacing w:val="-5"/>
                <w:sz w:val="24"/>
                <w:szCs w:val="24"/>
              </w:rPr>
              <w:t>作，或无意地执行了错误的操作，对系统造成的影响。</w:t>
            </w:r>
          </w:p>
        </w:tc>
        <w:tc>
          <w:tcPr>
            <w:tcW w:w="3974" w:type="dxa"/>
            <w:shd w:val="clear" w:color="auto" w:fill="auto"/>
            <w:vAlign w:val="top"/>
          </w:tcPr>
          <w:p w14:paraId="26F3055A">
            <w:pPr>
              <w:spacing w:before="243" w:line="219" w:lineRule="auto"/>
              <w:ind w:left="119"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维护错误、操作失误</w:t>
            </w:r>
          </w:p>
        </w:tc>
      </w:tr>
      <w:tr w14:paraId="42B23C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946AD6E">
            <w:pPr>
              <w:spacing w:before="78" w:line="219" w:lineRule="auto"/>
              <w:rPr>
                <w:rFonts w:hint="default" w:ascii="宋体" w:hAnsi="宋体" w:eastAsia="宋体" w:cs="宋体"/>
                <w:kern w:val="2"/>
                <w:sz w:val="24"/>
                <w:szCs w:val="24"/>
                <w:lang w:val="en-US" w:eastAsia="zh-CN" w:bidi="ar-SA"/>
              </w:rPr>
            </w:pPr>
            <w:r>
              <w:rPr>
                <w:rFonts w:ascii="宋体" w:hAnsi="宋体" w:eastAsia="宋体" w:cs="宋体"/>
                <w:spacing w:val="-6"/>
                <w:sz w:val="24"/>
                <w:szCs w:val="24"/>
              </w:rPr>
              <w:t>管理不到位</w:t>
            </w:r>
          </w:p>
        </w:tc>
        <w:tc>
          <w:tcPr>
            <w:tcW w:w="1819" w:type="dxa"/>
            <w:shd w:val="clear" w:color="auto" w:fill="auto"/>
            <w:vAlign w:val="top"/>
          </w:tcPr>
          <w:p w14:paraId="67A73D60">
            <w:pPr>
              <w:spacing w:before="244" w:line="219" w:lineRule="auto"/>
              <w:ind w:left="119"/>
              <w:rPr>
                <w:rFonts w:hint="default" w:ascii="宋体" w:hAnsi="宋体" w:eastAsia="宋体" w:cs="宋体"/>
                <w:kern w:val="2"/>
                <w:sz w:val="24"/>
                <w:szCs w:val="24"/>
                <w:lang w:val="en-US" w:eastAsia="zh-CN" w:bidi="ar-SA"/>
              </w:rPr>
            </w:pPr>
            <w:r>
              <w:rPr>
                <w:rFonts w:ascii="宋体" w:hAnsi="宋体" w:eastAsia="宋体" w:cs="宋体"/>
                <w:spacing w:val="-5"/>
                <w:sz w:val="24"/>
                <w:szCs w:val="24"/>
              </w:rPr>
              <w:t>安全管理无法落实，不到位，造成安全管理不规范，或者管理混乱，从而破坏信息系统正常有序运行。</w:t>
            </w:r>
          </w:p>
        </w:tc>
        <w:tc>
          <w:tcPr>
            <w:tcW w:w="3974" w:type="dxa"/>
            <w:shd w:val="clear" w:color="auto" w:fill="auto"/>
            <w:vAlign w:val="top"/>
          </w:tcPr>
          <w:p w14:paraId="364DCD4F">
            <w:pPr>
              <w:pStyle w:val="22"/>
              <w:rPr>
                <w:rFonts w:hint="default" w:ascii="Arial" w:hAnsi="Arial" w:eastAsia="Arial" w:cs="Arial"/>
                <w:kern w:val="2"/>
                <w:sz w:val="21"/>
                <w:szCs w:val="21"/>
                <w:lang w:val="en-US" w:eastAsia="zh-CN" w:bidi="ar-SA"/>
              </w:rPr>
            </w:pPr>
          </w:p>
        </w:tc>
      </w:tr>
      <w:tr w14:paraId="33323F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7" w:hRule="atLeast"/>
        </w:trPr>
        <w:tc>
          <w:tcPr>
            <w:tcW w:w="0" w:type="auto"/>
            <w:shd w:val="clear" w:color="auto" w:fill="auto"/>
            <w:vAlign w:val="top"/>
          </w:tcPr>
          <w:p w14:paraId="53E57A03">
            <w:pPr>
              <w:spacing w:before="78" w:line="219" w:lineRule="auto"/>
              <w:rPr>
                <w:rFonts w:hint="default" w:ascii="宋体" w:hAnsi="宋体" w:eastAsia="宋体" w:cs="宋体"/>
                <w:kern w:val="2"/>
                <w:sz w:val="24"/>
                <w:szCs w:val="24"/>
                <w:lang w:val="en-US" w:eastAsia="zh-CN" w:bidi="ar-SA"/>
              </w:rPr>
            </w:pPr>
            <w:r>
              <w:rPr>
                <w:rFonts w:ascii="宋体" w:hAnsi="宋体" w:eastAsia="宋体" w:cs="宋体"/>
                <w:spacing w:val="-5"/>
                <w:sz w:val="24"/>
                <w:szCs w:val="24"/>
              </w:rPr>
              <w:t>恶意代码和病毒</w:t>
            </w:r>
          </w:p>
        </w:tc>
        <w:tc>
          <w:tcPr>
            <w:tcW w:w="1819" w:type="dxa"/>
            <w:shd w:val="clear" w:color="auto" w:fill="auto"/>
            <w:vAlign w:val="top"/>
          </w:tcPr>
          <w:p w14:paraId="52C6644D">
            <w:pPr>
              <w:spacing w:before="245" w:line="219" w:lineRule="auto"/>
              <w:ind w:left="119"/>
              <w:rPr>
                <w:rFonts w:hint="default" w:ascii="宋体" w:hAnsi="宋体" w:eastAsia="宋体" w:cs="宋体"/>
                <w:kern w:val="2"/>
                <w:sz w:val="24"/>
                <w:szCs w:val="24"/>
                <w:lang w:val="en-US" w:eastAsia="zh-CN" w:bidi="ar-SA"/>
              </w:rPr>
            </w:pPr>
            <w:r>
              <w:rPr>
                <w:rFonts w:ascii="宋体" w:hAnsi="宋体" w:eastAsia="宋体" w:cs="宋体"/>
                <w:spacing w:val="-5"/>
                <w:sz w:val="24"/>
                <w:szCs w:val="24"/>
              </w:rPr>
              <w:t>具有自我复制、自我传播能力，对信</w:t>
            </w:r>
            <w:r>
              <w:rPr>
                <w:rFonts w:ascii="宋体" w:hAnsi="宋体" w:eastAsia="宋体" w:cs="宋体"/>
                <w:spacing w:val="-6"/>
                <w:sz w:val="24"/>
                <w:szCs w:val="24"/>
              </w:rPr>
              <w:t>息系统构成破坏的程序代码</w:t>
            </w:r>
          </w:p>
        </w:tc>
        <w:tc>
          <w:tcPr>
            <w:tcW w:w="3974" w:type="dxa"/>
            <w:shd w:val="clear" w:color="auto" w:fill="auto"/>
            <w:vAlign w:val="top"/>
          </w:tcPr>
          <w:p w14:paraId="3F616B51">
            <w:pPr>
              <w:spacing w:before="246" w:line="219" w:lineRule="auto"/>
              <w:rPr>
                <w:rFonts w:hint="default" w:ascii="宋体" w:hAnsi="宋体" w:eastAsia="宋体" w:cs="宋体"/>
                <w:kern w:val="2"/>
                <w:sz w:val="24"/>
                <w:szCs w:val="24"/>
                <w:lang w:val="en-US" w:eastAsia="zh-CN" w:bidi="ar-SA"/>
              </w:rPr>
            </w:pPr>
            <w:r>
              <w:rPr>
                <w:rFonts w:ascii="宋体" w:hAnsi="宋体" w:eastAsia="宋体" w:cs="宋体"/>
                <w:spacing w:val="-2"/>
                <w:sz w:val="24"/>
                <w:szCs w:val="24"/>
              </w:rPr>
              <w:t>恶意代码、木马后门、网络病毒、间</w:t>
            </w:r>
            <w:r>
              <w:rPr>
                <w:rFonts w:ascii="宋体" w:hAnsi="宋体" w:eastAsia="宋体" w:cs="宋体"/>
                <w:spacing w:val="-5"/>
                <w:sz w:val="24"/>
                <w:szCs w:val="24"/>
              </w:rPr>
              <w:t>谍软件、窃听软件</w:t>
            </w:r>
          </w:p>
        </w:tc>
      </w:tr>
      <w:tr w14:paraId="4CE5C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DAF876F">
            <w:pPr>
              <w:pStyle w:val="22"/>
              <w:spacing w:line="295" w:lineRule="auto"/>
            </w:pPr>
          </w:p>
          <w:p w14:paraId="0FB413C1">
            <w:pPr>
              <w:spacing w:before="78" w:line="219" w:lineRule="auto"/>
              <w:rPr>
                <w:rFonts w:hint="default" w:ascii="宋体" w:hAnsi="宋体" w:eastAsia="宋体" w:cs="宋体"/>
                <w:kern w:val="2"/>
                <w:sz w:val="24"/>
                <w:szCs w:val="24"/>
                <w:lang w:val="en-US" w:eastAsia="zh-CN" w:bidi="ar-SA"/>
              </w:rPr>
            </w:pPr>
            <w:r>
              <w:rPr>
                <w:rFonts w:ascii="宋体" w:hAnsi="宋体" w:eastAsia="宋体" w:cs="宋体"/>
                <w:spacing w:val="-5"/>
                <w:sz w:val="24"/>
                <w:szCs w:val="24"/>
              </w:rPr>
              <w:t>越权或滥用</w:t>
            </w:r>
          </w:p>
        </w:tc>
        <w:tc>
          <w:tcPr>
            <w:tcW w:w="1819" w:type="dxa"/>
            <w:shd w:val="clear" w:color="auto" w:fill="auto"/>
            <w:vAlign w:val="top"/>
          </w:tcPr>
          <w:p w14:paraId="54FC5FE1">
            <w:pPr>
              <w:spacing w:before="245" w:line="219" w:lineRule="auto"/>
              <w:ind w:left="114"/>
              <w:rPr>
                <w:rFonts w:hint="eastAsia" w:ascii="宋体" w:hAnsi="宋体" w:eastAsia="宋体" w:cs="宋体"/>
                <w:kern w:val="2"/>
                <w:sz w:val="24"/>
                <w:szCs w:val="24"/>
                <w:lang w:val="en-US" w:eastAsia="zh-CN" w:bidi="ar-SA"/>
              </w:rPr>
            </w:pPr>
            <w:r>
              <w:rPr>
                <w:rFonts w:ascii="宋体" w:hAnsi="宋体" w:eastAsia="宋体" w:cs="宋体"/>
                <w:spacing w:val="-5"/>
                <w:sz w:val="24"/>
                <w:szCs w:val="24"/>
              </w:rPr>
              <w:t>通过采用一些措施，超越自己的权限访问了本来无权访问的资源；或者滥用自己的职权，做出破坏信息系统的</w:t>
            </w:r>
            <w:r>
              <w:rPr>
                <w:rFonts w:hint="eastAsia" w:ascii="宋体" w:hAnsi="宋体" w:cs="宋体"/>
                <w:spacing w:val="-5"/>
                <w:sz w:val="24"/>
                <w:szCs w:val="24"/>
                <w:lang w:val="en-US" w:eastAsia="zh-CN"/>
              </w:rPr>
              <w:t>行为</w:t>
            </w:r>
          </w:p>
        </w:tc>
        <w:tc>
          <w:tcPr>
            <w:tcW w:w="3974" w:type="dxa"/>
            <w:shd w:val="clear" w:color="auto" w:fill="auto"/>
            <w:vAlign w:val="top"/>
          </w:tcPr>
          <w:p w14:paraId="638EF144">
            <w:pPr>
              <w:spacing w:before="246" w:line="219" w:lineRule="auto"/>
              <w:ind w:left="119"/>
            </w:pPr>
            <w:r>
              <w:rPr>
                <w:rFonts w:ascii="宋体" w:hAnsi="宋体" w:eastAsia="宋体" w:cs="宋体"/>
                <w:spacing w:val="-3"/>
                <w:sz w:val="24"/>
                <w:szCs w:val="24"/>
              </w:rPr>
              <w:t>未授权访问网络资源、未授权访问系</w:t>
            </w:r>
          </w:p>
          <w:p w14:paraId="52333E92">
            <w:pPr>
              <w:spacing w:before="78" w:line="219" w:lineRule="auto"/>
              <w:ind w:left="121"/>
            </w:pPr>
            <w:r>
              <w:rPr>
                <w:rFonts w:ascii="宋体" w:hAnsi="宋体" w:eastAsia="宋体" w:cs="宋体"/>
                <w:spacing w:val="-4"/>
                <w:sz w:val="24"/>
                <w:szCs w:val="24"/>
              </w:rPr>
              <w:t>统资源、滥用权限非正常修改系统配</w:t>
            </w:r>
          </w:p>
          <w:p w14:paraId="6610C5BF">
            <w:pPr>
              <w:spacing w:before="78" w:line="219" w:lineRule="auto"/>
              <w:ind w:left="113"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置或数据、滥用权限泄露秘密信息</w:t>
            </w:r>
          </w:p>
        </w:tc>
      </w:tr>
      <w:tr w14:paraId="265AE0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F163186">
            <w:pPr>
              <w:spacing w:before="78" w:line="221" w:lineRule="auto"/>
              <w:rPr>
                <w:rFonts w:ascii="宋体" w:hAnsi="宋体" w:eastAsia="宋体" w:cs="宋体"/>
                <w:kern w:val="2"/>
                <w:sz w:val="24"/>
                <w:szCs w:val="24"/>
                <w:lang w:val="en-US" w:eastAsia="zh-CN" w:bidi="ar-SA"/>
              </w:rPr>
            </w:pPr>
            <w:r>
              <w:rPr>
                <w:rFonts w:ascii="宋体" w:hAnsi="宋体" w:eastAsia="宋体" w:cs="宋体"/>
                <w:spacing w:val="-9"/>
                <w:sz w:val="24"/>
                <w:szCs w:val="24"/>
              </w:rPr>
              <w:t>网络攻击</w:t>
            </w:r>
          </w:p>
        </w:tc>
        <w:tc>
          <w:tcPr>
            <w:tcW w:w="1819" w:type="dxa"/>
            <w:shd w:val="clear" w:color="auto" w:fill="auto"/>
            <w:vAlign w:val="top"/>
          </w:tcPr>
          <w:p w14:paraId="140FA55B">
            <w:pPr>
              <w:spacing w:before="242" w:line="219" w:lineRule="auto"/>
              <w:ind w:left="115"/>
              <w:rPr>
                <w:rFonts w:ascii="宋体" w:hAnsi="宋体" w:eastAsia="宋体" w:cs="宋体"/>
                <w:kern w:val="2"/>
                <w:sz w:val="24"/>
                <w:szCs w:val="24"/>
                <w:lang w:val="en-US" w:eastAsia="zh-CN" w:bidi="ar-SA"/>
              </w:rPr>
            </w:pPr>
            <w:r>
              <w:rPr>
                <w:rFonts w:ascii="宋体" w:hAnsi="宋体" w:eastAsia="宋体" w:cs="宋体"/>
                <w:spacing w:val="-5"/>
                <w:sz w:val="24"/>
                <w:szCs w:val="24"/>
              </w:rPr>
              <w:t>利用工具和技术，例如侦察、密码破译、安装后门、嗅探、伪造和欺骗、拒绝服务等手段，对信息系统进行攻</w:t>
            </w:r>
            <w:r>
              <w:rPr>
                <w:rFonts w:ascii="宋体" w:hAnsi="宋体" w:eastAsia="宋体" w:cs="宋体"/>
                <w:spacing w:val="-4"/>
                <w:sz w:val="24"/>
                <w:szCs w:val="24"/>
              </w:rPr>
              <w:t>击和入侵</w:t>
            </w:r>
          </w:p>
        </w:tc>
        <w:tc>
          <w:tcPr>
            <w:tcW w:w="3974" w:type="dxa"/>
            <w:shd w:val="clear" w:color="auto" w:fill="auto"/>
            <w:vAlign w:val="top"/>
          </w:tcPr>
          <w:p w14:paraId="74F70E90">
            <w:pPr>
              <w:spacing w:before="241" w:line="219" w:lineRule="auto"/>
              <w:ind w:left="134"/>
              <w:rPr>
                <w:rFonts w:ascii="宋体" w:hAnsi="宋体" w:eastAsia="宋体" w:cs="宋体"/>
                <w:kern w:val="2"/>
                <w:sz w:val="24"/>
                <w:szCs w:val="24"/>
                <w:lang w:val="en-US" w:eastAsia="zh-CN" w:bidi="ar-SA"/>
              </w:rPr>
            </w:pPr>
            <w:r>
              <w:rPr>
                <w:rFonts w:ascii="宋体" w:hAnsi="宋体" w:eastAsia="宋体" w:cs="宋体"/>
                <w:spacing w:val="-3"/>
                <w:sz w:val="24"/>
                <w:szCs w:val="24"/>
              </w:rPr>
              <w:t>网络探测和信息采集、漏洞探测、嗅</w:t>
            </w:r>
            <w:r>
              <w:rPr>
                <w:rFonts w:ascii="宋体" w:hAnsi="宋体" w:eastAsia="宋体" w:cs="宋体"/>
                <w:spacing w:val="-17"/>
                <w:sz w:val="24"/>
                <w:szCs w:val="24"/>
              </w:rPr>
              <w:t>探（账户、口令、权限等）、用户身份</w:t>
            </w:r>
            <w:r>
              <w:rPr>
                <w:rFonts w:ascii="宋体" w:hAnsi="宋体" w:eastAsia="宋体" w:cs="宋体"/>
                <w:spacing w:val="-3"/>
                <w:sz w:val="24"/>
                <w:szCs w:val="24"/>
              </w:rPr>
              <w:t>伪造和欺骗、用户或业务数据的窃取</w:t>
            </w:r>
            <w:r>
              <w:rPr>
                <w:rFonts w:ascii="宋体" w:hAnsi="宋体" w:eastAsia="宋体" w:cs="宋体"/>
                <w:spacing w:val="-5"/>
                <w:sz w:val="24"/>
                <w:szCs w:val="24"/>
              </w:rPr>
              <w:t>和破坏、系统运行的控制和破坏</w:t>
            </w:r>
          </w:p>
        </w:tc>
      </w:tr>
      <w:tr w14:paraId="6ADADF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CFDC2CF">
            <w:pPr>
              <w:spacing w:before="78" w:line="221" w:lineRule="auto"/>
              <w:rPr>
                <w:rFonts w:ascii="宋体" w:hAnsi="宋体" w:eastAsia="宋体" w:cs="宋体"/>
                <w:kern w:val="2"/>
                <w:sz w:val="24"/>
                <w:szCs w:val="24"/>
                <w:lang w:val="en-US" w:eastAsia="zh-CN" w:bidi="ar-SA"/>
              </w:rPr>
            </w:pPr>
            <w:r>
              <w:rPr>
                <w:rFonts w:ascii="宋体" w:hAnsi="宋体" w:eastAsia="宋体" w:cs="宋体"/>
                <w:spacing w:val="-5"/>
                <w:sz w:val="24"/>
                <w:szCs w:val="24"/>
              </w:rPr>
              <w:t>物理攻击</w:t>
            </w:r>
          </w:p>
        </w:tc>
        <w:tc>
          <w:tcPr>
            <w:tcW w:w="0" w:type="auto"/>
            <w:shd w:val="clear" w:color="auto" w:fill="auto"/>
            <w:vAlign w:val="top"/>
          </w:tcPr>
          <w:p w14:paraId="779610BC">
            <w:pPr>
              <w:spacing w:before="245" w:line="219" w:lineRule="auto"/>
              <w:rPr>
                <w:rFonts w:ascii="宋体" w:hAnsi="宋体" w:eastAsia="宋体" w:cs="宋体"/>
                <w:kern w:val="2"/>
                <w:sz w:val="24"/>
                <w:szCs w:val="24"/>
                <w:lang w:val="en-US" w:eastAsia="zh-CN" w:bidi="ar-SA"/>
              </w:rPr>
            </w:pPr>
            <w:r>
              <w:rPr>
                <w:rFonts w:ascii="宋体" w:hAnsi="宋体" w:eastAsia="宋体" w:cs="宋体"/>
                <w:spacing w:val="-5"/>
                <w:sz w:val="24"/>
                <w:szCs w:val="24"/>
              </w:rPr>
              <w:t>通过物理的接触造成对软件、硬件、数据的破坏。</w:t>
            </w:r>
          </w:p>
        </w:tc>
        <w:tc>
          <w:tcPr>
            <w:tcW w:w="0" w:type="auto"/>
            <w:shd w:val="clear" w:color="auto" w:fill="auto"/>
            <w:vAlign w:val="top"/>
          </w:tcPr>
          <w:p w14:paraId="4042FD40">
            <w:pPr>
              <w:spacing w:before="245" w:line="220" w:lineRule="auto"/>
              <w:rPr>
                <w:rFonts w:ascii="宋体" w:hAnsi="宋体" w:eastAsia="宋体" w:cs="宋体"/>
                <w:kern w:val="2"/>
                <w:sz w:val="24"/>
                <w:szCs w:val="24"/>
                <w:lang w:val="en-US" w:eastAsia="zh-CN" w:bidi="ar-SA"/>
              </w:rPr>
            </w:pPr>
            <w:r>
              <w:rPr>
                <w:rFonts w:ascii="宋体" w:hAnsi="宋体" w:eastAsia="宋体" w:cs="宋体"/>
                <w:spacing w:val="-5"/>
                <w:sz w:val="24"/>
                <w:szCs w:val="24"/>
              </w:rPr>
              <w:t>物理接触、物理破坏、盗窃</w:t>
            </w:r>
          </w:p>
        </w:tc>
      </w:tr>
      <w:tr w14:paraId="5CF9C0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2499F74">
            <w:pPr>
              <w:spacing w:before="245" w:line="224" w:lineRule="auto"/>
              <w:ind w:left="120" w:leftChars="0"/>
              <w:rPr>
                <w:rFonts w:ascii="宋体" w:hAnsi="宋体" w:eastAsia="宋体" w:cs="宋体"/>
                <w:kern w:val="2"/>
                <w:sz w:val="24"/>
                <w:szCs w:val="24"/>
                <w:lang w:val="en-US" w:eastAsia="zh-CN" w:bidi="ar-SA"/>
              </w:rPr>
            </w:pPr>
            <w:r>
              <w:rPr>
                <w:rFonts w:ascii="宋体" w:hAnsi="宋体" w:eastAsia="宋体" w:cs="宋体"/>
                <w:spacing w:val="-7"/>
                <w:sz w:val="24"/>
                <w:szCs w:val="24"/>
              </w:rPr>
              <w:t>泄密</w:t>
            </w:r>
          </w:p>
        </w:tc>
        <w:tc>
          <w:tcPr>
            <w:tcW w:w="0" w:type="auto"/>
            <w:shd w:val="clear" w:color="auto" w:fill="auto"/>
            <w:vAlign w:val="top"/>
          </w:tcPr>
          <w:p w14:paraId="449C6934">
            <w:pPr>
              <w:spacing w:before="246" w:line="219" w:lineRule="auto"/>
              <w:ind w:left="114" w:leftChars="0"/>
              <w:rPr>
                <w:rFonts w:ascii="宋体" w:hAnsi="宋体" w:eastAsia="宋体" w:cs="宋体"/>
                <w:kern w:val="2"/>
                <w:sz w:val="24"/>
                <w:szCs w:val="24"/>
                <w:lang w:val="en-US" w:eastAsia="zh-CN" w:bidi="ar-SA"/>
              </w:rPr>
            </w:pPr>
            <w:r>
              <w:rPr>
                <w:rFonts w:ascii="宋体" w:hAnsi="宋体" w:eastAsia="宋体" w:cs="宋体"/>
                <w:spacing w:val="-5"/>
                <w:sz w:val="24"/>
                <w:szCs w:val="24"/>
              </w:rPr>
              <w:t>信息泄漏给不应了解的他人</w:t>
            </w:r>
          </w:p>
        </w:tc>
        <w:tc>
          <w:tcPr>
            <w:tcW w:w="0" w:type="auto"/>
            <w:shd w:val="clear" w:color="auto" w:fill="auto"/>
            <w:vAlign w:val="top"/>
          </w:tcPr>
          <w:p w14:paraId="2F6998F6">
            <w:pPr>
              <w:spacing w:before="246" w:line="219" w:lineRule="auto"/>
              <w:rPr>
                <w:rFonts w:ascii="宋体" w:hAnsi="宋体" w:eastAsia="宋体" w:cs="宋体"/>
                <w:kern w:val="2"/>
                <w:sz w:val="24"/>
                <w:szCs w:val="24"/>
                <w:lang w:val="en-US" w:eastAsia="zh-CN" w:bidi="ar-SA"/>
              </w:rPr>
            </w:pPr>
            <w:r>
              <w:rPr>
                <w:rFonts w:ascii="宋体" w:hAnsi="宋体" w:eastAsia="宋体" w:cs="宋体"/>
                <w:spacing w:val="-7"/>
                <w:sz w:val="24"/>
                <w:szCs w:val="24"/>
              </w:rPr>
              <w:t>内部信息泄露、外部信息泄露</w:t>
            </w:r>
          </w:p>
        </w:tc>
      </w:tr>
      <w:tr w14:paraId="425A0F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0B8CDD8">
            <w:pPr>
              <w:pStyle w:val="22"/>
              <w:spacing w:line="295" w:lineRule="auto"/>
            </w:pPr>
          </w:p>
          <w:p w14:paraId="204DEA2D">
            <w:pPr>
              <w:pStyle w:val="22"/>
              <w:spacing w:line="295" w:lineRule="auto"/>
            </w:pPr>
          </w:p>
          <w:p w14:paraId="717EE97B">
            <w:pPr>
              <w:pStyle w:val="22"/>
              <w:spacing w:line="295" w:lineRule="auto"/>
            </w:pPr>
          </w:p>
          <w:p w14:paraId="11D9187A">
            <w:pPr>
              <w:spacing w:before="78" w:line="219" w:lineRule="auto"/>
              <w:ind w:left="115" w:leftChars="0"/>
              <w:rPr>
                <w:rFonts w:ascii="宋体" w:hAnsi="宋体" w:eastAsia="宋体" w:cs="宋体"/>
                <w:kern w:val="2"/>
                <w:sz w:val="24"/>
                <w:szCs w:val="24"/>
                <w:lang w:val="en-US" w:eastAsia="zh-CN" w:bidi="ar-SA"/>
              </w:rPr>
            </w:pPr>
            <w:r>
              <w:rPr>
                <w:rFonts w:ascii="宋体" w:hAnsi="宋体" w:eastAsia="宋体" w:cs="宋体"/>
                <w:spacing w:val="-5"/>
                <w:sz w:val="24"/>
                <w:szCs w:val="24"/>
              </w:rPr>
              <w:t>篡改</w:t>
            </w:r>
          </w:p>
        </w:tc>
        <w:tc>
          <w:tcPr>
            <w:tcW w:w="0" w:type="auto"/>
            <w:shd w:val="clear" w:color="auto" w:fill="auto"/>
            <w:vAlign w:val="top"/>
          </w:tcPr>
          <w:p w14:paraId="56809CDB">
            <w:pPr>
              <w:pStyle w:val="22"/>
              <w:spacing w:line="264" w:lineRule="auto"/>
            </w:pPr>
          </w:p>
          <w:p w14:paraId="25F56604">
            <w:pPr>
              <w:spacing w:before="78" w:line="219" w:lineRule="auto"/>
              <w:rPr>
                <w:rFonts w:ascii="宋体" w:hAnsi="宋体" w:eastAsia="宋体" w:cs="宋体"/>
                <w:kern w:val="2"/>
                <w:sz w:val="24"/>
                <w:szCs w:val="24"/>
                <w:lang w:val="en-US" w:eastAsia="zh-CN" w:bidi="ar-SA"/>
              </w:rPr>
            </w:pPr>
            <w:r>
              <w:rPr>
                <w:rFonts w:ascii="宋体" w:hAnsi="宋体" w:eastAsia="宋体" w:cs="宋体"/>
                <w:spacing w:val="-5"/>
                <w:sz w:val="24"/>
                <w:szCs w:val="24"/>
              </w:rPr>
              <w:t>非法修改信息，破坏信息的完整性，使系统的安全性降低或信息不可用</w:t>
            </w:r>
          </w:p>
        </w:tc>
        <w:tc>
          <w:tcPr>
            <w:tcW w:w="0" w:type="auto"/>
            <w:shd w:val="clear" w:color="auto" w:fill="auto"/>
            <w:vAlign w:val="top"/>
          </w:tcPr>
          <w:p w14:paraId="035FB358">
            <w:pPr>
              <w:spacing w:before="246" w:line="219" w:lineRule="auto"/>
              <w:rPr>
                <w:rFonts w:ascii="宋体" w:hAnsi="宋体" w:eastAsia="宋体" w:cs="宋体"/>
                <w:kern w:val="2"/>
                <w:sz w:val="24"/>
                <w:szCs w:val="24"/>
                <w:lang w:val="en-US" w:eastAsia="zh-CN" w:bidi="ar-SA"/>
              </w:rPr>
            </w:pPr>
            <w:r>
              <w:rPr>
                <w:rFonts w:ascii="宋体" w:hAnsi="宋体" w:eastAsia="宋体" w:cs="宋体"/>
                <w:spacing w:val="-3"/>
                <w:sz w:val="24"/>
                <w:szCs w:val="24"/>
              </w:rPr>
              <w:t>篡改网络配置信息、篡改系统配置信</w:t>
            </w:r>
            <w:r>
              <w:rPr>
                <w:rFonts w:ascii="宋体" w:hAnsi="宋体" w:eastAsia="宋体" w:cs="宋体"/>
                <w:spacing w:val="-4"/>
                <w:sz w:val="24"/>
                <w:szCs w:val="24"/>
              </w:rPr>
              <w:t>息、篡改安全配置信息、篡改用户身</w:t>
            </w:r>
            <w:r>
              <w:rPr>
                <w:rFonts w:ascii="宋体" w:hAnsi="宋体" w:eastAsia="宋体" w:cs="宋体"/>
                <w:spacing w:val="-5"/>
                <w:sz w:val="24"/>
                <w:szCs w:val="24"/>
              </w:rPr>
              <w:t>份信息或业务数据信息</w:t>
            </w:r>
          </w:p>
        </w:tc>
      </w:tr>
      <w:tr w14:paraId="7CA303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FD7BD76">
            <w:pPr>
              <w:pStyle w:val="22"/>
              <w:spacing w:line="263" w:lineRule="auto"/>
            </w:pPr>
          </w:p>
          <w:p w14:paraId="62192A60">
            <w:pPr>
              <w:pStyle w:val="22"/>
              <w:spacing w:line="264" w:lineRule="auto"/>
            </w:pPr>
          </w:p>
          <w:p w14:paraId="77DB2A38">
            <w:pPr>
              <w:spacing w:before="78" w:line="219" w:lineRule="auto"/>
              <w:ind w:left="115" w:leftChars="0"/>
              <w:rPr>
                <w:rFonts w:ascii="宋体" w:hAnsi="宋体" w:eastAsia="宋体" w:cs="宋体"/>
                <w:kern w:val="2"/>
                <w:sz w:val="24"/>
                <w:szCs w:val="24"/>
                <w:lang w:val="en-US" w:eastAsia="zh-CN" w:bidi="ar-SA"/>
              </w:rPr>
            </w:pPr>
            <w:r>
              <w:rPr>
                <w:rFonts w:ascii="宋体" w:hAnsi="宋体" w:eastAsia="宋体" w:cs="宋体"/>
                <w:spacing w:val="-5"/>
                <w:sz w:val="24"/>
                <w:szCs w:val="24"/>
              </w:rPr>
              <w:t>抵赖</w:t>
            </w:r>
          </w:p>
        </w:tc>
        <w:tc>
          <w:tcPr>
            <w:tcW w:w="0" w:type="auto"/>
            <w:shd w:val="clear" w:color="auto" w:fill="auto"/>
            <w:vAlign w:val="top"/>
          </w:tcPr>
          <w:p w14:paraId="056B14F4">
            <w:pPr>
              <w:spacing w:before="248" w:line="219" w:lineRule="auto"/>
              <w:rPr>
                <w:rFonts w:ascii="宋体" w:hAnsi="宋体" w:eastAsia="宋体" w:cs="宋体"/>
                <w:kern w:val="2"/>
                <w:sz w:val="24"/>
                <w:szCs w:val="24"/>
                <w:lang w:val="en-US" w:eastAsia="zh-CN" w:bidi="ar-SA"/>
              </w:rPr>
            </w:pPr>
            <w:r>
              <w:rPr>
                <w:rFonts w:ascii="宋体" w:hAnsi="宋体" w:eastAsia="宋体" w:cs="宋体"/>
                <w:spacing w:val="-5"/>
                <w:sz w:val="24"/>
                <w:szCs w:val="24"/>
              </w:rPr>
              <w:t>不承认收到的信息和所作的操作和交</w:t>
            </w:r>
            <w:r>
              <w:rPr>
                <w:rFonts w:ascii="宋体" w:hAnsi="宋体" w:eastAsia="宋体" w:cs="宋体"/>
                <w:sz w:val="24"/>
                <w:szCs w:val="24"/>
              </w:rPr>
              <w:t>易</w:t>
            </w:r>
          </w:p>
        </w:tc>
        <w:tc>
          <w:tcPr>
            <w:tcW w:w="0" w:type="auto"/>
            <w:shd w:val="clear" w:color="auto" w:fill="auto"/>
            <w:vAlign w:val="top"/>
          </w:tcPr>
          <w:p w14:paraId="01B4C1F8">
            <w:pPr>
              <w:spacing w:before="248" w:line="219" w:lineRule="auto"/>
              <w:rPr>
                <w:rFonts w:ascii="宋体" w:hAnsi="宋体" w:eastAsia="宋体" w:cs="宋体"/>
                <w:kern w:val="2"/>
                <w:sz w:val="24"/>
                <w:szCs w:val="24"/>
                <w:lang w:val="en-US" w:eastAsia="zh-CN" w:bidi="ar-SA"/>
              </w:rPr>
            </w:pPr>
            <w:r>
              <w:rPr>
                <w:rFonts w:ascii="宋体" w:hAnsi="宋体" w:eastAsia="宋体" w:cs="宋体"/>
                <w:spacing w:val="-5"/>
                <w:sz w:val="24"/>
                <w:szCs w:val="24"/>
              </w:rPr>
              <w:t>原发抵赖、接收抵赖、第三方抵赖</w:t>
            </w:r>
          </w:p>
        </w:tc>
      </w:tr>
    </w:tbl>
    <w:p w14:paraId="4C6F2A02">
      <w:pPr>
        <w:pStyle w:val="7"/>
        <w:spacing w:before="242" w:line="219" w:lineRule="auto"/>
        <w:ind w:left="2100" w:leftChars="0" w:firstLine="420" w:firstLineChars="0"/>
        <w:jc w:val="both"/>
        <w:rPr>
          <w:sz w:val="24"/>
          <w:szCs w:val="24"/>
        </w:rPr>
      </w:pPr>
      <w:r>
        <w:rPr>
          <w:spacing w:val="-5"/>
          <w:sz w:val="24"/>
          <w:szCs w:val="24"/>
        </w:rPr>
        <w:t>威胁种类列表</w:t>
      </w:r>
    </w:p>
    <w:p w14:paraId="106E1C18">
      <w:pPr>
        <w:pStyle w:val="5"/>
        <w:bidi w:val="0"/>
        <w:rPr>
          <w:rFonts w:hint="default"/>
          <w:lang w:val="en-US" w:eastAsia="zh-CN"/>
        </w:rPr>
      </w:pPr>
      <w:r>
        <w:rPr>
          <w:rFonts w:hint="default"/>
          <w:lang w:val="en-US" w:eastAsia="zh-CN"/>
        </w:rPr>
        <w:t>3.4.3.2威胁赋值</w:t>
      </w:r>
    </w:p>
    <w:p w14:paraId="1CB339B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评估确定威胁发生的可能性是威胁评估阶段的重要工作，评估者采用经验法判断法，参考有关的统计数据来判断威胁发生的频率或者发生的概率。其中，威胁发生的可能性受以下因素影响：</w:t>
      </w:r>
    </w:p>
    <w:p w14:paraId="0EA47E0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 xml:space="preserve"> </w:t>
      </w:r>
      <w:r>
        <w:rPr>
          <w:position w:val="-5"/>
          <w:sz w:val="24"/>
          <w:szCs w:val="24"/>
        </w:rPr>
        <w:drawing>
          <wp:inline distT="0" distB="0" distL="0" distR="0">
            <wp:extent cx="107950" cy="168275"/>
            <wp:effectExtent l="0" t="0" r="13970" b="14605"/>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资产的吸引力；</w:t>
      </w:r>
    </w:p>
    <w:p w14:paraId="3A80500F">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 xml:space="preserve"> </w:t>
      </w:r>
      <w:r>
        <w:rPr>
          <w:position w:val="-5"/>
          <w:sz w:val="24"/>
          <w:szCs w:val="24"/>
        </w:rPr>
        <w:drawing>
          <wp:inline distT="0" distB="0" distL="0" distR="0">
            <wp:extent cx="107950" cy="168275"/>
            <wp:effectExtent l="0" t="0" r="13970" b="14605"/>
            <wp:docPr id="16" name="IM 30"/>
            <wp:cNvGraphicFramePr/>
            <a:graphic xmlns:a="http://schemas.openxmlformats.org/drawingml/2006/main">
              <a:graphicData uri="http://schemas.openxmlformats.org/drawingml/2006/picture">
                <pic:pic xmlns:pic="http://schemas.openxmlformats.org/drawingml/2006/picture">
                  <pic:nvPicPr>
                    <pic:cNvPr id="16" name="IM 3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 xml:space="preserve"> 资产转化成报酬的难易程度；</w:t>
      </w:r>
    </w:p>
    <w:p w14:paraId="0E04E2F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 xml:space="preserve"> </w:t>
      </w:r>
      <w:r>
        <w:rPr>
          <w:position w:val="-5"/>
          <w:sz w:val="24"/>
          <w:szCs w:val="24"/>
        </w:rPr>
        <w:drawing>
          <wp:inline distT="0" distB="0" distL="0" distR="0">
            <wp:extent cx="107950" cy="168275"/>
            <wp:effectExtent l="0" t="0" r="13970" b="14605"/>
            <wp:docPr id="17" name="IM 30"/>
            <wp:cNvGraphicFramePr/>
            <a:graphic xmlns:a="http://schemas.openxmlformats.org/drawingml/2006/main">
              <a:graphicData uri="http://schemas.openxmlformats.org/drawingml/2006/picture">
                <pic:pic xmlns:pic="http://schemas.openxmlformats.org/drawingml/2006/picture">
                  <pic:nvPicPr>
                    <pic:cNvPr id="17" name="IM 3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威胁的技术力量；</w:t>
      </w:r>
    </w:p>
    <w:p w14:paraId="28C68D7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 xml:space="preserve"> </w:t>
      </w:r>
      <w:r>
        <w:rPr>
          <w:position w:val="-5"/>
          <w:sz w:val="24"/>
          <w:szCs w:val="24"/>
        </w:rPr>
        <w:drawing>
          <wp:inline distT="0" distB="0" distL="0" distR="0">
            <wp:extent cx="107950" cy="168275"/>
            <wp:effectExtent l="0" t="0" r="13970" b="14605"/>
            <wp:docPr id="18" name="IM 30"/>
            <wp:cNvGraphicFramePr/>
            <a:graphic xmlns:a="http://schemas.openxmlformats.org/drawingml/2006/main">
              <a:graphicData uri="http://schemas.openxmlformats.org/drawingml/2006/picture">
                <pic:pic xmlns:pic="http://schemas.openxmlformats.org/drawingml/2006/picture">
                  <pic:nvPicPr>
                    <pic:cNvPr id="18" name="IM 3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脆弱性被利用的难易程度。</w:t>
      </w:r>
    </w:p>
    <w:p w14:paraId="5BA6A17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操作过程中，威胁的可能性赋值，除了考虑上面几个因素，还需要参考下面三方面的资料和信息来源，如这些资料或者信息能够提供具体数值的，则这些数值就是在特定评估环境中各种威胁发生的可能性。</w:t>
      </w:r>
    </w:p>
    <w:p w14:paraId="72CC40B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通过过去的安全事件报告或记录，统计各种发生过的威胁和其发生频率；</w:t>
      </w:r>
    </w:p>
    <w:p w14:paraId="381F7C5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在评估体实际环境中，通过 IDS（Intrusion Detection Systems，入侵检测系统）获取的威胁发生数据的统计和分析，各种日志中威胁发生的数据的统计和分析；</w:t>
      </w:r>
    </w:p>
    <w:p w14:paraId="79BF396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过去一年或两年来国际机构发布的对于整个社会或特定行业安全威胁发生频率的统计数据均值。</w:t>
      </w:r>
    </w:p>
    <w:p w14:paraId="704F5DB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威胁的评估就是针对重要信息资产，比对威胁来源列表和种类列表后得到的威胁列表，依据经验对列表中的威胁发生可能性进行的评估。最终威胁的赋值依照威胁赋值表采用定性的相对等级的方式。威胁的等级划分为五级，从 1 到 5 分别代表五个级别的威胁发生可能性。等级数值越大，威胁发生的可能性越大。</w:t>
      </w:r>
    </w:p>
    <w:p w14:paraId="0DBD36A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当然，评估者也可以根据被评估系统的实际情况自定义威胁的等级，但该评定方法必须在事先得到信息系统所有者认可。</w:t>
      </w:r>
    </w:p>
    <w:tbl>
      <w:tblPr>
        <w:tblStyle w:val="15"/>
        <w:tblW w:w="9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
        <w:gridCol w:w="976"/>
        <w:gridCol w:w="7519"/>
      </w:tblGrid>
      <w:tr w14:paraId="13A79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6" w:type="dxa"/>
            <w:shd w:val="clear" w:color="auto" w:fill="auto"/>
            <w:vAlign w:val="top"/>
          </w:tcPr>
          <w:p w14:paraId="7104E3D4">
            <w:pPr>
              <w:spacing w:before="248" w:line="219" w:lineRule="auto"/>
              <w:ind w:left="108"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等级</w:t>
            </w:r>
          </w:p>
        </w:tc>
        <w:tc>
          <w:tcPr>
            <w:tcW w:w="976" w:type="dxa"/>
            <w:shd w:val="clear" w:color="auto" w:fill="auto"/>
            <w:vAlign w:val="top"/>
          </w:tcPr>
          <w:p w14:paraId="2C383C31">
            <w:pPr>
              <w:spacing w:before="248" w:line="220" w:lineRule="auto"/>
              <w:ind w:left="104"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标识</w:t>
            </w:r>
          </w:p>
        </w:tc>
        <w:tc>
          <w:tcPr>
            <w:tcW w:w="7519" w:type="dxa"/>
            <w:shd w:val="clear" w:color="auto" w:fill="auto"/>
            <w:vAlign w:val="top"/>
          </w:tcPr>
          <w:p w14:paraId="49C86A30">
            <w:pPr>
              <w:spacing w:before="248" w:line="220" w:lineRule="auto"/>
              <w:ind w:left="110" w:leftChars="0"/>
              <w:rPr>
                <w:rFonts w:hint="default" w:ascii="宋体" w:hAnsi="宋体" w:eastAsia="宋体" w:cs="宋体"/>
                <w:kern w:val="2"/>
                <w:sz w:val="24"/>
                <w:szCs w:val="24"/>
                <w:lang w:val="en-US" w:eastAsia="zh-CN" w:bidi="ar-SA"/>
              </w:rPr>
            </w:pPr>
            <w:r>
              <w:rPr>
                <w:rFonts w:ascii="宋体" w:hAnsi="宋体" w:eastAsia="宋体" w:cs="宋体"/>
                <w:spacing w:val="-8"/>
                <w:sz w:val="24"/>
                <w:szCs w:val="24"/>
              </w:rPr>
              <w:t>定义</w:t>
            </w:r>
          </w:p>
        </w:tc>
      </w:tr>
      <w:tr w14:paraId="59630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6" w:type="dxa"/>
            <w:shd w:val="clear" w:color="auto" w:fill="auto"/>
            <w:vAlign w:val="top"/>
          </w:tcPr>
          <w:p w14:paraId="6CF97516">
            <w:pPr>
              <w:pStyle w:val="22"/>
              <w:spacing w:line="260" w:lineRule="auto"/>
            </w:pPr>
          </w:p>
          <w:p w14:paraId="30BAD30F">
            <w:pPr>
              <w:pStyle w:val="22"/>
              <w:spacing w:line="261" w:lineRule="auto"/>
            </w:pPr>
          </w:p>
          <w:p w14:paraId="39DC3486">
            <w:pPr>
              <w:spacing w:before="78"/>
              <w:ind w:left="111" w:leftChars="0"/>
              <w:rPr>
                <w:rFonts w:hint="default" w:ascii="宋体" w:hAnsi="宋体" w:eastAsia="宋体" w:cs="宋体"/>
                <w:kern w:val="2"/>
                <w:sz w:val="24"/>
                <w:szCs w:val="24"/>
                <w:lang w:val="en-US" w:eastAsia="zh-CN" w:bidi="ar-SA"/>
              </w:rPr>
            </w:pPr>
            <w:r>
              <w:rPr>
                <w:rFonts w:ascii="宋体" w:hAnsi="宋体" w:eastAsia="宋体" w:cs="宋体"/>
                <w:sz w:val="24"/>
                <w:szCs w:val="24"/>
              </w:rPr>
              <w:t>5</w:t>
            </w:r>
          </w:p>
        </w:tc>
        <w:tc>
          <w:tcPr>
            <w:tcW w:w="976" w:type="dxa"/>
            <w:shd w:val="clear" w:color="auto" w:fill="auto"/>
            <w:vAlign w:val="top"/>
          </w:tcPr>
          <w:p w14:paraId="3A592F13">
            <w:pPr>
              <w:pStyle w:val="22"/>
              <w:spacing w:line="261" w:lineRule="auto"/>
            </w:pPr>
          </w:p>
          <w:p w14:paraId="3AD5FCE4">
            <w:pPr>
              <w:pStyle w:val="22"/>
              <w:spacing w:line="261" w:lineRule="auto"/>
            </w:pPr>
          </w:p>
          <w:p w14:paraId="237728FA">
            <w:pPr>
              <w:spacing w:before="78" w:line="219" w:lineRule="auto"/>
              <w:ind w:left="104"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很高</w:t>
            </w:r>
          </w:p>
        </w:tc>
        <w:tc>
          <w:tcPr>
            <w:tcW w:w="7519" w:type="dxa"/>
            <w:shd w:val="clear" w:color="auto" w:fill="auto"/>
            <w:vAlign w:val="top"/>
          </w:tcPr>
          <w:p w14:paraId="7F389E7F">
            <w:pPr>
              <w:spacing w:before="242" w:line="219" w:lineRule="auto"/>
              <w:ind w:left="125"/>
            </w:pPr>
            <w:r>
              <w:rPr>
                <w:rFonts w:ascii="宋体" w:hAnsi="宋体" w:eastAsia="宋体" w:cs="宋体"/>
                <w:spacing w:val="-7"/>
                <w:sz w:val="24"/>
                <w:szCs w:val="24"/>
              </w:rPr>
              <w:t>出现的频率很高（或≥1</w:t>
            </w:r>
            <w:r>
              <w:rPr>
                <w:rFonts w:ascii="宋体" w:hAnsi="宋体" w:eastAsia="宋体" w:cs="宋体"/>
                <w:spacing w:val="-43"/>
                <w:sz w:val="24"/>
                <w:szCs w:val="24"/>
              </w:rPr>
              <w:t xml:space="preserve"> </w:t>
            </w:r>
            <w:r>
              <w:rPr>
                <w:rFonts w:ascii="宋体" w:hAnsi="宋体" w:eastAsia="宋体" w:cs="宋体"/>
                <w:spacing w:val="-7"/>
                <w:sz w:val="24"/>
                <w:szCs w:val="24"/>
              </w:rPr>
              <w:t>次/周</w:t>
            </w:r>
            <w:r>
              <w:rPr>
                <w:rFonts w:ascii="宋体" w:hAnsi="宋体" w:eastAsia="宋体" w:cs="宋体"/>
                <w:spacing w:val="-61"/>
                <w:w w:val="97"/>
                <w:sz w:val="24"/>
                <w:szCs w:val="24"/>
              </w:rPr>
              <w:t>），</w:t>
            </w:r>
            <w:r>
              <w:rPr>
                <w:rFonts w:ascii="宋体" w:hAnsi="宋体" w:eastAsia="宋体" w:cs="宋体"/>
                <w:spacing w:val="-7"/>
                <w:sz w:val="24"/>
                <w:szCs w:val="24"/>
              </w:rPr>
              <w:t>或在大多数情况下几乎不可避免；或可</w:t>
            </w:r>
          </w:p>
          <w:p w14:paraId="4BD73C9E">
            <w:pPr>
              <w:spacing w:before="78" w:line="220" w:lineRule="auto"/>
              <w:ind w:left="132" w:leftChars="0"/>
              <w:rPr>
                <w:rFonts w:hint="default" w:ascii="宋体" w:hAnsi="宋体" w:eastAsia="宋体" w:cs="宋体"/>
                <w:kern w:val="2"/>
                <w:sz w:val="24"/>
                <w:szCs w:val="24"/>
                <w:lang w:val="en-US" w:eastAsia="zh-CN" w:bidi="ar-SA"/>
              </w:rPr>
            </w:pPr>
            <w:r>
              <w:rPr>
                <w:rFonts w:ascii="宋体" w:hAnsi="宋体" w:eastAsia="宋体" w:cs="宋体"/>
                <w:spacing w:val="-8"/>
                <w:sz w:val="24"/>
                <w:szCs w:val="24"/>
              </w:rPr>
              <w:t>以证实经常发生过。</w:t>
            </w:r>
          </w:p>
        </w:tc>
      </w:tr>
      <w:tr w14:paraId="12E209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6" w:type="dxa"/>
            <w:shd w:val="clear" w:color="auto" w:fill="auto"/>
            <w:vAlign w:val="top"/>
          </w:tcPr>
          <w:p w14:paraId="7C804EA8">
            <w:pPr>
              <w:pStyle w:val="22"/>
              <w:spacing w:line="264" w:lineRule="auto"/>
            </w:pPr>
          </w:p>
          <w:p w14:paraId="0FD4CAF5">
            <w:pPr>
              <w:pStyle w:val="22"/>
              <w:spacing w:line="264" w:lineRule="auto"/>
            </w:pPr>
          </w:p>
          <w:p w14:paraId="49758A8B">
            <w:pPr>
              <w:spacing w:before="78" w:line="241" w:lineRule="auto"/>
              <w:ind w:left="105" w:leftChars="0"/>
              <w:rPr>
                <w:rFonts w:ascii="宋体" w:hAnsi="宋体" w:eastAsia="宋体" w:cs="宋体"/>
                <w:kern w:val="2"/>
                <w:sz w:val="24"/>
                <w:szCs w:val="24"/>
                <w:lang w:val="en-US" w:eastAsia="zh-CN" w:bidi="ar-SA"/>
              </w:rPr>
            </w:pPr>
            <w:r>
              <w:rPr>
                <w:rFonts w:ascii="宋体" w:hAnsi="宋体" w:eastAsia="宋体" w:cs="宋体"/>
                <w:sz w:val="24"/>
                <w:szCs w:val="24"/>
              </w:rPr>
              <w:t>4</w:t>
            </w:r>
          </w:p>
        </w:tc>
        <w:tc>
          <w:tcPr>
            <w:tcW w:w="976" w:type="dxa"/>
            <w:shd w:val="clear" w:color="auto" w:fill="auto"/>
            <w:vAlign w:val="top"/>
          </w:tcPr>
          <w:p w14:paraId="5B0C21B3">
            <w:pPr>
              <w:pStyle w:val="22"/>
              <w:spacing w:line="264" w:lineRule="auto"/>
            </w:pPr>
          </w:p>
          <w:p w14:paraId="41166407">
            <w:pPr>
              <w:pStyle w:val="22"/>
              <w:spacing w:line="264" w:lineRule="auto"/>
            </w:pPr>
          </w:p>
          <w:p w14:paraId="1013B9AB">
            <w:pPr>
              <w:spacing w:before="78" w:line="219" w:lineRule="auto"/>
              <w:ind w:left="109" w:leftChars="0"/>
              <w:rPr>
                <w:rFonts w:ascii="宋体" w:hAnsi="宋体" w:eastAsia="宋体" w:cs="宋体"/>
                <w:kern w:val="2"/>
                <w:sz w:val="24"/>
                <w:szCs w:val="24"/>
                <w:lang w:val="en-US" w:eastAsia="zh-CN" w:bidi="ar-SA"/>
              </w:rPr>
            </w:pPr>
            <w:r>
              <w:rPr>
                <w:rFonts w:ascii="宋体" w:hAnsi="宋体" w:eastAsia="宋体" w:cs="宋体"/>
                <w:sz w:val="24"/>
                <w:szCs w:val="24"/>
              </w:rPr>
              <w:t>高</w:t>
            </w:r>
          </w:p>
        </w:tc>
        <w:tc>
          <w:tcPr>
            <w:tcW w:w="7519" w:type="dxa"/>
            <w:shd w:val="clear" w:color="auto" w:fill="auto"/>
            <w:vAlign w:val="top"/>
          </w:tcPr>
          <w:p w14:paraId="34A3335B">
            <w:pPr>
              <w:spacing w:before="246" w:line="219" w:lineRule="auto"/>
              <w:ind w:left="125"/>
              <w:rPr>
                <w:rFonts w:ascii="宋体" w:hAnsi="宋体" w:eastAsia="宋体" w:cs="宋体"/>
                <w:kern w:val="2"/>
                <w:sz w:val="24"/>
                <w:szCs w:val="24"/>
                <w:lang w:val="en-US" w:eastAsia="zh-CN" w:bidi="ar-SA"/>
              </w:rPr>
            </w:pPr>
            <w:r>
              <w:rPr>
                <w:rFonts w:ascii="宋体" w:hAnsi="宋体" w:eastAsia="宋体" w:cs="宋体"/>
                <w:spacing w:val="-7"/>
                <w:sz w:val="24"/>
                <w:szCs w:val="24"/>
              </w:rPr>
              <w:t>出现的频率较高（或≥1</w:t>
            </w:r>
            <w:r>
              <w:rPr>
                <w:rFonts w:ascii="宋体" w:hAnsi="宋体" w:eastAsia="宋体" w:cs="宋体"/>
                <w:spacing w:val="-46"/>
                <w:sz w:val="24"/>
                <w:szCs w:val="24"/>
              </w:rPr>
              <w:t xml:space="preserve"> </w:t>
            </w:r>
            <w:r>
              <w:rPr>
                <w:rFonts w:ascii="宋体" w:hAnsi="宋体" w:eastAsia="宋体" w:cs="宋体"/>
                <w:spacing w:val="-7"/>
                <w:sz w:val="24"/>
                <w:szCs w:val="24"/>
              </w:rPr>
              <w:t>次/月</w:t>
            </w:r>
            <w:r>
              <w:rPr>
                <w:rFonts w:ascii="宋体" w:hAnsi="宋体" w:eastAsia="宋体" w:cs="宋体"/>
                <w:spacing w:val="-63"/>
                <w:sz w:val="24"/>
                <w:szCs w:val="24"/>
              </w:rPr>
              <w:t>），</w:t>
            </w:r>
            <w:r>
              <w:rPr>
                <w:rFonts w:ascii="宋体" w:hAnsi="宋体" w:eastAsia="宋体" w:cs="宋体"/>
                <w:spacing w:val="-7"/>
                <w:sz w:val="24"/>
                <w:szCs w:val="24"/>
              </w:rPr>
              <w:t>或在大多数情况下很有可能会发生；或</w:t>
            </w:r>
            <w:r>
              <w:rPr>
                <w:rFonts w:ascii="宋体" w:hAnsi="宋体" w:eastAsia="宋体" w:cs="宋体"/>
                <w:spacing w:val="-5"/>
                <w:sz w:val="24"/>
                <w:szCs w:val="24"/>
              </w:rPr>
              <w:t>可以证实多次发生过。</w:t>
            </w:r>
          </w:p>
        </w:tc>
      </w:tr>
      <w:tr w14:paraId="6C3C9F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CA622E1">
            <w:pPr>
              <w:pStyle w:val="22"/>
              <w:spacing w:line="263" w:lineRule="auto"/>
            </w:pPr>
          </w:p>
          <w:p w14:paraId="47CE18E8">
            <w:pPr>
              <w:pStyle w:val="22"/>
              <w:spacing w:line="264" w:lineRule="auto"/>
            </w:pPr>
          </w:p>
          <w:p w14:paraId="10F8773D">
            <w:pPr>
              <w:spacing w:before="78"/>
              <w:ind w:left="111" w:leftChars="0"/>
              <w:rPr>
                <w:rFonts w:ascii="宋体" w:hAnsi="宋体" w:eastAsia="宋体" w:cs="宋体"/>
                <w:kern w:val="2"/>
                <w:sz w:val="24"/>
                <w:szCs w:val="24"/>
                <w:lang w:val="en-US" w:eastAsia="zh-CN" w:bidi="ar-SA"/>
              </w:rPr>
            </w:pPr>
            <w:r>
              <w:rPr>
                <w:rFonts w:ascii="宋体" w:hAnsi="宋体" w:eastAsia="宋体" w:cs="宋体"/>
                <w:sz w:val="24"/>
                <w:szCs w:val="24"/>
              </w:rPr>
              <w:t>3</w:t>
            </w:r>
          </w:p>
        </w:tc>
        <w:tc>
          <w:tcPr>
            <w:tcW w:w="976" w:type="dxa"/>
            <w:shd w:val="clear" w:color="auto" w:fill="auto"/>
            <w:vAlign w:val="top"/>
          </w:tcPr>
          <w:p w14:paraId="2478AFDE">
            <w:pPr>
              <w:pStyle w:val="22"/>
              <w:spacing w:line="263" w:lineRule="auto"/>
            </w:pPr>
          </w:p>
          <w:p w14:paraId="16937C4E">
            <w:pPr>
              <w:pStyle w:val="22"/>
              <w:spacing w:line="264" w:lineRule="auto"/>
            </w:pPr>
          </w:p>
          <w:p w14:paraId="67659FDB">
            <w:pPr>
              <w:spacing w:before="78" w:line="220" w:lineRule="auto"/>
              <w:ind w:left="125" w:leftChars="0"/>
              <w:rPr>
                <w:rFonts w:ascii="宋体" w:hAnsi="宋体" w:eastAsia="宋体" w:cs="宋体"/>
                <w:kern w:val="2"/>
                <w:sz w:val="24"/>
                <w:szCs w:val="24"/>
                <w:lang w:val="en-US" w:eastAsia="zh-CN" w:bidi="ar-SA"/>
              </w:rPr>
            </w:pPr>
            <w:r>
              <w:rPr>
                <w:rFonts w:ascii="宋体" w:hAnsi="宋体" w:eastAsia="宋体" w:cs="宋体"/>
                <w:sz w:val="24"/>
                <w:szCs w:val="24"/>
              </w:rPr>
              <w:t>中</w:t>
            </w:r>
          </w:p>
        </w:tc>
        <w:tc>
          <w:tcPr>
            <w:tcW w:w="7519" w:type="dxa"/>
            <w:shd w:val="clear" w:color="auto" w:fill="auto"/>
            <w:vAlign w:val="top"/>
          </w:tcPr>
          <w:p w14:paraId="721D8463">
            <w:pPr>
              <w:spacing w:before="246" w:line="219" w:lineRule="auto"/>
              <w:ind w:left="125"/>
              <w:rPr>
                <w:rFonts w:ascii="宋体" w:hAnsi="宋体" w:eastAsia="宋体" w:cs="宋体"/>
                <w:kern w:val="2"/>
                <w:sz w:val="24"/>
                <w:szCs w:val="24"/>
                <w:lang w:val="en-US" w:eastAsia="zh-CN" w:bidi="ar-SA"/>
              </w:rPr>
            </w:pPr>
            <w:r>
              <w:rPr>
                <w:rFonts w:ascii="宋体" w:hAnsi="宋体" w:eastAsia="宋体" w:cs="宋体"/>
                <w:spacing w:val="-4"/>
                <w:sz w:val="24"/>
                <w:szCs w:val="24"/>
              </w:rPr>
              <w:t>出现的频率中等（或&gt;1</w:t>
            </w:r>
            <w:r>
              <w:rPr>
                <w:rFonts w:ascii="宋体" w:hAnsi="宋体" w:eastAsia="宋体" w:cs="宋体"/>
                <w:spacing w:val="-46"/>
                <w:sz w:val="24"/>
                <w:szCs w:val="24"/>
              </w:rPr>
              <w:t xml:space="preserve"> </w:t>
            </w:r>
            <w:r>
              <w:rPr>
                <w:rFonts w:ascii="宋体" w:hAnsi="宋体" w:eastAsia="宋体" w:cs="宋体"/>
                <w:spacing w:val="-4"/>
                <w:sz w:val="24"/>
                <w:szCs w:val="24"/>
              </w:rPr>
              <w:t>次/半年</w:t>
            </w:r>
            <w:r>
              <w:rPr>
                <w:rFonts w:ascii="宋体" w:hAnsi="宋体" w:eastAsia="宋体" w:cs="宋体"/>
                <w:spacing w:val="-53"/>
                <w:sz w:val="24"/>
                <w:szCs w:val="24"/>
              </w:rPr>
              <w:t>）；</w:t>
            </w:r>
            <w:r>
              <w:rPr>
                <w:rFonts w:ascii="宋体" w:hAnsi="宋体" w:eastAsia="宋体" w:cs="宋体"/>
                <w:spacing w:val="-4"/>
                <w:sz w:val="24"/>
                <w:szCs w:val="24"/>
              </w:rPr>
              <w:t>或在某种情况下可能会发生；或被证</w:t>
            </w:r>
            <w:r>
              <w:rPr>
                <w:rFonts w:ascii="宋体" w:hAnsi="宋体" w:eastAsia="宋体" w:cs="宋体"/>
                <w:spacing w:val="-6"/>
                <w:sz w:val="24"/>
                <w:szCs w:val="24"/>
              </w:rPr>
              <w:t>实曾经发生过。</w:t>
            </w:r>
          </w:p>
        </w:tc>
      </w:tr>
      <w:tr w14:paraId="510151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A539EAC">
            <w:pPr>
              <w:spacing w:before="257" w:line="241" w:lineRule="auto"/>
              <w:ind w:left="109" w:leftChars="0"/>
              <w:rPr>
                <w:rFonts w:ascii="宋体" w:hAnsi="宋体" w:eastAsia="宋体" w:cs="宋体"/>
                <w:kern w:val="2"/>
                <w:sz w:val="24"/>
                <w:szCs w:val="24"/>
                <w:lang w:val="en-US" w:eastAsia="zh-CN" w:bidi="ar-SA"/>
              </w:rPr>
            </w:pPr>
            <w:r>
              <w:rPr>
                <w:rFonts w:ascii="宋体" w:hAnsi="宋体" w:eastAsia="宋体" w:cs="宋体"/>
                <w:sz w:val="24"/>
                <w:szCs w:val="24"/>
              </w:rPr>
              <w:t>2</w:t>
            </w:r>
          </w:p>
        </w:tc>
        <w:tc>
          <w:tcPr>
            <w:tcW w:w="976" w:type="dxa"/>
            <w:shd w:val="clear" w:color="auto" w:fill="auto"/>
            <w:vAlign w:val="top"/>
          </w:tcPr>
          <w:p w14:paraId="188AFC85">
            <w:pPr>
              <w:spacing w:before="257" w:line="221" w:lineRule="auto"/>
              <w:ind w:left="102" w:leftChars="0"/>
              <w:rPr>
                <w:rFonts w:ascii="宋体" w:hAnsi="宋体" w:eastAsia="宋体" w:cs="宋体"/>
                <w:kern w:val="2"/>
                <w:sz w:val="24"/>
                <w:szCs w:val="24"/>
                <w:lang w:val="en-US" w:eastAsia="zh-CN" w:bidi="ar-SA"/>
              </w:rPr>
            </w:pPr>
            <w:r>
              <w:rPr>
                <w:rFonts w:ascii="宋体" w:hAnsi="宋体" w:eastAsia="宋体" w:cs="宋体"/>
                <w:sz w:val="24"/>
                <w:szCs w:val="24"/>
              </w:rPr>
              <w:t>低</w:t>
            </w:r>
          </w:p>
        </w:tc>
        <w:tc>
          <w:tcPr>
            <w:tcW w:w="7519" w:type="dxa"/>
            <w:shd w:val="clear" w:color="auto" w:fill="auto"/>
            <w:vAlign w:val="top"/>
          </w:tcPr>
          <w:p w14:paraId="68EB9CA9">
            <w:pPr>
              <w:spacing w:before="258" w:line="219" w:lineRule="auto"/>
              <w:rPr>
                <w:rFonts w:ascii="宋体" w:hAnsi="宋体" w:eastAsia="宋体" w:cs="宋体"/>
                <w:kern w:val="2"/>
                <w:sz w:val="24"/>
                <w:szCs w:val="24"/>
                <w:lang w:val="en-US" w:eastAsia="zh-CN" w:bidi="ar-SA"/>
              </w:rPr>
            </w:pPr>
            <w:r>
              <w:rPr>
                <w:rFonts w:ascii="宋体" w:hAnsi="宋体" w:eastAsia="宋体" w:cs="宋体"/>
                <w:spacing w:val="-5"/>
                <w:sz w:val="24"/>
                <w:szCs w:val="24"/>
              </w:rPr>
              <w:t>出现的频率较小，或一般不太可能发生；或没有被证实发生过。</w:t>
            </w:r>
          </w:p>
        </w:tc>
      </w:tr>
      <w:tr w14:paraId="447B8A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10E76C">
            <w:pPr>
              <w:spacing w:before="261" w:line="241" w:lineRule="auto"/>
              <w:ind w:left="124" w:leftChars="0"/>
              <w:rPr>
                <w:rFonts w:ascii="宋体" w:hAnsi="宋体" w:eastAsia="宋体" w:cs="宋体"/>
                <w:kern w:val="2"/>
                <w:sz w:val="24"/>
                <w:szCs w:val="24"/>
                <w:lang w:val="en-US" w:eastAsia="zh-CN" w:bidi="ar-SA"/>
              </w:rPr>
            </w:pPr>
            <w:r>
              <w:rPr>
                <w:rFonts w:ascii="宋体" w:hAnsi="宋体" w:eastAsia="宋体" w:cs="宋体"/>
                <w:sz w:val="24"/>
                <w:szCs w:val="24"/>
              </w:rPr>
              <w:t>1</w:t>
            </w:r>
          </w:p>
        </w:tc>
        <w:tc>
          <w:tcPr>
            <w:tcW w:w="976" w:type="dxa"/>
            <w:shd w:val="clear" w:color="auto" w:fill="auto"/>
            <w:vAlign w:val="top"/>
          </w:tcPr>
          <w:p w14:paraId="0EC6904E">
            <w:pPr>
              <w:spacing w:before="261" w:line="220" w:lineRule="auto"/>
              <w:ind w:left="104" w:leftChars="0"/>
              <w:rPr>
                <w:rFonts w:ascii="宋体" w:hAnsi="宋体" w:eastAsia="宋体" w:cs="宋体"/>
                <w:kern w:val="2"/>
                <w:sz w:val="24"/>
                <w:szCs w:val="24"/>
                <w:lang w:val="en-US" w:eastAsia="zh-CN" w:bidi="ar-SA"/>
              </w:rPr>
            </w:pPr>
            <w:r>
              <w:rPr>
                <w:rFonts w:ascii="宋体" w:hAnsi="宋体" w:eastAsia="宋体" w:cs="宋体"/>
                <w:spacing w:val="-6"/>
                <w:sz w:val="24"/>
                <w:szCs w:val="24"/>
              </w:rPr>
              <w:t>很低</w:t>
            </w:r>
          </w:p>
        </w:tc>
        <w:tc>
          <w:tcPr>
            <w:tcW w:w="7519" w:type="dxa"/>
            <w:shd w:val="clear" w:color="auto" w:fill="auto"/>
            <w:vAlign w:val="top"/>
          </w:tcPr>
          <w:p w14:paraId="525D9BE3">
            <w:pPr>
              <w:spacing w:before="261" w:line="219" w:lineRule="auto"/>
              <w:rPr>
                <w:rFonts w:ascii="宋体" w:hAnsi="宋体" w:eastAsia="宋体" w:cs="宋体"/>
                <w:kern w:val="2"/>
                <w:sz w:val="24"/>
                <w:szCs w:val="24"/>
                <w:lang w:val="en-US" w:eastAsia="zh-CN" w:bidi="ar-SA"/>
              </w:rPr>
            </w:pPr>
            <w:r>
              <w:rPr>
                <w:rFonts w:ascii="宋体" w:hAnsi="宋体" w:eastAsia="宋体" w:cs="宋体"/>
                <w:spacing w:val="-4"/>
                <w:sz w:val="24"/>
                <w:szCs w:val="24"/>
              </w:rPr>
              <w:t>威胁几乎不可能发生，仅可能在非常罕见和例外的</w:t>
            </w:r>
            <w:r>
              <w:rPr>
                <w:rFonts w:ascii="宋体" w:hAnsi="宋体" w:eastAsia="宋体" w:cs="宋体"/>
                <w:spacing w:val="-5"/>
                <w:sz w:val="24"/>
                <w:szCs w:val="24"/>
              </w:rPr>
              <w:t>情况下发生。</w:t>
            </w:r>
          </w:p>
        </w:tc>
      </w:tr>
    </w:tbl>
    <w:p w14:paraId="48EFBCC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p>
    <w:p w14:paraId="0365859D">
      <w:pPr>
        <w:keepNext w:val="0"/>
        <w:keepLines w:val="0"/>
        <w:pageBreakBefore w:val="0"/>
        <w:widowControl w:val="0"/>
        <w:kinsoku/>
        <w:wordWrap/>
        <w:overflowPunct/>
        <w:topLinePunct w:val="0"/>
        <w:autoSpaceDE/>
        <w:autoSpaceDN/>
        <w:bidi w:val="0"/>
        <w:adjustRightInd/>
        <w:snapToGrid/>
        <w:spacing w:line="360" w:lineRule="auto"/>
        <w:ind w:firstLine="3403" w:firstLineChars="1418"/>
        <w:jc w:val="left"/>
        <w:textAlignment w:val="auto"/>
        <w:rPr>
          <w:rFonts w:hint="default"/>
          <w:sz w:val="24"/>
          <w:lang w:val="en-US" w:eastAsia="zh-CN"/>
        </w:rPr>
      </w:pPr>
      <w:r>
        <w:rPr>
          <w:rFonts w:hint="default"/>
          <w:sz w:val="24"/>
          <w:lang w:val="en-US" w:eastAsia="zh-CN"/>
        </w:rPr>
        <w:t>威胁赋值表</w:t>
      </w:r>
    </w:p>
    <w:p w14:paraId="03BD896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p>
    <w:p w14:paraId="21C448C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阶段成果：在本阶段结束后本公司信息安全管理委员会应根据组织的重要信息资产、环境等因素，形成威胁的分类方法及具体的威胁列表，并向信息系统所有者提供《威胁列表》，为风险评估提供支持（可附在风险评估程序中，也可单独形成文件）。 《威胁列表》通常包括威胁名称、种类、来源、动机及出现的频率等，须由信息系统所有者书面确认。</w:t>
      </w:r>
    </w:p>
    <w:p w14:paraId="7238401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威胁识别阶段小结：</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39"/>
        <w:gridCol w:w="4883"/>
      </w:tblGrid>
      <w:tr w14:paraId="7B4B2E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auto"/>
            <w:vAlign w:val="top"/>
          </w:tcPr>
          <w:p w14:paraId="14D484F5">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ascii="宋体" w:hAnsi="宋体" w:eastAsia="宋体" w:cs="宋体"/>
                <w:spacing w:val="-5"/>
                <w:sz w:val="24"/>
                <w:szCs w:val="24"/>
              </w:rPr>
              <w:t>威胁识别阶段</w:t>
            </w:r>
          </w:p>
        </w:tc>
      </w:tr>
      <w:tr w14:paraId="186CD4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vAlign w:val="top"/>
          </w:tcPr>
          <w:p w14:paraId="1EA33C7D">
            <w:pPr>
              <w:spacing w:before="78" w:line="219" w:lineRule="auto"/>
              <w:rPr>
                <w:rFonts w:hint="default" w:ascii="宋体" w:hAnsi="宋体" w:eastAsia="宋体" w:cs="宋体"/>
                <w:kern w:val="2"/>
                <w:sz w:val="24"/>
                <w:szCs w:val="24"/>
                <w:lang w:val="en-US" w:eastAsia="zh-CN" w:bidi="ar-SA"/>
              </w:rPr>
            </w:pPr>
            <w:r>
              <w:rPr>
                <w:rFonts w:ascii="宋体" w:hAnsi="宋体" w:eastAsia="宋体" w:cs="宋体"/>
                <w:spacing w:val="-5"/>
                <w:sz w:val="24"/>
                <w:szCs w:val="24"/>
              </w:rPr>
              <w:t>工作任务</w:t>
            </w:r>
          </w:p>
        </w:tc>
        <w:tc>
          <w:tcPr>
            <w:tcW w:w="4261" w:type="dxa"/>
            <w:shd w:val="clear" w:color="auto" w:fill="auto"/>
            <w:vAlign w:val="top"/>
          </w:tcPr>
          <w:p w14:paraId="685C84EF">
            <w:pPr>
              <w:spacing w:before="245" w:line="219" w:lineRule="auto"/>
              <w:jc w:val="both"/>
              <w:rPr>
                <w:rFonts w:hint="default" w:ascii="宋体" w:hAnsi="宋体" w:eastAsia="宋体" w:cs="宋体"/>
                <w:kern w:val="2"/>
                <w:sz w:val="24"/>
                <w:szCs w:val="24"/>
                <w:lang w:val="en-US" w:eastAsia="zh-CN" w:bidi="ar-SA"/>
              </w:rPr>
            </w:pPr>
            <w:r>
              <w:rPr>
                <w:rFonts w:ascii="宋体" w:hAnsi="宋体" w:eastAsia="宋体" w:cs="宋体"/>
                <w:spacing w:val="-7"/>
                <w:sz w:val="24"/>
                <w:szCs w:val="24"/>
              </w:rPr>
              <w:t>对信息系统所有者需要保护的每一项重要信息资产进行威胁识别；</w:t>
            </w:r>
            <w:r>
              <w:rPr>
                <w:rFonts w:ascii="宋体" w:hAnsi="宋体" w:eastAsia="宋体" w:cs="宋体"/>
                <w:spacing w:val="-5"/>
                <w:sz w:val="24"/>
                <w:szCs w:val="24"/>
              </w:rPr>
              <w:t>判断威胁发生的频率或者发生的概率，进行威胁赋值。</w:t>
            </w:r>
          </w:p>
        </w:tc>
      </w:tr>
      <w:tr w14:paraId="720560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vAlign w:val="top"/>
          </w:tcPr>
          <w:p w14:paraId="638855B5">
            <w:pPr>
              <w:spacing w:before="245" w:line="220" w:lineRule="auto"/>
              <w:ind w:left="119" w:leftChars="0"/>
              <w:rPr>
                <w:rFonts w:ascii="宋体" w:hAnsi="宋体" w:eastAsia="宋体" w:cs="宋体"/>
                <w:kern w:val="2"/>
                <w:sz w:val="24"/>
                <w:szCs w:val="24"/>
                <w:lang w:val="en-US" w:eastAsia="zh-CN" w:bidi="ar-SA"/>
              </w:rPr>
            </w:pPr>
            <w:r>
              <w:rPr>
                <w:rFonts w:ascii="宋体" w:hAnsi="宋体" w:eastAsia="宋体" w:cs="宋体"/>
                <w:spacing w:val="-5"/>
                <w:sz w:val="24"/>
                <w:szCs w:val="24"/>
              </w:rPr>
              <w:t>工作方式</w:t>
            </w:r>
          </w:p>
        </w:tc>
        <w:tc>
          <w:tcPr>
            <w:tcW w:w="4261" w:type="dxa"/>
            <w:shd w:val="clear" w:color="auto" w:fill="auto"/>
            <w:vAlign w:val="top"/>
          </w:tcPr>
          <w:p w14:paraId="57C1B46F">
            <w:pPr>
              <w:spacing w:before="245" w:line="221" w:lineRule="auto"/>
              <w:rPr>
                <w:rFonts w:ascii="宋体" w:hAnsi="宋体" w:eastAsia="宋体" w:cs="宋体"/>
                <w:kern w:val="2"/>
                <w:sz w:val="24"/>
                <w:szCs w:val="24"/>
                <w:lang w:val="en-US" w:eastAsia="zh-CN" w:bidi="ar-SA"/>
              </w:rPr>
            </w:pPr>
            <w:r>
              <w:rPr>
                <w:rFonts w:ascii="宋体" w:hAnsi="宋体" w:eastAsia="宋体" w:cs="宋体"/>
                <w:spacing w:val="-8"/>
                <w:sz w:val="24"/>
                <w:szCs w:val="24"/>
              </w:rPr>
              <w:t>问卷调查、人员问询</w:t>
            </w:r>
          </w:p>
        </w:tc>
      </w:tr>
      <w:tr w14:paraId="7E9094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950B65F">
            <w:pPr>
              <w:spacing w:before="247" w:line="221" w:lineRule="auto"/>
              <w:ind w:left="118" w:leftChars="0"/>
              <w:rPr>
                <w:rFonts w:ascii="宋体" w:hAnsi="宋体" w:eastAsia="宋体" w:cs="宋体"/>
                <w:kern w:val="2"/>
                <w:sz w:val="24"/>
                <w:szCs w:val="24"/>
                <w:lang w:val="en-US" w:eastAsia="zh-CN" w:bidi="ar-SA"/>
              </w:rPr>
            </w:pPr>
            <w:r>
              <w:rPr>
                <w:rFonts w:ascii="宋体" w:hAnsi="宋体" w:eastAsia="宋体" w:cs="宋体"/>
                <w:spacing w:val="-5"/>
                <w:sz w:val="24"/>
                <w:szCs w:val="24"/>
              </w:rPr>
              <w:t>参与人员</w:t>
            </w:r>
          </w:p>
        </w:tc>
        <w:tc>
          <w:tcPr>
            <w:tcW w:w="0" w:type="auto"/>
            <w:shd w:val="clear" w:color="auto" w:fill="auto"/>
            <w:vAlign w:val="top"/>
          </w:tcPr>
          <w:p w14:paraId="05EA2313">
            <w:pPr>
              <w:spacing w:before="248" w:line="218" w:lineRule="auto"/>
              <w:rPr>
                <w:rFonts w:ascii="宋体" w:hAnsi="宋体" w:eastAsia="宋体" w:cs="宋体"/>
                <w:kern w:val="2"/>
                <w:sz w:val="24"/>
                <w:szCs w:val="24"/>
                <w:lang w:val="en-US" w:eastAsia="zh-CN" w:bidi="ar-SA"/>
              </w:rPr>
            </w:pPr>
            <w:r>
              <w:rPr>
                <w:rFonts w:ascii="宋体" w:hAnsi="宋体" w:eastAsia="宋体" w:cs="宋体"/>
                <w:spacing w:val="-5"/>
                <w:sz w:val="24"/>
                <w:szCs w:val="24"/>
              </w:rPr>
              <w:t>信息系统所有者项目负责人及相关技术人员，评估小组</w:t>
            </w:r>
          </w:p>
        </w:tc>
      </w:tr>
      <w:tr w14:paraId="6C5455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7CC005B">
            <w:pPr>
              <w:spacing w:before="247" w:line="220" w:lineRule="auto"/>
              <w:ind w:left="127" w:leftChars="0"/>
              <w:rPr>
                <w:rFonts w:ascii="宋体" w:hAnsi="宋体" w:eastAsia="宋体" w:cs="宋体"/>
                <w:kern w:val="2"/>
                <w:sz w:val="24"/>
                <w:szCs w:val="24"/>
                <w:lang w:val="en-US" w:eastAsia="zh-CN" w:bidi="ar-SA"/>
              </w:rPr>
            </w:pPr>
            <w:r>
              <w:rPr>
                <w:rFonts w:ascii="宋体" w:hAnsi="宋体" w:eastAsia="宋体" w:cs="宋体"/>
                <w:spacing w:val="-7"/>
                <w:sz w:val="24"/>
                <w:szCs w:val="24"/>
              </w:rPr>
              <w:t>阶段成果</w:t>
            </w:r>
          </w:p>
        </w:tc>
        <w:tc>
          <w:tcPr>
            <w:tcW w:w="0" w:type="auto"/>
            <w:shd w:val="clear" w:color="auto" w:fill="auto"/>
            <w:vAlign w:val="top"/>
          </w:tcPr>
          <w:p w14:paraId="28D44743">
            <w:pPr>
              <w:spacing w:before="247" w:line="218" w:lineRule="auto"/>
              <w:rPr>
                <w:rFonts w:ascii="宋体" w:hAnsi="宋体" w:eastAsia="宋体" w:cs="宋体"/>
                <w:kern w:val="2"/>
                <w:sz w:val="24"/>
                <w:szCs w:val="24"/>
                <w:lang w:val="en-US" w:eastAsia="zh-CN" w:bidi="ar-SA"/>
              </w:rPr>
            </w:pPr>
            <w:r>
              <w:rPr>
                <w:rFonts w:ascii="宋体" w:hAnsi="宋体" w:eastAsia="宋体" w:cs="宋体"/>
                <w:spacing w:val="-5"/>
                <w:sz w:val="24"/>
                <w:szCs w:val="24"/>
              </w:rPr>
              <w:t>《信息安全风险评估表》中的威胁识别部分</w:t>
            </w:r>
          </w:p>
        </w:tc>
      </w:tr>
    </w:tbl>
    <w:p w14:paraId="38F26AAE">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1F9F2041">
      <w:pPr>
        <w:pStyle w:val="4"/>
        <w:bidi w:val="0"/>
        <w:rPr>
          <w:rFonts w:hint="default"/>
          <w:lang w:val="en-US" w:eastAsia="zh-CN"/>
        </w:rPr>
      </w:pPr>
      <w:bookmarkStart w:id="12" w:name="_Toc6077"/>
      <w:r>
        <w:rPr>
          <w:rFonts w:hint="default"/>
          <w:lang w:val="en-US" w:eastAsia="zh-CN"/>
        </w:rPr>
        <w:t>3.4.4 脆弱性识别</w:t>
      </w:r>
      <w:bookmarkEnd w:id="12"/>
    </w:p>
    <w:p w14:paraId="56CE291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脆弱性是对一个或多个资产弱点的总称。脆弱性识别也称为弱点识别，是风险评估中重要的内容。弱点是资产本身固有的缺陷，任何一种资产均具有脆弱性，并非“不合格”品，它可以被威胁利用、引起资产或商业目标的损害。弱点包括物理环境、组织、过程、人员、管理、配置、硬件、软件和信息等各种资产的脆弱性。</w:t>
      </w:r>
    </w:p>
    <w:p w14:paraId="7F8E7E8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值得注意的是，弱点虽然是资产本身固有的，但它本身不会造成损失，它只是一种条件或环境、可能导致被威胁利用而造成资产损失。所以如果没有相应的威胁发生，单纯的弱点并不会对资产造成损害。那些没有安全威胁的弱点可以不需要实施安全保护措施，但它们必须记录下来以确保当环境、条件有所变化时能随之加以改变。需要注意的是不正确的、起不到应有作用的或没有正确实施的安全保护措施本身就可能是一个安全薄弱环节。</w:t>
      </w:r>
    </w:p>
    <w:p w14:paraId="60D7207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脆弱性识别将针对每一项需要保护的信息资产，找出每一种威胁所能利用的脆弱性，并对脆弱性的严重程度进行评估，即对脆弱性被威胁利用的可能性进行评估，最终为其赋相应等级值。在进行脆弱性评估时，提供的数据应该来自于这些资产的拥有者或使用者，来自于相关业务领域的专家以及软硬件信息系统方面的专业人员。</w:t>
      </w:r>
    </w:p>
    <w:p w14:paraId="109967A4">
      <w:pPr>
        <w:pStyle w:val="5"/>
        <w:bidi w:val="0"/>
        <w:rPr>
          <w:rFonts w:hint="default"/>
          <w:lang w:val="en-US" w:eastAsia="zh-CN"/>
        </w:rPr>
      </w:pPr>
      <w:r>
        <w:rPr>
          <w:rFonts w:hint="default"/>
          <w:lang w:val="en-US" w:eastAsia="zh-CN"/>
        </w:rPr>
        <w:t>3.4.4.1脆弱性识别内容</w:t>
      </w:r>
    </w:p>
    <w:p w14:paraId="25FE96D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脆弱性的识别可以以资产为核心，即根据每个资产分别识别其存在的弱点，然后综合评价该资产的脆弱性；也可以分物理、网络、系统、应用等层次进行识别，然后与资产、威胁结合起来。</w:t>
      </w:r>
    </w:p>
    <w:p w14:paraId="6DB1C7F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脆弱性主要从技术和管理两个方面进行评估，涉及物理层、网络层、系统层、应用层、管理层等各个层面的安全问题。表 3.12 列出了脆弱性的分类。</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8"/>
        <w:gridCol w:w="870"/>
        <w:gridCol w:w="6914"/>
      </w:tblGrid>
      <w:tr w14:paraId="5B0E7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shd w:val="clear" w:color="auto" w:fill="auto"/>
            <w:vAlign w:val="top"/>
          </w:tcPr>
          <w:p w14:paraId="099CD9B7">
            <w:pPr>
              <w:spacing w:before="246" w:line="219" w:lineRule="auto"/>
              <w:ind w:left="116"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脆弱性分类</w:t>
            </w:r>
          </w:p>
        </w:tc>
        <w:tc>
          <w:tcPr>
            <w:tcW w:w="1025" w:type="dxa"/>
            <w:shd w:val="clear" w:color="auto" w:fill="auto"/>
            <w:vAlign w:val="top"/>
          </w:tcPr>
          <w:p w14:paraId="0F4FDD81">
            <w:pPr>
              <w:spacing w:before="247" w:line="221" w:lineRule="auto"/>
              <w:ind w:left="116" w:leftChars="0"/>
              <w:rPr>
                <w:rFonts w:hint="default" w:ascii="宋体" w:hAnsi="宋体" w:eastAsia="宋体" w:cs="宋体"/>
                <w:kern w:val="2"/>
                <w:sz w:val="24"/>
                <w:szCs w:val="24"/>
                <w:lang w:val="en-US" w:eastAsia="zh-CN" w:bidi="ar-SA"/>
              </w:rPr>
            </w:pPr>
            <w:r>
              <w:rPr>
                <w:rFonts w:ascii="宋体" w:hAnsi="宋体" w:eastAsia="宋体" w:cs="宋体"/>
                <w:spacing w:val="-7"/>
                <w:sz w:val="24"/>
                <w:szCs w:val="24"/>
              </w:rPr>
              <w:t>名称</w:t>
            </w:r>
          </w:p>
        </w:tc>
        <w:tc>
          <w:tcPr>
            <w:tcW w:w="6632" w:type="dxa"/>
            <w:shd w:val="clear" w:color="auto" w:fill="auto"/>
            <w:vAlign w:val="top"/>
          </w:tcPr>
          <w:p w14:paraId="3E042526">
            <w:pPr>
              <w:spacing w:before="247" w:line="219" w:lineRule="auto"/>
              <w:ind w:left="113"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包含内容</w:t>
            </w:r>
          </w:p>
        </w:tc>
      </w:tr>
      <w:tr w14:paraId="058E09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vMerge w:val="restart"/>
          </w:tcPr>
          <w:p w14:paraId="5B55D60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p>
          <w:p w14:paraId="14D85D2B">
            <w:pPr>
              <w:bidi w:val="0"/>
              <w:rPr>
                <w:rFonts w:hint="default" w:ascii="Times New Roman" w:hAnsi="Times New Roman" w:eastAsia="宋体" w:cs="Times New Roman"/>
                <w:kern w:val="2"/>
                <w:sz w:val="21"/>
                <w:szCs w:val="24"/>
                <w:lang w:val="en-US" w:eastAsia="zh-CN" w:bidi="ar-SA"/>
              </w:rPr>
            </w:pPr>
          </w:p>
          <w:p w14:paraId="41160F56">
            <w:pPr>
              <w:bidi w:val="0"/>
              <w:rPr>
                <w:rFonts w:hint="default"/>
                <w:lang w:val="en-US" w:eastAsia="zh-CN"/>
              </w:rPr>
            </w:pPr>
          </w:p>
          <w:p w14:paraId="18A2AD83">
            <w:pPr>
              <w:bidi w:val="0"/>
              <w:rPr>
                <w:rFonts w:hint="default"/>
                <w:lang w:val="en-US" w:eastAsia="zh-CN"/>
              </w:rPr>
            </w:pPr>
          </w:p>
          <w:p w14:paraId="6A8BF55D">
            <w:pPr>
              <w:bidi w:val="0"/>
              <w:rPr>
                <w:rFonts w:hint="default"/>
                <w:lang w:val="en-US" w:eastAsia="zh-CN"/>
              </w:rPr>
            </w:pPr>
          </w:p>
          <w:p w14:paraId="250D237F">
            <w:pPr>
              <w:bidi w:val="0"/>
              <w:rPr>
                <w:rFonts w:hint="default"/>
                <w:lang w:val="en-US" w:eastAsia="zh-CN"/>
              </w:rPr>
            </w:pPr>
          </w:p>
          <w:p w14:paraId="4E0323D5">
            <w:pPr>
              <w:bidi w:val="0"/>
              <w:jc w:val="left"/>
              <w:rPr>
                <w:rFonts w:hint="default" w:eastAsia="宋体"/>
                <w:lang w:val="en-US" w:eastAsia="zh-CN"/>
              </w:rPr>
            </w:pPr>
            <w:r>
              <w:rPr>
                <w:rFonts w:hint="eastAsia"/>
                <w:lang w:val="en-US" w:eastAsia="zh-CN"/>
              </w:rPr>
              <w:t>技术和操作脆弱性</w:t>
            </w:r>
          </w:p>
        </w:tc>
        <w:tc>
          <w:tcPr>
            <w:tcW w:w="1025" w:type="dxa"/>
            <w:shd w:val="clear" w:color="auto" w:fill="auto"/>
            <w:vAlign w:val="top"/>
          </w:tcPr>
          <w:p w14:paraId="3F6212EB">
            <w:pPr>
              <w:spacing w:before="78" w:line="220" w:lineRule="auto"/>
              <w:rPr>
                <w:rFonts w:hint="default" w:ascii="宋体" w:hAnsi="宋体" w:eastAsia="宋体" w:cs="宋体"/>
                <w:kern w:val="2"/>
                <w:sz w:val="24"/>
                <w:szCs w:val="24"/>
                <w:lang w:val="en-US" w:eastAsia="zh-CN" w:bidi="ar-SA"/>
              </w:rPr>
            </w:pPr>
            <w:r>
              <w:rPr>
                <w:rFonts w:ascii="宋体" w:hAnsi="宋体" w:eastAsia="宋体" w:cs="宋体"/>
                <w:spacing w:val="-5"/>
                <w:sz w:val="24"/>
                <w:szCs w:val="24"/>
              </w:rPr>
              <w:t>物理环境</w:t>
            </w:r>
          </w:p>
        </w:tc>
        <w:tc>
          <w:tcPr>
            <w:tcW w:w="6632" w:type="dxa"/>
            <w:shd w:val="clear" w:color="auto" w:fill="auto"/>
            <w:vAlign w:val="top"/>
          </w:tcPr>
          <w:p w14:paraId="048214D0">
            <w:pPr>
              <w:spacing w:before="242" w:line="219" w:lineRule="auto"/>
              <w:rPr>
                <w:rFonts w:hint="default" w:ascii="宋体" w:hAnsi="宋体" w:eastAsia="宋体" w:cs="宋体"/>
                <w:kern w:val="2"/>
                <w:sz w:val="24"/>
                <w:szCs w:val="24"/>
                <w:lang w:val="en-US" w:eastAsia="zh-CN" w:bidi="ar-SA"/>
              </w:rPr>
            </w:pPr>
            <w:r>
              <w:rPr>
                <w:rFonts w:ascii="宋体" w:hAnsi="宋体" w:eastAsia="宋体" w:cs="宋体"/>
                <w:spacing w:val="-2"/>
                <w:sz w:val="24"/>
                <w:szCs w:val="24"/>
              </w:rPr>
              <w:t>从机房场地、机房防火、机房供配电、机房防静电、机房接地与防雷、电磁防护、通信线路的保护、机房区域防护、机房设</w:t>
            </w:r>
            <w:r>
              <w:rPr>
                <w:rFonts w:ascii="宋体" w:hAnsi="宋体" w:eastAsia="宋体" w:cs="宋体"/>
                <w:spacing w:val="-5"/>
                <w:sz w:val="24"/>
                <w:szCs w:val="24"/>
              </w:rPr>
              <w:t>备管理等方面进行识别。</w:t>
            </w:r>
          </w:p>
        </w:tc>
      </w:tr>
      <w:tr w14:paraId="05D085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vMerge w:val="continue"/>
          </w:tcPr>
          <w:p w14:paraId="00C0C73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p>
        </w:tc>
        <w:tc>
          <w:tcPr>
            <w:tcW w:w="1025" w:type="dxa"/>
            <w:shd w:val="clear" w:color="auto" w:fill="auto"/>
            <w:vAlign w:val="top"/>
          </w:tcPr>
          <w:p w14:paraId="7ADC73BA">
            <w:pPr>
              <w:spacing w:before="78" w:line="220" w:lineRule="auto"/>
              <w:rPr>
                <w:rFonts w:hint="default" w:ascii="宋体" w:hAnsi="宋体" w:eastAsia="宋体" w:cs="宋体"/>
                <w:kern w:val="2"/>
                <w:sz w:val="24"/>
                <w:szCs w:val="24"/>
                <w:lang w:val="en-US" w:eastAsia="zh-CN" w:bidi="ar-SA"/>
              </w:rPr>
            </w:pPr>
            <w:r>
              <w:rPr>
                <w:rFonts w:ascii="宋体" w:hAnsi="宋体" w:eastAsia="宋体" w:cs="宋体"/>
                <w:spacing w:val="-9"/>
                <w:sz w:val="24"/>
                <w:szCs w:val="24"/>
              </w:rPr>
              <w:t>网络结构</w:t>
            </w:r>
          </w:p>
        </w:tc>
        <w:tc>
          <w:tcPr>
            <w:tcW w:w="0" w:type="auto"/>
            <w:shd w:val="clear" w:color="auto" w:fill="auto"/>
            <w:vAlign w:val="top"/>
          </w:tcPr>
          <w:p w14:paraId="60FBA5A9">
            <w:pPr>
              <w:spacing w:before="244" w:line="219" w:lineRule="auto"/>
              <w:rPr>
                <w:rFonts w:hint="default" w:ascii="宋体" w:hAnsi="宋体" w:eastAsia="宋体" w:cs="宋体"/>
                <w:kern w:val="2"/>
                <w:sz w:val="24"/>
                <w:szCs w:val="24"/>
                <w:lang w:val="en-US" w:eastAsia="zh-CN" w:bidi="ar-SA"/>
              </w:rPr>
            </w:pPr>
            <w:r>
              <w:rPr>
                <w:rFonts w:ascii="宋体" w:hAnsi="宋体" w:eastAsia="宋体" w:cs="宋体"/>
                <w:spacing w:val="-2"/>
                <w:sz w:val="24"/>
                <w:szCs w:val="24"/>
              </w:rPr>
              <w:t>从网络结构设计、边界保护、外部访问控制策略、内部访问控</w:t>
            </w:r>
            <w:r>
              <w:rPr>
                <w:rFonts w:ascii="宋体" w:hAnsi="宋体" w:eastAsia="宋体" w:cs="宋体"/>
                <w:spacing w:val="-5"/>
                <w:sz w:val="24"/>
                <w:szCs w:val="24"/>
              </w:rPr>
              <w:t>制策略、网络设备安全配置等方面进行识别。</w:t>
            </w:r>
          </w:p>
        </w:tc>
      </w:tr>
      <w:tr w14:paraId="7B825C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vMerge w:val="continue"/>
          </w:tcPr>
          <w:p w14:paraId="6E552D7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p>
        </w:tc>
        <w:tc>
          <w:tcPr>
            <w:tcW w:w="1025" w:type="dxa"/>
            <w:shd w:val="clear" w:color="auto" w:fill="auto"/>
            <w:vAlign w:val="top"/>
          </w:tcPr>
          <w:p w14:paraId="25D0FEFC">
            <w:pPr>
              <w:spacing w:before="78" w:line="220" w:lineRule="auto"/>
              <w:rPr>
                <w:rFonts w:ascii="宋体" w:hAnsi="宋体" w:eastAsia="宋体" w:cs="宋体"/>
                <w:kern w:val="2"/>
                <w:sz w:val="24"/>
                <w:szCs w:val="24"/>
                <w:lang w:val="en-US" w:eastAsia="zh-CN" w:bidi="ar-SA"/>
              </w:rPr>
            </w:pPr>
            <w:r>
              <w:rPr>
                <w:rFonts w:ascii="宋体" w:hAnsi="宋体" w:eastAsia="宋体" w:cs="宋体"/>
                <w:spacing w:val="-9"/>
                <w:sz w:val="24"/>
                <w:szCs w:val="24"/>
              </w:rPr>
              <w:t>系统 环境（含操作系统及系统服务）</w:t>
            </w:r>
          </w:p>
        </w:tc>
        <w:tc>
          <w:tcPr>
            <w:tcW w:w="0" w:type="auto"/>
            <w:shd w:val="clear" w:color="auto" w:fill="auto"/>
            <w:vAlign w:val="top"/>
          </w:tcPr>
          <w:p w14:paraId="3855DF0F">
            <w:pPr>
              <w:spacing w:before="78" w:line="219" w:lineRule="auto"/>
              <w:rPr>
                <w:rFonts w:ascii="宋体" w:hAnsi="宋体" w:eastAsia="宋体" w:cs="宋体"/>
                <w:kern w:val="2"/>
                <w:sz w:val="24"/>
                <w:szCs w:val="24"/>
                <w:lang w:val="en-US" w:eastAsia="zh-CN" w:bidi="ar-SA"/>
              </w:rPr>
            </w:pPr>
            <w:r>
              <w:rPr>
                <w:rFonts w:ascii="宋体" w:hAnsi="宋体" w:eastAsia="宋体" w:cs="宋体"/>
                <w:spacing w:val="-2"/>
                <w:sz w:val="24"/>
                <w:szCs w:val="24"/>
              </w:rPr>
              <w:t>从补丁安装、鉴别机制、口令机制、访问控制、网络和服务设</w:t>
            </w:r>
            <w:r>
              <w:rPr>
                <w:rFonts w:ascii="宋体" w:hAnsi="宋体" w:eastAsia="宋体" w:cs="宋体"/>
                <w:spacing w:val="-5"/>
                <w:sz w:val="24"/>
                <w:szCs w:val="24"/>
              </w:rPr>
              <w:t>置、备份恢复机制、审计机制等方面进行识别。</w:t>
            </w:r>
          </w:p>
        </w:tc>
      </w:tr>
      <w:tr w14:paraId="5B371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vMerge w:val="continue"/>
          </w:tcPr>
          <w:p w14:paraId="0A515A1E">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p>
        </w:tc>
        <w:tc>
          <w:tcPr>
            <w:tcW w:w="1025" w:type="dxa"/>
            <w:shd w:val="clear" w:color="auto" w:fill="auto"/>
            <w:vAlign w:val="top"/>
          </w:tcPr>
          <w:p w14:paraId="5ACFA381">
            <w:pPr>
              <w:spacing w:before="246" w:line="219" w:lineRule="auto"/>
              <w:ind w:left="113" w:leftChars="0"/>
              <w:rPr>
                <w:rFonts w:ascii="宋体" w:hAnsi="宋体" w:eastAsia="宋体" w:cs="宋体"/>
                <w:kern w:val="2"/>
                <w:sz w:val="24"/>
                <w:szCs w:val="24"/>
                <w:lang w:val="en-US" w:eastAsia="zh-CN" w:bidi="ar-SA"/>
              </w:rPr>
            </w:pPr>
            <w:r>
              <w:rPr>
                <w:rFonts w:ascii="宋体" w:hAnsi="宋体" w:eastAsia="宋体" w:cs="宋体"/>
                <w:spacing w:val="-5"/>
                <w:sz w:val="24"/>
                <w:szCs w:val="24"/>
              </w:rPr>
              <w:t>应用中间件</w:t>
            </w:r>
          </w:p>
        </w:tc>
        <w:tc>
          <w:tcPr>
            <w:tcW w:w="0" w:type="auto"/>
            <w:shd w:val="clear" w:color="auto" w:fill="auto"/>
            <w:vAlign w:val="top"/>
          </w:tcPr>
          <w:p w14:paraId="3B36972E">
            <w:pPr>
              <w:spacing w:before="246" w:line="219" w:lineRule="auto"/>
              <w:ind w:left="116" w:leftChars="0"/>
              <w:rPr>
                <w:rFonts w:ascii="宋体" w:hAnsi="宋体" w:eastAsia="宋体" w:cs="宋体"/>
                <w:kern w:val="2"/>
                <w:sz w:val="24"/>
                <w:szCs w:val="24"/>
                <w:lang w:val="en-US" w:eastAsia="zh-CN" w:bidi="ar-SA"/>
              </w:rPr>
            </w:pPr>
            <w:r>
              <w:rPr>
                <w:rFonts w:ascii="宋体" w:hAnsi="宋体" w:eastAsia="宋体" w:cs="宋体"/>
                <w:spacing w:val="-5"/>
                <w:sz w:val="24"/>
                <w:szCs w:val="24"/>
              </w:rPr>
              <w:t>从协议安全、交易完整性、数据完整性等方面进行识别</w:t>
            </w:r>
          </w:p>
        </w:tc>
      </w:tr>
      <w:tr w14:paraId="5A9A9F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vMerge w:val="continue"/>
          </w:tcPr>
          <w:p w14:paraId="304FBA6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p>
        </w:tc>
        <w:tc>
          <w:tcPr>
            <w:tcW w:w="1025" w:type="dxa"/>
            <w:shd w:val="clear" w:color="auto" w:fill="auto"/>
            <w:vAlign w:val="top"/>
          </w:tcPr>
          <w:p w14:paraId="2BCCBDD6">
            <w:pPr>
              <w:spacing w:before="78" w:line="221" w:lineRule="auto"/>
              <w:rPr>
                <w:rFonts w:ascii="宋体" w:hAnsi="宋体" w:eastAsia="宋体" w:cs="宋体"/>
                <w:kern w:val="2"/>
                <w:sz w:val="24"/>
                <w:szCs w:val="24"/>
                <w:lang w:val="en-US" w:eastAsia="zh-CN" w:bidi="ar-SA"/>
              </w:rPr>
            </w:pPr>
            <w:r>
              <w:rPr>
                <w:rFonts w:ascii="宋体" w:hAnsi="宋体" w:eastAsia="宋体" w:cs="宋体"/>
                <w:spacing w:val="-5"/>
                <w:sz w:val="24"/>
                <w:szCs w:val="24"/>
              </w:rPr>
              <w:t>应用系统</w:t>
            </w:r>
          </w:p>
        </w:tc>
        <w:tc>
          <w:tcPr>
            <w:tcW w:w="0" w:type="auto"/>
            <w:shd w:val="clear" w:color="auto" w:fill="auto"/>
            <w:vAlign w:val="top"/>
          </w:tcPr>
          <w:p w14:paraId="29ABB164">
            <w:pPr>
              <w:spacing w:before="243" w:line="219" w:lineRule="auto"/>
              <w:ind w:left="116"/>
              <w:rPr>
                <w:rFonts w:ascii="宋体" w:hAnsi="宋体" w:eastAsia="宋体" w:cs="宋体"/>
                <w:kern w:val="2"/>
                <w:sz w:val="24"/>
                <w:szCs w:val="24"/>
                <w:lang w:val="en-US" w:eastAsia="zh-CN" w:bidi="ar-SA"/>
              </w:rPr>
            </w:pPr>
            <w:r>
              <w:rPr>
                <w:rFonts w:ascii="宋体" w:hAnsi="宋体" w:eastAsia="宋体" w:cs="宋体"/>
                <w:spacing w:val="-2"/>
                <w:sz w:val="24"/>
                <w:szCs w:val="24"/>
              </w:rPr>
              <w:t>从审计机制、审计存储、访问控制策略、数据完整性、通信、</w:t>
            </w:r>
            <w:r>
              <w:rPr>
                <w:rFonts w:ascii="宋体" w:hAnsi="宋体" w:eastAsia="宋体" w:cs="宋体"/>
                <w:spacing w:val="-5"/>
                <w:sz w:val="24"/>
                <w:szCs w:val="24"/>
              </w:rPr>
              <w:t>鉴别机制、密码保护等方面进行识别</w:t>
            </w:r>
          </w:p>
        </w:tc>
      </w:tr>
      <w:tr w14:paraId="011865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vMerge w:val="continue"/>
          </w:tcPr>
          <w:p w14:paraId="49AB8B2C">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p>
        </w:tc>
        <w:tc>
          <w:tcPr>
            <w:tcW w:w="1025" w:type="dxa"/>
            <w:shd w:val="clear" w:color="auto" w:fill="auto"/>
            <w:vAlign w:val="top"/>
          </w:tcPr>
          <w:p w14:paraId="08FC89FC">
            <w:pPr>
              <w:spacing w:before="78" w:line="219" w:lineRule="auto"/>
              <w:rPr>
                <w:rFonts w:ascii="宋体" w:hAnsi="宋体" w:eastAsia="宋体" w:cs="宋体"/>
                <w:kern w:val="2"/>
                <w:sz w:val="24"/>
                <w:szCs w:val="24"/>
                <w:lang w:val="en-US" w:eastAsia="zh-CN" w:bidi="ar-SA"/>
              </w:rPr>
            </w:pPr>
            <w:r>
              <w:rPr>
                <w:rFonts w:ascii="宋体" w:hAnsi="宋体" w:eastAsia="宋体" w:cs="宋体"/>
                <w:spacing w:val="-4"/>
                <w:sz w:val="24"/>
                <w:szCs w:val="24"/>
              </w:rPr>
              <w:t>操作方面</w:t>
            </w:r>
          </w:p>
        </w:tc>
        <w:tc>
          <w:tcPr>
            <w:tcW w:w="0" w:type="auto"/>
            <w:shd w:val="clear" w:color="auto" w:fill="auto"/>
            <w:vAlign w:val="top"/>
          </w:tcPr>
          <w:p w14:paraId="445B3BE1">
            <w:pPr>
              <w:spacing w:before="247" w:line="219" w:lineRule="auto"/>
              <w:ind w:left="116"/>
              <w:rPr>
                <w:rFonts w:ascii="宋体" w:hAnsi="宋体" w:eastAsia="宋体" w:cs="宋体"/>
                <w:kern w:val="2"/>
                <w:sz w:val="24"/>
                <w:szCs w:val="24"/>
                <w:lang w:val="en-US" w:eastAsia="zh-CN" w:bidi="ar-SA"/>
              </w:rPr>
            </w:pPr>
            <w:r>
              <w:rPr>
                <w:rFonts w:ascii="宋体" w:hAnsi="宋体" w:eastAsia="宋体" w:cs="宋体"/>
                <w:spacing w:val="-2"/>
                <w:sz w:val="24"/>
                <w:szCs w:val="24"/>
              </w:rPr>
              <w:t>软件和系统在配置、操作、使用中的缺陷，包括人员日常工作</w:t>
            </w:r>
            <w:r>
              <w:rPr>
                <w:rFonts w:ascii="宋体" w:hAnsi="宋体" w:eastAsia="宋体" w:cs="宋体"/>
                <w:spacing w:val="-6"/>
                <w:sz w:val="24"/>
                <w:szCs w:val="24"/>
              </w:rPr>
              <w:t>中的不良习惯，审计或备份的缺乏进行识别。</w:t>
            </w:r>
          </w:p>
        </w:tc>
      </w:tr>
      <w:tr w14:paraId="5ABD09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vMerge w:val="restart"/>
            <w:shd w:val="clear" w:color="auto" w:fill="auto"/>
            <w:vAlign w:val="top"/>
          </w:tcPr>
          <w:p w14:paraId="634BE461">
            <w:pPr>
              <w:pStyle w:val="22"/>
              <w:spacing w:line="262" w:lineRule="auto"/>
            </w:pPr>
          </w:p>
          <w:p w14:paraId="2388A088">
            <w:pPr>
              <w:pStyle w:val="22"/>
              <w:spacing w:line="262" w:lineRule="auto"/>
            </w:pPr>
          </w:p>
          <w:p w14:paraId="00265E70">
            <w:pPr>
              <w:spacing w:before="78" w:line="219" w:lineRule="auto"/>
              <w:ind w:left="122"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管理脆弱性</w:t>
            </w:r>
          </w:p>
        </w:tc>
        <w:tc>
          <w:tcPr>
            <w:tcW w:w="1025" w:type="dxa"/>
            <w:shd w:val="clear" w:color="auto" w:fill="auto"/>
            <w:vAlign w:val="top"/>
          </w:tcPr>
          <w:p w14:paraId="03DAC61B">
            <w:pPr>
              <w:spacing w:before="78" w:line="219" w:lineRule="auto"/>
              <w:rPr>
                <w:rFonts w:ascii="宋体" w:hAnsi="宋体" w:eastAsia="宋体" w:cs="宋体"/>
                <w:kern w:val="2"/>
                <w:sz w:val="24"/>
                <w:szCs w:val="24"/>
                <w:lang w:val="en-US" w:eastAsia="zh-CN" w:bidi="ar-SA"/>
              </w:rPr>
            </w:pPr>
            <w:r>
              <w:rPr>
                <w:rFonts w:ascii="宋体" w:hAnsi="宋体" w:eastAsia="宋体" w:cs="宋体"/>
                <w:spacing w:val="-5"/>
                <w:sz w:val="24"/>
                <w:szCs w:val="24"/>
              </w:rPr>
              <w:t>技术管理</w:t>
            </w:r>
          </w:p>
        </w:tc>
        <w:tc>
          <w:tcPr>
            <w:tcW w:w="0" w:type="auto"/>
            <w:shd w:val="clear" w:color="auto" w:fill="auto"/>
            <w:vAlign w:val="top"/>
          </w:tcPr>
          <w:p w14:paraId="22EB2F65">
            <w:pPr>
              <w:spacing w:before="247" w:line="219" w:lineRule="auto"/>
              <w:ind w:left="116"/>
              <w:rPr>
                <w:rFonts w:ascii="宋体" w:hAnsi="宋体" w:eastAsia="宋体" w:cs="宋体"/>
                <w:kern w:val="2"/>
                <w:sz w:val="24"/>
                <w:szCs w:val="24"/>
                <w:lang w:val="en-US" w:eastAsia="zh-CN" w:bidi="ar-SA"/>
              </w:rPr>
            </w:pPr>
            <w:r>
              <w:rPr>
                <w:rFonts w:ascii="宋体" w:hAnsi="宋体" w:eastAsia="宋体" w:cs="宋体"/>
                <w:spacing w:val="-2"/>
                <w:sz w:val="24"/>
                <w:szCs w:val="24"/>
              </w:rPr>
              <w:t>从物理和环境安全、通信与操作管理、访问控制、系统开发与</w:t>
            </w:r>
            <w:r>
              <w:rPr>
                <w:rFonts w:ascii="宋体" w:hAnsi="宋体" w:eastAsia="宋体" w:cs="宋体"/>
                <w:spacing w:val="-5"/>
                <w:sz w:val="24"/>
                <w:szCs w:val="24"/>
              </w:rPr>
              <w:t>维护、业务连续性等方面进行识别</w:t>
            </w:r>
          </w:p>
        </w:tc>
      </w:tr>
      <w:tr w14:paraId="6B1532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vMerge w:val="continue"/>
            <w:shd w:val="clear" w:color="auto" w:fill="auto"/>
            <w:vAlign w:val="top"/>
          </w:tcPr>
          <w:p w14:paraId="2AA10A9A">
            <w:pPr>
              <w:spacing w:before="78" w:line="219" w:lineRule="auto"/>
              <w:ind w:left="122" w:leftChars="0"/>
              <w:rPr>
                <w:rFonts w:ascii="宋体" w:hAnsi="宋体" w:eastAsia="宋体" w:cs="宋体"/>
                <w:spacing w:val="-6"/>
                <w:sz w:val="24"/>
                <w:szCs w:val="24"/>
              </w:rPr>
            </w:pPr>
          </w:p>
        </w:tc>
        <w:tc>
          <w:tcPr>
            <w:tcW w:w="1025" w:type="dxa"/>
            <w:shd w:val="clear" w:color="auto" w:fill="auto"/>
            <w:vAlign w:val="top"/>
          </w:tcPr>
          <w:p w14:paraId="52A5C953">
            <w:pPr>
              <w:spacing w:before="78" w:line="219" w:lineRule="auto"/>
              <w:rPr>
                <w:rFonts w:ascii="宋体" w:hAnsi="宋体" w:eastAsia="宋体" w:cs="宋体"/>
                <w:kern w:val="2"/>
                <w:sz w:val="24"/>
                <w:szCs w:val="24"/>
                <w:lang w:val="en-US" w:eastAsia="zh-CN" w:bidi="ar-SA"/>
              </w:rPr>
            </w:pPr>
            <w:r>
              <w:rPr>
                <w:rFonts w:ascii="宋体" w:hAnsi="宋体" w:eastAsia="宋体" w:cs="宋体"/>
                <w:spacing w:val="-5"/>
                <w:sz w:val="24"/>
                <w:szCs w:val="24"/>
              </w:rPr>
              <w:t>组织管理</w:t>
            </w:r>
          </w:p>
        </w:tc>
        <w:tc>
          <w:tcPr>
            <w:tcW w:w="0" w:type="auto"/>
            <w:shd w:val="clear" w:color="auto" w:fill="auto"/>
            <w:vAlign w:val="top"/>
          </w:tcPr>
          <w:p w14:paraId="7DAFAB95">
            <w:pPr>
              <w:spacing w:before="248" w:line="219" w:lineRule="auto"/>
              <w:ind w:left="116"/>
              <w:rPr>
                <w:rFonts w:ascii="宋体" w:hAnsi="宋体" w:eastAsia="宋体" w:cs="宋体"/>
                <w:kern w:val="2"/>
                <w:sz w:val="24"/>
                <w:szCs w:val="24"/>
                <w:lang w:val="en-US" w:eastAsia="zh-CN" w:bidi="ar-SA"/>
              </w:rPr>
            </w:pPr>
            <w:r>
              <w:rPr>
                <w:rFonts w:ascii="宋体" w:hAnsi="宋体" w:eastAsia="宋体" w:cs="宋体"/>
                <w:spacing w:val="-2"/>
                <w:sz w:val="24"/>
                <w:szCs w:val="24"/>
              </w:rPr>
              <w:t>从安全策略、组织安全、资产分类与控制、人员安全、符合性</w:t>
            </w:r>
            <w:r>
              <w:rPr>
                <w:rFonts w:ascii="宋体" w:hAnsi="宋体" w:eastAsia="宋体" w:cs="宋体"/>
                <w:spacing w:val="-5"/>
                <w:sz w:val="24"/>
                <w:szCs w:val="24"/>
              </w:rPr>
              <w:t>等方面进行识别</w:t>
            </w:r>
          </w:p>
        </w:tc>
      </w:tr>
    </w:tbl>
    <w:p w14:paraId="12BC151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p>
    <w:p w14:paraId="62161E9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脆弱性的分类具体描述如下：</w:t>
      </w:r>
    </w:p>
    <w:p w14:paraId="14A8B6E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物理安全</w:t>
      </w:r>
    </w:p>
    <w:p w14:paraId="59DA435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信息系统的物理安全是指包括计算机、网络在内的所有与信息系统安全相关的环境、设备、存储介质的安全。物理安全的评估内容包括：</w:t>
      </w:r>
    </w:p>
    <w:p w14:paraId="387B7A0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0" b="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物理环境安全</w:t>
      </w:r>
    </w:p>
    <w:p w14:paraId="6209EA1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20" name="IM 40"/>
            <wp:cNvGraphicFramePr/>
            <a:graphic xmlns:a="http://schemas.openxmlformats.org/drawingml/2006/main">
              <a:graphicData uri="http://schemas.openxmlformats.org/drawingml/2006/picture">
                <pic:pic xmlns:pic="http://schemas.openxmlformats.org/drawingml/2006/picture">
                  <pic:nvPicPr>
                    <pic:cNvPr id="20"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包括机房物理位置的选择、防火、防水和防潮、防静电、防雷击、电磁防护、温湿度控制、电力供应、物理访问控制等。</w:t>
      </w:r>
    </w:p>
    <w:p w14:paraId="7AA1568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21" name="IM 40"/>
            <wp:cNvGraphicFramePr/>
            <a:graphic xmlns:a="http://schemas.openxmlformats.org/drawingml/2006/main">
              <a:graphicData uri="http://schemas.openxmlformats.org/drawingml/2006/picture">
                <pic:pic xmlns:pic="http://schemas.openxmlformats.org/drawingml/2006/picture">
                  <pic:nvPicPr>
                    <pic:cNvPr id="21"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设备安全</w:t>
      </w:r>
    </w:p>
    <w:p w14:paraId="0C1B280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22" name="IM 40"/>
            <wp:cNvGraphicFramePr/>
            <a:graphic xmlns:a="http://schemas.openxmlformats.org/drawingml/2006/main">
              <a:graphicData uri="http://schemas.openxmlformats.org/drawingml/2006/picture">
                <pic:pic xmlns:pic="http://schemas.openxmlformats.org/drawingml/2006/picture">
                  <pic:nvPicPr>
                    <pic:cNvPr id="22"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包括设备采购、安装、访问、废弃等方面的安全。</w:t>
      </w:r>
    </w:p>
    <w:p w14:paraId="496A3BE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23" name="IM 40"/>
            <wp:cNvGraphicFramePr/>
            <a:graphic xmlns:a="http://schemas.openxmlformats.org/drawingml/2006/main">
              <a:graphicData uri="http://schemas.openxmlformats.org/drawingml/2006/picture">
                <pic:pic xmlns:pic="http://schemas.openxmlformats.org/drawingml/2006/picture">
                  <pic:nvPicPr>
                    <pic:cNvPr id="23"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存储介质安全</w:t>
      </w:r>
    </w:p>
    <w:p w14:paraId="55D0A71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24" name="IM 40"/>
            <wp:cNvGraphicFramePr/>
            <a:graphic xmlns:a="http://schemas.openxmlformats.org/drawingml/2006/main">
              <a:graphicData uri="http://schemas.openxmlformats.org/drawingml/2006/picture">
                <pic:pic xmlns:pic="http://schemas.openxmlformats.org/drawingml/2006/picture">
                  <pic:nvPicPr>
                    <pic:cNvPr id="24"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包括介质管理、使用、销毁等方面的安全。</w:t>
      </w:r>
    </w:p>
    <w:p w14:paraId="1602A10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25" name="IM 40"/>
            <wp:cNvGraphicFramePr/>
            <a:graphic xmlns:a="http://schemas.openxmlformats.org/drawingml/2006/main">
              <a:graphicData uri="http://schemas.openxmlformats.org/drawingml/2006/picture">
                <pic:pic xmlns:pic="http://schemas.openxmlformats.org/drawingml/2006/picture">
                  <pic:nvPicPr>
                    <pic:cNvPr id="25"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网络安全</w:t>
      </w:r>
    </w:p>
    <w:p w14:paraId="0466B8D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26" name="IM 40"/>
            <wp:cNvGraphicFramePr/>
            <a:graphic xmlns:a="http://schemas.openxmlformats.org/drawingml/2006/main">
              <a:graphicData uri="http://schemas.openxmlformats.org/drawingml/2006/picture">
                <pic:pic xmlns:pic="http://schemas.openxmlformats.org/drawingml/2006/picture">
                  <pic:nvPicPr>
                    <pic:cNvPr id="26"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网络安全是指包括路由器、交换机、通信线路在内的，及由其组成信息系统网络环境的安全。网络安全的评估内容包括：</w:t>
      </w:r>
    </w:p>
    <w:p w14:paraId="696D478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27" name="IM 40"/>
            <wp:cNvGraphicFramePr/>
            <a:graphic xmlns:a="http://schemas.openxmlformats.org/drawingml/2006/main">
              <a:graphicData uri="http://schemas.openxmlformats.org/drawingml/2006/picture">
                <pic:pic xmlns:pic="http://schemas.openxmlformats.org/drawingml/2006/picture">
                  <pic:nvPicPr>
                    <pic:cNvPr id="27"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网络边界安全；</w:t>
      </w:r>
    </w:p>
    <w:p w14:paraId="5FE6B9A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28" name="IM 40"/>
            <wp:cNvGraphicFramePr/>
            <a:graphic xmlns:a="http://schemas.openxmlformats.org/drawingml/2006/main">
              <a:graphicData uri="http://schemas.openxmlformats.org/drawingml/2006/picture">
                <pic:pic xmlns:pic="http://schemas.openxmlformats.org/drawingml/2006/picture">
                  <pic:nvPicPr>
                    <pic:cNvPr id="28"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网络系统安全设计；</w:t>
      </w:r>
    </w:p>
    <w:p w14:paraId="58148EA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29" name="IM 40"/>
            <wp:cNvGraphicFramePr/>
            <a:graphic xmlns:a="http://schemas.openxmlformats.org/drawingml/2006/main">
              <a:graphicData uri="http://schemas.openxmlformats.org/drawingml/2006/picture">
                <pic:pic xmlns:pic="http://schemas.openxmlformats.org/drawingml/2006/picture">
                  <pic:nvPicPr>
                    <pic:cNvPr id="29"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网络设备安全功能及使用；</w:t>
      </w:r>
    </w:p>
    <w:p w14:paraId="21F4494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31" name="IM 40"/>
            <wp:cNvGraphicFramePr/>
            <a:graphic xmlns:a="http://schemas.openxmlformats.org/drawingml/2006/main">
              <a:graphicData uri="http://schemas.openxmlformats.org/drawingml/2006/picture">
                <pic:pic xmlns:pic="http://schemas.openxmlformats.org/drawingml/2006/picture">
                  <pic:nvPicPr>
                    <pic:cNvPr id="31"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网络访问控制；</w:t>
      </w:r>
    </w:p>
    <w:p w14:paraId="100A7DA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32" name="IM 40"/>
            <wp:cNvGraphicFramePr/>
            <a:graphic xmlns:a="http://schemas.openxmlformats.org/drawingml/2006/main">
              <a:graphicData uri="http://schemas.openxmlformats.org/drawingml/2006/picture">
                <pic:pic xmlns:pic="http://schemas.openxmlformats.org/drawingml/2006/picture">
                  <pic:nvPicPr>
                    <pic:cNvPr id="32"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网络安全检测分析；</w:t>
      </w:r>
    </w:p>
    <w:p w14:paraId="09147604">
      <w:pPr>
        <w:keepNext w:val="0"/>
        <w:keepLines w:val="0"/>
        <w:pageBreakBefore w:val="0"/>
        <w:widowControl w:val="0"/>
        <w:kinsoku/>
        <w:wordWrap/>
        <w:overflowPunct/>
        <w:topLinePunct w:val="0"/>
        <w:autoSpaceDE/>
        <w:autoSpaceDN/>
        <w:bidi w:val="0"/>
        <w:adjustRightInd/>
        <w:snapToGrid/>
        <w:spacing w:line="360" w:lineRule="auto"/>
        <w:ind w:firstLine="720" w:firstLineChars="300"/>
        <w:jc w:val="left"/>
        <w:textAlignment w:val="auto"/>
        <w:rPr>
          <w:rFonts w:hint="default"/>
          <w:sz w:val="24"/>
          <w:lang w:val="en-US" w:eastAsia="zh-CN"/>
        </w:rPr>
      </w:pPr>
      <w:r>
        <w:rPr>
          <w:position w:val="-4"/>
          <w:sz w:val="24"/>
          <w:szCs w:val="24"/>
        </w:rPr>
        <w:drawing>
          <wp:inline distT="0" distB="0" distL="0" distR="0">
            <wp:extent cx="107950" cy="168275"/>
            <wp:effectExtent l="0" t="0" r="13970" b="14605"/>
            <wp:docPr id="33" name="IM 40"/>
            <wp:cNvGraphicFramePr/>
            <a:graphic xmlns:a="http://schemas.openxmlformats.org/drawingml/2006/main">
              <a:graphicData uri="http://schemas.openxmlformats.org/drawingml/2006/picture">
                <pic:pic xmlns:pic="http://schemas.openxmlformats.org/drawingml/2006/picture">
                  <pic:nvPicPr>
                    <pic:cNvPr id="33"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网络连接；</w:t>
      </w:r>
    </w:p>
    <w:p w14:paraId="658D49D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34" name="IM 40"/>
            <wp:cNvGraphicFramePr/>
            <a:graphic xmlns:a="http://schemas.openxmlformats.org/drawingml/2006/main">
              <a:graphicData uri="http://schemas.openxmlformats.org/drawingml/2006/picture">
                <pic:pic xmlns:pic="http://schemas.openxmlformats.org/drawingml/2006/picture">
                  <pic:nvPicPr>
                    <pic:cNvPr id="34"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网络可用性。</w:t>
      </w:r>
    </w:p>
    <w:p w14:paraId="4284A28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35" name="IM 40"/>
            <wp:cNvGraphicFramePr/>
            <a:graphic xmlns:a="http://schemas.openxmlformats.org/drawingml/2006/main">
              <a:graphicData uri="http://schemas.openxmlformats.org/drawingml/2006/picture">
                <pic:pic xmlns:pic="http://schemas.openxmlformats.org/drawingml/2006/picture">
                  <pic:nvPicPr>
                    <pic:cNvPr id="35"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系统环境中主机安全</w:t>
      </w:r>
    </w:p>
    <w:p w14:paraId="66B6D19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主机安全主要是指基于主机操作系统、数据库系统以及应用平台层面的安全，对主机安全的评估内容包括：</w:t>
      </w:r>
    </w:p>
    <w:p w14:paraId="2637CDC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36" name="IM 40"/>
            <wp:cNvGraphicFramePr/>
            <a:graphic xmlns:a="http://schemas.openxmlformats.org/drawingml/2006/main">
              <a:graphicData uri="http://schemas.openxmlformats.org/drawingml/2006/picture">
                <pic:pic xmlns:pic="http://schemas.openxmlformats.org/drawingml/2006/picture">
                  <pic:nvPicPr>
                    <pic:cNvPr id="36"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账号安全；</w:t>
      </w:r>
    </w:p>
    <w:p w14:paraId="44F0622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0" b="0"/>
            <wp:docPr id="37" name="IM 40"/>
            <wp:cNvGraphicFramePr/>
            <a:graphic xmlns:a="http://schemas.openxmlformats.org/drawingml/2006/main">
              <a:graphicData uri="http://schemas.openxmlformats.org/drawingml/2006/picture">
                <pic:pic xmlns:pic="http://schemas.openxmlformats.org/drawingml/2006/picture">
                  <pic:nvPicPr>
                    <pic:cNvPr id="37"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文件系统安全；</w:t>
      </w:r>
    </w:p>
    <w:p w14:paraId="1F54C1B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39" name="IM 40"/>
            <wp:cNvGraphicFramePr/>
            <a:graphic xmlns:a="http://schemas.openxmlformats.org/drawingml/2006/main">
              <a:graphicData uri="http://schemas.openxmlformats.org/drawingml/2006/picture">
                <pic:pic xmlns:pic="http://schemas.openxmlformats.org/drawingml/2006/picture">
                  <pic:nvPicPr>
                    <pic:cNvPr id="39"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网络（系统）服务安全；</w:t>
      </w:r>
    </w:p>
    <w:p w14:paraId="65FB9D0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41" name="IM 40"/>
            <wp:cNvGraphicFramePr/>
            <a:graphic xmlns:a="http://schemas.openxmlformats.org/drawingml/2006/main">
              <a:graphicData uri="http://schemas.openxmlformats.org/drawingml/2006/picture">
                <pic:pic xmlns:pic="http://schemas.openxmlformats.org/drawingml/2006/picture">
                  <pic:nvPicPr>
                    <pic:cNvPr id="41"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系统访问控制；</w:t>
      </w:r>
    </w:p>
    <w:p w14:paraId="4F4DD68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42" name="IM 40"/>
            <wp:cNvGraphicFramePr/>
            <a:graphic xmlns:a="http://schemas.openxmlformats.org/drawingml/2006/main">
              <a:graphicData uri="http://schemas.openxmlformats.org/drawingml/2006/picture">
                <pic:pic xmlns:pic="http://schemas.openxmlformats.org/drawingml/2006/picture">
                  <pic:nvPicPr>
                    <pic:cNvPr id="42"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日志及监控审计；</w:t>
      </w:r>
    </w:p>
    <w:p w14:paraId="709CBE1A">
      <w:pPr>
        <w:keepNext w:val="0"/>
        <w:keepLines w:val="0"/>
        <w:pageBreakBefore w:val="0"/>
        <w:widowControl w:val="0"/>
        <w:kinsoku/>
        <w:wordWrap/>
        <w:overflowPunct/>
        <w:topLinePunct w:val="0"/>
        <w:autoSpaceDE/>
        <w:autoSpaceDN/>
        <w:bidi w:val="0"/>
        <w:adjustRightInd/>
        <w:snapToGrid/>
        <w:spacing w:line="360" w:lineRule="auto"/>
        <w:ind w:firstLine="720" w:firstLineChars="300"/>
        <w:jc w:val="left"/>
        <w:textAlignment w:val="auto"/>
        <w:rPr>
          <w:rFonts w:hint="default"/>
          <w:sz w:val="24"/>
          <w:lang w:val="en-US" w:eastAsia="zh-CN"/>
        </w:rPr>
      </w:pPr>
      <w:r>
        <w:rPr>
          <w:position w:val="-4"/>
          <w:sz w:val="24"/>
          <w:szCs w:val="24"/>
        </w:rPr>
        <w:drawing>
          <wp:inline distT="0" distB="0" distL="0" distR="0">
            <wp:extent cx="107950" cy="168275"/>
            <wp:effectExtent l="0" t="0" r="13970" b="14605"/>
            <wp:docPr id="43" name="IM 40"/>
            <wp:cNvGraphicFramePr/>
            <a:graphic xmlns:a="http://schemas.openxmlformats.org/drawingml/2006/main">
              <a:graphicData uri="http://schemas.openxmlformats.org/drawingml/2006/picture">
                <pic:pic xmlns:pic="http://schemas.openxmlformats.org/drawingml/2006/picture">
                  <pic:nvPicPr>
                    <pic:cNvPr id="43"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拒绝服务保护；</w:t>
      </w:r>
    </w:p>
    <w:p w14:paraId="4266CEC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44" name="IM 40"/>
            <wp:cNvGraphicFramePr/>
            <a:graphic xmlns:a="http://schemas.openxmlformats.org/drawingml/2006/main">
              <a:graphicData uri="http://schemas.openxmlformats.org/drawingml/2006/picture">
                <pic:pic xmlns:pic="http://schemas.openxmlformats.org/drawingml/2006/picture">
                  <pic:nvPicPr>
                    <pic:cNvPr id="44"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补丁管理；</w:t>
      </w:r>
    </w:p>
    <w:p w14:paraId="7A83C81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45" name="IM 40"/>
            <wp:cNvGraphicFramePr/>
            <a:graphic xmlns:a="http://schemas.openxmlformats.org/drawingml/2006/main">
              <a:graphicData uri="http://schemas.openxmlformats.org/drawingml/2006/picture">
                <pic:pic xmlns:pic="http://schemas.openxmlformats.org/drawingml/2006/picture">
                  <pic:nvPicPr>
                    <pic:cNvPr id="45"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病毒及恶意代码防护；</w:t>
      </w:r>
    </w:p>
    <w:p w14:paraId="3CFBE51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46" name="IM 40"/>
            <wp:cNvGraphicFramePr/>
            <a:graphic xmlns:a="http://schemas.openxmlformats.org/drawingml/2006/main">
              <a:graphicData uri="http://schemas.openxmlformats.org/drawingml/2006/picture">
                <pic:pic xmlns:pic="http://schemas.openxmlformats.org/drawingml/2006/picture">
                  <pic:nvPicPr>
                    <pic:cNvPr id="46"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系统备份与恢复；</w:t>
      </w:r>
    </w:p>
    <w:p w14:paraId="1AB893D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47" name="IM 40"/>
            <wp:cNvGraphicFramePr/>
            <a:graphic xmlns:a="http://schemas.openxmlformats.org/drawingml/2006/main">
              <a:graphicData uri="http://schemas.openxmlformats.org/drawingml/2006/picture">
                <pic:pic xmlns:pic="http://schemas.openxmlformats.org/drawingml/2006/picture">
                  <pic:nvPicPr>
                    <pic:cNvPr id="47"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数据库账号安全；</w:t>
      </w:r>
    </w:p>
    <w:p w14:paraId="64AB920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48" name="IM 40"/>
            <wp:cNvGraphicFramePr/>
            <a:graphic xmlns:a="http://schemas.openxmlformats.org/drawingml/2006/main">
              <a:graphicData uri="http://schemas.openxmlformats.org/drawingml/2006/picture">
                <pic:pic xmlns:pic="http://schemas.openxmlformats.org/drawingml/2006/picture">
                  <pic:nvPicPr>
                    <pic:cNvPr id="48"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数据库访问控制；</w:t>
      </w:r>
    </w:p>
    <w:p w14:paraId="5B44DF4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49" name="IM 40"/>
            <wp:cNvGraphicFramePr/>
            <a:graphic xmlns:a="http://schemas.openxmlformats.org/drawingml/2006/main">
              <a:graphicData uri="http://schemas.openxmlformats.org/drawingml/2006/picture">
                <pic:pic xmlns:pic="http://schemas.openxmlformats.org/drawingml/2006/picture">
                  <pic:nvPicPr>
                    <pic:cNvPr id="49"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数据库存储过程安全;</w:t>
      </w:r>
    </w:p>
    <w:p w14:paraId="75683FC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50" name="IM 40"/>
            <wp:cNvGraphicFramePr/>
            <a:graphic xmlns:a="http://schemas.openxmlformats.org/drawingml/2006/main">
              <a:graphicData uri="http://schemas.openxmlformats.org/drawingml/2006/picture">
                <pic:pic xmlns:pic="http://schemas.openxmlformats.org/drawingml/2006/picture">
                  <pic:nvPicPr>
                    <pic:cNvPr id="50"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数据库备份与恢复；</w:t>
      </w:r>
    </w:p>
    <w:p w14:paraId="4E1FD0B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0" b="0"/>
            <wp:docPr id="51" name="IM 40"/>
            <wp:cNvGraphicFramePr/>
            <a:graphic xmlns:a="http://schemas.openxmlformats.org/drawingml/2006/main">
              <a:graphicData uri="http://schemas.openxmlformats.org/drawingml/2006/picture">
                <pic:pic xmlns:pic="http://schemas.openxmlformats.org/drawingml/2006/picture">
                  <pic:nvPicPr>
                    <pic:cNvPr id="51"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数据库系统日志审计。</w:t>
      </w:r>
    </w:p>
    <w:p w14:paraId="4F5E153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53" name="IM 40"/>
            <wp:cNvGraphicFramePr/>
            <a:graphic xmlns:a="http://schemas.openxmlformats.org/drawingml/2006/main">
              <a:graphicData uri="http://schemas.openxmlformats.org/drawingml/2006/picture">
                <pic:pic xmlns:pic="http://schemas.openxmlformats.org/drawingml/2006/picture">
                  <pic:nvPicPr>
                    <pic:cNvPr id="53"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应用安全</w:t>
      </w:r>
    </w:p>
    <w:p w14:paraId="6FB9291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应用安全主要是指应用系统设计、开发安全。对应用安全的评估内容包括：</w:t>
      </w:r>
    </w:p>
    <w:p w14:paraId="0DF93A6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54" name="IM 40"/>
            <wp:cNvGraphicFramePr/>
            <a:graphic xmlns:a="http://schemas.openxmlformats.org/drawingml/2006/main">
              <a:graphicData uri="http://schemas.openxmlformats.org/drawingml/2006/picture">
                <pic:pic xmlns:pic="http://schemas.openxmlformats.org/drawingml/2006/picture">
                  <pic:nvPicPr>
                    <pic:cNvPr id="54"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应用系统架构与设计安全</w:t>
      </w:r>
    </w:p>
    <w:p w14:paraId="5243837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55" name="IM 40"/>
            <wp:cNvGraphicFramePr/>
            <a:graphic xmlns:a="http://schemas.openxmlformats.org/drawingml/2006/main">
              <a:graphicData uri="http://schemas.openxmlformats.org/drawingml/2006/picture">
                <pic:pic xmlns:pic="http://schemas.openxmlformats.org/drawingml/2006/picture">
                  <pic:nvPicPr>
                    <pic:cNvPr id="55"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身份鉴别；</w:t>
      </w:r>
    </w:p>
    <w:p w14:paraId="1C22DE1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57" name="IM 40"/>
            <wp:cNvGraphicFramePr/>
            <a:graphic xmlns:a="http://schemas.openxmlformats.org/drawingml/2006/main">
              <a:graphicData uri="http://schemas.openxmlformats.org/drawingml/2006/picture">
                <pic:pic xmlns:pic="http://schemas.openxmlformats.org/drawingml/2006/picture">
                  <pic:nvPicPr>
                    <pic:cNvPr id="57"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访问控制；</w:t>
      </w:r>
    </w:p>
    <w:p w14:paraId="03EC644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58" name="IM 40"/>
            <wp:cNvGraphicFramePr/>
            <a:graphic xmlns:a="http://schemas.openxmlformats.org/drawingml/2006/main">
              <a:graphicData uri="http://schemas.openxmlformats.org/drawingml/2006/picture">
                <pic:pic xmlns:pic="http://schemas.openxmlformats.org/drawingml/2006/picture">
                  <pic:nvPicPr>
                    <pic:cNvPr id="58"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交易的安全性；</w:t>
      </w:r>
    </w:p>
    <w:p w14:paraId="791E609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59" name="IM 40"/>
            <wp:cNvGraphicFramePr/>
            <a:graphic xmlns:a="http://schemas.openxmlformats.org/drawingml/2006/main">
              <a:graphicData uri="http://schemas.openxmlformats.org/drawingml/2006/picture">
                <pic:pic xmlns:pic="http://schemas.openxmlformats.org/drawingml/2006/picture">
                  <pic:nvPicPr>
                    <pic:cNvPr id="59"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数据的安全性；</w:t>
      </w:r>
    </w:p>
    <w:p w14:paraId="423205F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60" name="IM 40"/>
            <wp:cNvGraphicFramePr/>
            <a:graphic xmlns:a="http://schemas.openxmlformats.org/drawingml/2006/main">
              <a:graphicData uri="http://schemas.openxmlformats.org/drawingml/2006/picture">
                <pic:pic xmlns:pic="http://schemas.openxmlformats.org/drawingml/2006/picture">
                  <pic:nvPicPr>
                    <pic:cNvPr id="60"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密码支持；</w:t>
      </w:r>
    </w:p>
    <w:p w14:paraId="4BF1E90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61" name="IM 40"/>
            <wp:cNvGraphicFramePr/>
            <a:graphic xmlns:a="http://schemas.openxmlformats.org/drawingml/2006/main">
              <a:graphicData uri="http://schemas.openxmlformats.org/drawingml/2006/picture">
                <pic:pic xmlns:pic="http://schemas.openxmlformats.org/drawingml/2006/picture">
                  <pic:nvPicPr>
                    <pic:cNvPr id="61"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异常处理；</w:t>
      </w:r>
    </w:p>
    <w:p w14:paraId="0562538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62" name="IM 40"/>
            <wp:cNvGraphicFramePr/>
            <a:graphic xmlns:a="http://schemas.openxmlformats.org/drawingml/2006/main">
              <a:graphicData uri="http://schemas.openxmlformats.org/drawingml/2006/picture">
                <pic:pic xmlns:pic="http://schemas.openxmlformats.org/drawingml/2006/picture">
                  <pic:nvPicPr>
                    <pic:cNvPr id="62"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备份与故障恢复；</w:t>
      </w:r>
    </w:p>
    <w:p w14:paraId="75AE6FB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63" name="IM 40"/>
            <wp:cNvGraphicFramePr/>
            <a:graphic xmlns:a="http://schemas.openxmlformats.org/drawingml/2006/main">
              <a:graphicData uri="http://schemas.openxmlformats.org/drawingml/2006/picture">
                <pic:pic xmlns:pic="http://schemas.openxmlformats.org/drawingml/2006/picture">
                  <pic:nvPicPr>
                    <pic:cNvPr id="63"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安全审计；</w:t>
      </w:r>
    </w:p>
    <w:p w14:paraId="40F6B60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64" name="IM 40"/>
            <wp:cNvGraphicFramePr/>
            <a:graphic xmlns:a="http://schemas.openxmlformats.org/drawingml/2006/main">
              <a:graphicData uri="http://schemas.openxmlformats.org/drawingml/2006/picture">
                <pic:pic xmlns:pic="http://schemas.openxmlformats.org/drawingml/2006/picture">
                  <pic:nvPicPr>
                    <pic:cNvPr id="64"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资源利用；</w:t>
      </w:r>
    </w:p>
    <w:p w14:paraId="50FF7E0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65" name="IM 40"/>
            <wp:cNvGraphicFramePr/>
            <a:graphic xmlns:a="http://schemas.openxmlformats.org/drawingml/2006/main">
              <a:graphicData uri="http://schemas.openxmlformats.org/drawingml/2006/picture">
                <pic:pic xmlns:pic="http://schemas.openxmlformats.org/drawingml/2006/picture">
                  <pic:nvPicPr>
                    <pic:cNvPr id="65"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安全管理。</w:t>
      </w:r>
    </w:p>
    <w:p w14:paraId="6B320EF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66" name="IM 40"/>
            <wp:cNvGraphicFramePr/>
            <a:graphic xmlns:a="http://schemas.openxmlformats.org/drawingml/2006/main">
              <a:graphicData uri="http://schemas.openxmlformats.org/drawingml/2006/picture">
                <pic:pic xmlns:pic="http://schemas.openxmlformats.org/drawingml/2006/picture">
                  <pic:nvPicPr>
                    <pic:cNvPr id="66"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应用系统实现安全</w:t>
      </w:r>
    </w:p>
    <w:p w14:paraId="4F9D487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67" name="IM 40"/>
            <wp:cNvGraphicFramePr/>
            <a:graphic xmlns:a="http://schemas.openxmlformats.org/drawingml/2006/main">
              <a:graphicData uri="http://schemas.openxmlformats.org/drawingml/2006/picture">
                <pic:pic xmlns:pic="http://schemas.openxmlformats.org/drawingml/2006/picture">
                  <pic:nvPicPr>
                    <pic:cNvPr id="67"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账户安全；</w:t>
      </w:r>
    </w:p>
    <w:p w14:paraId="4C65BD6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68" name="IM 40"/>
            <wp:cNvGraphicFramePr/>
            <a:graphic xmlns:a="http://schemas.openxmlformats.org/drawingml/2006/main">
              <a:graphicData uri="http://schemas.openxmlformats.org/drawingml/2006/picture">
                <pic:pic xmlns:pic="http://schemas.openxmlformats.org/drawingml/2006/picture">
                  <pic:nvPicPr>
                    <pic:cNvPr id="68"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输入合法性检测；</w:t>
      </w:r>
    </w:p>
    <w:p w14:paraId="2AE9C4C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69" name="IM 40"/>
            <wp:cNvGraphicFramePr/>
            <a:graphic xmlns:a="http://schemas.openxmlformats.org/drawingml/2006/main">
              <a:graphicData uri="http://schemas.openxmlformats.org/drawingml/2006/picture">
                <pic:pic xmlns:pic="http://schemas.openxmlformats.org/drawingml/2006/picture">
                  <pic:nvPicPr>
                    <pic:cNvPr id="69"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口令猜测；</w:t>
      </w:r>
    </w:p>
    <w:p w14:paraId="3AAB66A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70" name="IM 40"/>
            <wp:cNvGraphicFramePr/>
            <a:graphic xmlns:a="http://schemas.openxmlformats.org/drawingml/2006/main">
              <a:graphicData uri="http://schemas.openxmlformats.org/drawingml/2006/picture">
                <pic:pic xmlns:pic="http://schemas.openxmlformats.org/drawingml/2006/picture">
                  <pic:nvPicPr>
                    <pic:cNvPr id="70"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应用层拒绝服务（DOS）。</w:t>
      </w:r>
    </w:p>
    <w:p w14:paraId="69D9FB0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71" name="IM 40"/>
            <wp:cNvGraphicFramePr/>
            <a:graphic xmlns:a="http://schemas.openxmlformats.org/drawingml/2006/main">
              <a:graphicData uri="http://schemas.openxmlformats.org/drawingml/2006/picture">
                <pic:pic xmlns:pic="http://schemas.openxmlformats.org/drawingml/2006/picture">
                  <pic:nvPicPr>
                    <pic:cNvPr id="71"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B/S 应用实现安全</w:t>
      </w:r>
    </w:p>
    <w:p w14:paraId="7139AE6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72" name="IM 40"/>
            <wp:cNvGraphicFramePr/>
            <a:graphic xmlns:a="http://schemas.openxmlformats.org/drawingml/2006/main">
              <a:graphicData uri="http://schemas.openxmlformats.org/drawingml/2006/picture">
                <pic:pic xmlns:pic="http://schemas.openxmlformats.org/drawingml/2006/picture">
                  <pic:nvPicPr>
                    <pic:cNvPr id="72"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网站探测；</w:t>
      </w:r>
    </w:p>
    <w:p w14:paraId="2289C89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73" name="IM 40"/>
            <wp:cNvGraphicFramePr/>
            <a:graphic xmlns:a="http://schemas.openxmlformats.org/drawingml/2006/main">
              <a:graphicData uri="http://schemas.openxmlformats.org/drawingml/2006/picture">
                <pic:pic xmlns:pic="http://schemas.openxmlformats.org/drawingml/2006/picture">
                  <pic:nvPicPr>
                    <pic:cNvPr id="73"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已知漏洞攻击；</w:t>
      </w:r>
    </w:p>
    <w:p w14:paraId="01C636F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74" name="IM 40"/>
            <wp:cNvGraphicFramePr/>
            <a:graphic xmlns:a="http://schemas.openxmlformats.org/drawingml/2006/main">
              <a:graphicData uri="http://schemas.openxmlformats.org/drawingml/2006/picture">
                <pic:pic xmlns:pic="http://schemas.openxmlformats.org/drawingml/2006/picture">
                  <pic:nvPicPr>
                    <pic:cNvPr id="74"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参数操控；</w:t>
      </w:r>
    </w:p>
    <w:p w14:paraId="6B53E7D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75" name="IM 40"/>
            <wp:cNvGraphicFramePr/>
            <a:graphic xmlns:a="http://schemas.openxmlformats.org/drawingml/2006/main">
              <a:graphicData uri="http://schemas.openxmlformats.org/drawingml/2006/picture">
                <pic:pic xmlns:pic="http://schemas.openxmlformats.org/drawingml/2006/picture">
                  <pic:nvPicPr>
                    <pic:cNvPr id="75"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跨站脚本；</w:t>
      </w:r>
    </w:p>
    <w:p w14:paraId="6300A6B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76" name="IM 40"/>
            <wp:cNvGraphicFramePr/>
            <a:graphic xmlns:a="http://schemas.openxmlformats.org/drawingml/2006/main">
              <a:graphicData uri="http://schemas.openxmlformats.org/drawingml/2006/picture">
                <pic:pic xmlns:pic="http://schemas.openxmlformats.org/drawingml/2006/picture">
                  <pic:nvPicPr>
                    <pic:cNvPr id="76"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指令注入；</w:t>
      </w:r>
    </w:p>
    <w:p w14:paraId="3475417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77" name="IM 40"/>
            <wp:cNvGraphicFramePr/>
            <a:graphic xmlns:a="http://schemas.openxmlformats.org/drawingml/2006/main">
              <a:graphicData uri="http://schemas.openxmlformats.org/drawingml/2006/picture">
                <pic:pic xmlns:pic="http://schemas.openxmlformats.org/drawingml/2006/picture">
                  <pic:nvPicPr>
                    <pic:cNvPr id="77"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HTTP 方法利用。</w:t>
      </w:r>
    </w:p>
    <w:p w14:paraId="7D7C227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position w:val="-5"/>
          <w:sz w:val="24"/>
          <w:szCs w:val="24"/>
        </w:rPr>
        <w:drawing>
          <wp:inline distT="0" distB="0" distL="0" distR="0">
            <wp:extent cx="122555" cy="168275"/>
            <wp:effectExtent l="0" t="0" r="14605" b="14605"/>
            <wp:docPr id="146" name="IM 146"/>
            <wp:cNvGraphicFramePr/>
            <a:graphic xmlns:a="http://schemas.openxmlformats.org/drawingml/2006/main">
              <a:graphicData uri="http://schemas.openxmlformats.org/drawingml/2006/picture">
                <pic:pic xmlns:pic="http://schemas.openxmlformats.org/drawingml/2006/picture">
                  <pic:nvPicPr>
                    <pic:cNvPr id="146" name="IM 146"/>
                    <pic:cNvPicPr/>
                  </pic:nvPicPr>
                  <pic:blipFill>
                    <a:blip r:embed="rId11"/>
                    <a:stretch>
                      <a:fillRect/>
                    </a:stretch>
                  </pic:blipFill>
                  <pic:spPr>
                    <a:xfrm>
                      <a:off x="0" y="0"/>
                      <a:ext cx="122986" cy="168859"/>
                    </a:xfrm>
                    <a:prstGeom prst="rect">
                      <a:avLst/>
                    </a:prstGeom>
                  </pic:spPr>
                </pic:pic>
              </a:graphicData>
            </a:graphic>
          </wp:inline>
        </w:drawing>
      </w:r>
      <w:r>
        <w:rPr>
          <w:rFonts w:hint="default"/>
          <w:sz w:val="24"/>
          <w:lang w:val="en-US" w:eastAsia="zh-CN"/>
        </w:rPr>
        <w:t>管理安全</w:t>
      </w:r>
    </w:p>
    <w:p w14:paraId="1A77A20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管理安全主要包括组织架构、安全策略、安全运行制度等方面，其评估的内容包括：</w:t>
      </w:r>
    </w:p>
    <w:p w14:paraId="7EABE1E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148" name="IM 148"/>
            <wp:cNvGraphicFramePr/>
            <a:graphic xmlns:a="http://schemas.openxmlformats.org/drawingml/2006/main">
              <a:graphicData uri="http://schemas.openxmlformats.org/drawingml/2006/picture">
                <pic:pic xmlns:pic="http://schemas.openxmlformats.org/drawingml/2006/picture">
                  <pic:nvPicPr>
                    <pic:cNvPr id="148" name="IM 148"/>
                    <pic:cNvPicPr/>
                  </pic:nvPicPr>
                  <pic:blipFill>
                    <a:blip r:embed="rId12"/>
                    <a:stretch>
                      <a:fillRect/>
                    </a:stretch>
                  </pic:blipFill>
                  <pic:spPr>
                    <a:xfrm>
                      <a:off x="0" y="0"/>
                      <a:ext cx="108203" cy="168859"/>
                    </a:xfrm>
                    <a:prstGeom prst="rect">
                      <a:avLst/>
                    </a:prstGeom>
                  </pic:spPr>
                </pic:pic>
              </a:graphicData>
            </a:graphic>
          </wp:inline>
        </w:drawing>
      </w:r>
      <w:r>
        <w:rPr>
          <w:rFonts w:hint="default"/>
          <w:sz w:val="24"/>
          <w:lang w:val="en-US" w:eastAsia="zh-CN"/>
        </w:rPr>
        <w:t>组织和人员安全；</w:t>
      </w:r>
    </w:p>
    <w:p w14:paraId="36C52F1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78" name="IM 148"/>
            <wp:cNvGraphicFramePr/>
            <a:graphic xmlns:a="http://schemas.openxmlformats.org/drawingml/2006/main">
              <a:graphicData uri="http://schemas.openxmlformats.org/drawingml/2006/picture">
                <pic:pic xmlns:pic="http://schemas.openxmlformats.org/drawingml/2006/picture">
                  <pic:nvPicPr>
                    <pic:cNvPr id="78" name="IM 148"/>
                    <pic:cNvPicPr/>
                  </pic:nvPicPr>
                  <pic:blipFill>
                    <a:blip r:embed="rId12"/>
                    <a:stretch>
                      <a:fillRect/>
                    </a:stretch>
                  </pic:blipFill>
                  <pic:spPr>
                    <a:xfrm>
                      <a:off x="0" y="0"/>
                      <a:ext cx="108203" cy="168859"/>
                    </a:xfrm>
                    <a:prstGeom prst="rect">
                      <a:avLst/>
                    </a:prstGeom>
                  </pic:spPr>
                </pic:pic>
              </a:graphicData>
            </a:graphic>
          </wp:inline>
        </w:drawing>
      </w:r>
      <w:r>
        <w:rPr>
          <w:rFonts w:hint="default"/>
          <w:sz w:val="24"/>
          <w:lang w:val="en-US" w:eastAsia="zh-CN"/>
        </w:rPr>
        <w:t>安全评估；</w:t>
      </w:r>
    </w:p>
    <w:p w14:paraId="5C348B2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79" name="IM 148"/>
            <wp:cNvGraphicFramePr/>
            <a:graphic xmlns:a="http://schemas.openxmlformats.org/drawingml/2006/main">
              <a:graphicData uri="http://schemas.openxmlformats.org/drawingml/2006/picture">
                <pic:pic xmlns:pic="http://schemas.openxmlformats.org/drawingml/2006/picture">
                  <pic:nvPicPr>
                    <pic:cNvPr id="79" name="IM 148"/>
                    <pic:cNvPicPr/>
                  </pic:nvPicPr>
                  <pic:blipFill>
                    <a:blip r:embed="rId12"/>
                    <a:stretch>
                      <a:fillRect/>
                    </a:stretch>
                  </pic:blipFill>
                  <pic:spPr>
                    <a:xfrm>
                      <a:off x="0" y="0"/>
                      <a:ext cx="108203" cy="168859"/>
                    </a:xfrm>
                    <a:prstGeom prst="rect">
                      <a:avLst/>
                    </a:prstGeom>
                  </pic:spPr>
                </pic:pic>
              </a:graphicData>
            </a:graphic>
          </wp:inline>
        </w:drawing>
      </w:r>
      <w:r>
        <w:rPr>
          <w:rFonts w:hint="default"/>
          <w:sz w:val="24"/>
          <w:lang w:val="en-US" w:eastAsia="zh-CN"/>
        </w:rPr>
        <w:t>第三方组织与外包安全；</w:t>
      </w:r>
    </w:p>
    <w:p w14:paraId="4CB294D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80" name="IM 148"/>
            <wp:cNvGraphicFramePr/>
            <a:graphic xmlns:a="http://schemas.openxmlformats.org/drawingml/2006/main">
              <a:graphicData uri="http://schemas.openxmlformats.org/drawingml/2006/picture">
                <pic:pic xmlns:pic="http://schemas.openxmlformats.org/drawingml/2006/picture">
                  <pic:nvPicPr>
                    <pic:cNvPr id="80" name="IM 148"/>
                    <pic:cNvPicPr/>
                  </pic:nvPicPr>
                  <pic:blipFill>
                    <a:blip r:embed="rId12"/>
                    <a:stretch>
                      <a:fillRect/>
                    </a:stretch>
                  </pic:blipFill>
                  <pic:spPr>
                    <a:xfrm>
                      <a:off x="0" y="0"/>
                      <a:ext cx="108203" cy="168859"/>
                    </a:xfrm>
                    <a:prstGeom prst="rect">
                      <a:avLst/>
                    </a:prstGeom>
                  </pic:spPr>
                </pic:pic>
              </a:graphicData>
            </a:graphic>
          </wp:inline>
        </w:drawing>
      </w:r>
      <w:r>
        <w:rPr>
          <w:rFonts w:hint="default"/>
          <w:sz w:val="24"/>
          <w:lang w:val="en-US" w:eastAsia="zh-CN"/>
        </w:rPr>
        <w:t>信息资产分类、分级；</w:t>
      </w:r>
    </w:p>
    <w:p w14:paraId="7475758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81" name="IM 148"/>
            <wp:cNvGraphicFramePr/>
            <a:graphic xmlns:a="http://schemas.openxmlformats.org/drawingml/2006/main">
              <a:graphicData uri="http://schemas.openxmlformats.org/drawingml/2006/picture">
                <pic:pic xmlns:pic="http://schemas.openxmlformats.org/drawingml/2006/picture">
                  <pic:nvPicPr>
                    <pic:cNvPr id="81" name="IM 148"/>
                    <pic:cNvPicPr/>
                  </pic:nvPicPr>
                  <pic:blipFill>
                    <a:blip r:embed="rId12"/>
                    <a:stretch>
                      <a:fillRect/>
                    </a:stretch>
                  </pic:blipFill>
                  <pic:spPr>
                    <a:xfrm>
                      <a:off x="0" y="0"/>
                      <a:ext cx="108203" cy="168859"/>
                    </a:xfrm>
                    <a:prstGeom prst="rect">
                      <a:avLst/>
                    </a:prstGeom>
                  </pic:spPr>
                </pic:pic>
              </a:graphicData>
            </a:graphic>
          </wp:inline>
        </w:drawing>
      </w:r>
      <w:r>
        <w:rPr>
          <w:rFonts w:hint="default"/>
          <w:sz w:val="24"/>
          <w:lang w:val="en-US" w:eastAsia="zh-CN"/>
        </w:rPr>
        <w:t>日常操作与维护管理；</w:t>
      </w:r>
    </w:p>
    <w:p w14:paraId="7B37036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82" name="IM 148"/>
            <wp:cNvGraphicFramePr/>
            <a:graphic xmlns:a="http://schemas.openxmlformats.org/drawingml/2006/main">
              <a:graphicData uri="http://schemas.openxmlformats.org/drawingml/2006/picture">
                <pic:pic xmlns:pic="http://schemas.openxmlformats.org/drawingml/2006/picture">
                  <pic:nvPicPr>
                    <pic:cNvPr id="82" name="IM 148"/>
                    <pic:cNvPicPr/>
                  </pic:nvPicPr>
                  <pic:blipFill>
                    <a:blip r:embed="rId12"/>
                    <a:stretch>
                      <a:fillRect/>
                    </a:stretch>
                  </pic:blipFill>
                  <pic:spPr>
                    <a:xfrm>
                      <a:off x="0" y="0"/>
                      <a:ext cx="108203" cy="168859"/>
                    </a:xfrm>
                    <a:prstGeom prst="rect">
                      <a:avLst/>
                    </a:prstGeom>
                  </pic:spPr>
                </pic:pic>
              </a:graphicData>
            </a:graphic>
          </wp:inline>
        </w:drawing>
      </w:r>
      <w:r>
        <w:rPr>
          <w:rFonts w:hint="default"/>
          <w:sz w:val="24"/>
          <w:lang w:val="en-US" w:eastAsia="zh-CN"/>
        </w:rPr>
        <w:t>变更；</w:t>
      </w:r>
    </w:p>
    <w:p w14:paraId="2259966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83" name="IM 148"/>
            <wp:cNvGraphicFramePr/>
            <a:graphic xmlns:a="http://schemas.openxmlformats.org/drawingml/2006/main">
              <a:graphicData uri="http://schemas.openxmlformats.org/drawingml/2006/picture">
                <pic:pic xmlns:pic="http://schemas.openxmlformats.org/drawingml/2006/picture">
                  <pic:nvPicPr>
                    <pic:cNvPr id="83" name="IM 148"/>
                    <pic:cNvPicPr/>
                  </pic:nvPicPr>
                  <pic:blipFill>
                    <a:blip r:embed="rId12"/>
                    <a:stretch>
                      <a:fillRect/>
                    </a:stretch>
                  </pic:blipFill>
                  <pic:spPr>
                    <a:xfrm>
                      <a:off x="0" y="0"/>
                      <a:ext cx="108203" cy="168859"/>
                    </a:xfrm>
                    <a:prstGeom prst="rect">
                      <a:avLst/>
                    </a:prstGeom>
                  </pic:spPr>
                </pic:pic>
              </a:graphicData>
            </a:graphic>
          </wp:inline>
        </w:drawing>
      </w:r>
      <w:r>
        <w:rPr>
          <w:rFonts w:hint="default"/>
          <w:sz w:val="24"/>
          <w:lang w:val="en-US" w:eastAsia="zh-CN"/>
        </w:rPr>
        <w:t>备份与故障恢复；</w:t>
      </w:r>
    </w:p>
    <w:p w14:paraId="738B99A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84" name="IM 148"/>
            <wp:cNvGraphicFramePr/>
            <a:graphic xmlns:a="http://schemas.openxmlformats.org/drawingml/2006/main">
              <a:graphicData uri="http://schemas.openxmlformats.org/drawingml/2006/picture">
                <pic:pic xmlns:pic="http://schemas.openxmlformats.org/drawingml/2006/picture">
                  <pic:nvPicPr>
                    <pic:cNvPr id="84" name="IM 148"/>
                    <pic:cNvPicPr/>
                  </pic:nvPicPr>
                  <pic:blipFill>
                    <a:blip r:embed="rId12"/>
                    <a:stretch>
                      <a:fillRect/>
                    </a:stretch>
                  </pic:blipFill>
                  <pic:spPr>
                    <a:xfrm>
                      <a:off x="0" y="0"/>
                      <a:ext cx="108203" cy="168859"/>
                    </a:xfrm>
                    <a:prstGeom prst="rect">
                      <a:avLst/>
                    </a:prstGeom>
                  </pic:spPr>
                </pic:pic>
              </a:graphicData>
            </a:graphic>
          </wp:inline>
        </w:drawing>
      </w:r>
      <w:r>
        <w:rPr>
          <w:rFonts w:hint="default"/>
          <w:sz w:val="24"/>
          <w:lang w:val="en-US" w:eastAsia="zh-CN"/>
        </w:rPr>
        <w:t>应急处理；</w:t>
      </w:r>
    </w:p>
    <w:p w14:paraId="74108E2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85" name="IM 148"/>
            <wp:cNvGraphicFramePr/>
            <a:graphic xmlns:a="http://schemas.openxmlformats.org/drawingml/2006/main">
              <a:graphicData uri="http://schemas.openxmlformats.org/drawingml/2006/picture">
                <pic:pic xmlns:pic="http://schemas.openxmlformats.org/drawingml/2006/picture">
                  <pic:nvPicPr>
                    <pic:cNvPr id="85" name="IM 148"/>
                    <pic:cNvPicPr/>
                  </pic:nvPicPr>
                  <pic:blipFill>
                    <a:blip r:embed="rId12"/>
                    <a:stretch>
                      <a:fillRect/>
                    </a:stretch>
                  </pic:blipFill>
                  <pic:spPr>
                    <a:xfrm>
                      <a:off x="0" y="0"/>
                      <a:ext cx="108203" cy="168859"/>
                    </a:xfrm>
                    <a:prstGeom prst="rect">
                      <a:avLst/>
                    </a:prstGeom>
                  </pic:spPr>
                </pic:pic>
              </a:graphicData>
            </a:graphic>
          </wp:inline>
        </w:drawing>
      </w:r>
      <w:r>
        <w:rPr>
          <w:rFonts w:hint="default"/>
          <w:sz w:val="24"/>
          <w:lang w:val="en-US" w:eastAsia="zh-CN"/>
        </w:rPr>
        <w:t>业务持续性管理；</w:t>
      </w:r>
    </w:p>
    <w:p w14:paraId="4CF7E3D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86" name="IM 148"/>
            <wp:cNvGraphicFramePr/>
            <a:graphic xmlns:a="http://schemas.openxmlformats.org/drawingml/2006/main">
              <a:graphicData uri="http://schemas.openxmlformats.org/drawingml/2006/picture">
                <pic:pic xmlns:pic="http://schemas.openxmlformats.org/drawingml/2006/picture">
                  <pic:nvPicPr>
                    <pic:cNvPr id="86" name="IM 148"/>
                    <pic:cNvPicPr/>
                  </pic:nvPicPr>
                  <pic:blipFill>
                    <a:blip r:embed="rId12"/>
                    <a:stretch>
                      <a:fillRect/>
                    </a:stretch>
                  </pic:blipFill>
                  <pic:spPr>
                    <a:xfrm>
                      <a:off x="0" y="0"/>
                      <a:ext cx="108203" cy="168859"/>
                    </a:xfrm>
                    <a:prstGeom prst="rect">
                      <a:avLst/>
                    </a:prstGeom>
                  </pic:spPr>
                </pic:pic>
              </a:graphicData>
            </a:graphic>
          </wp:inline>
        </w:drawing>
      </w:r>
      <w:r>
        <w:rPr>
          <w:rFonts w:hint="default"/>
          <w:sz w:val="24"/>
          <w:lang w:val="en-US" w:eastAsia="zh-CN"/>
        </w:rPr>
        <w:t>认证/认可。</w:t>
      </w:r>
    </w:p>
    <w:p w14:paraId="5A03BFED">
      <w:pPr>
        <w:pStyle w:val="5"/>
        <w:bidi w:val="0"/>
        <w:rPr>
          <w:rFonts w:hint="default"/>
          <w:lang w:val="en-US" w:eastAsia="zh-CN"/>
        </w:rPr>
      </w:pPr>
      <w:r>
        <w:rPr>
          <w:rFonts w:hint="default"/>
          <w:lang w:val="en-US" w:eastAsia="zh-CN"/>
        </w:rPr>
        <w:t>3.4.4.2脆弱性识别方法</w:t>
      </w:r>
    </w:p>
    <w:p w14:paraId="5CA7F46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脆弱性识别所采用的方法主要为：问卷调查、人员问询、工具扫描、手动检查、文档审查、渗透测试等。</w:t>
      </w:r>
    </w:p>
    <w:p w14:paraId="52B91AD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脆弱性识别在技术方面主要是通过远程和本地两种方式进行系统测试、对网络设备和主机等进行人工检查，以保证技术脆弱性评估的全面性和有效性。通常情况下包括现场手工检查与审核、设备工具测试、渗透测试等活动，这些活动都是为了发现资产的弱点。为了不影响业务的开展，减少评估带来的风险，本标准规定：本公司信息安全管理委员会必须事先书面说明自动工具扫描或渗透测试的风险和不可恢复性，除非得到信息系统所有者的书面认可，不得进行自动工具扫描或渗透测试。</w:t>
      </w:r>
    </w:p>
    <w:p w14:paraId="36FEDE6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此外，脆弱性识别进行安全检查与测试时会涉及被检测对象的核心秘密，如：系统配置、安全漏洞等，具有一定的风险，在实施这些检测活动前需要获得相关部门的授权，明确检测时间、检测对象、本公司信息安全管理委员会与信息系统所有者双方的权利、责任与义务，并签字认可。</w:t>
      </w:r>
    </w:p>
    <w:p w14:paraId="1238CA2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安全检查与测试的方法主要如下：</w:t>
      </w:r>
    </w:p>
    <w:p w14:paraId="5A08923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手工安全检测</w:t>
      </w:r>
    </w:p>
    <w:p w14:paraId="0880C5E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参照重要资产清单，使用检查表（Checklist）逐一手工检查测试服务或系统类资产的管理或技术弱点，包括：网络设备（路由器/交换机等）安全检测、操作系统/服务安全检测、数据库管理系统安全检测、应用系统安全检测、安全设备（防火墙等）安全检测等。需要注意的是，由于业务信息、软件、硬件资产本身存在弱点无法改变，因此对这三类资产只针对资产所处环境进行弱点检测，如：对硬件设备物理环境弱点检测，对软件处应用平台、传输网络环境进行弱点检测等。</w:t>
      </w:r>
    </w:p>
    <w:p w14:paraId="75DD955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为了保证手工安全检测的顺利完成，本公司信息安全管理委员会事前需要制定详细的实施计划，在检测完成后要形成安全检测报告。</w:t>
      </w:r>
    </w:p>
    <w:p w14:paraId="6C9B237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设备工具测试</w:t>
      </w:r>
    </w:p>
    <w:p w14:paraId="3937AAF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参照重要资产清单，使用设备及测试工具逐一比对资产的配置或技术弱点，包括网络安全测试、系统安全测试、数据库安全测试、应用安全测试等。由于仪器设备在测试过程中具有一定的攻击性，因此需要审慎实施测试活动，包括严格规定测试的时间/范围/内容等，并作好应急准备，使测试活动对业务的影响降到最低。</w:t>
      </w:r>
    </w:p>
    <w:p w14:paraId="0FD022B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为了保证设备工具测试的顺利完成，本公司信息安全管理委员会事前需要制定详细的测试计划和突发安全事件的应急处理计划，并得到信息系统所有者的许可。在测试完成后要汇总测试报告。</w:t>
      </w:r>
    </w:p>
    <w:p w14:paraId="69FA6F2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渗透测试</w:t>
      </w:r>
    </w:p>
    <w:p w14:paraId="0AAF90E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渗透测试是模拟黑客行为对目标对象进行入侵， 目的是发现目标对象的管理与技术弱点以及这些弱点被成功利用的可能。渗透测试对测试人员的技术能力要求较高，相比设备工具测试，渗透测试则具有较强的攻击性，因此信息系统所有者可以根据自己的技术实力，以及其它实际情况决定是否实施渗透测试，如果实施，需要严格控制测试的时间/范围等，并作好应急准备。</w:t>
      </w:r>
    </w:p>
    <w:p w14:paraId="79A9A25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在信息系统安全运行的前提下，本公司信息安全管理委员会事前需要制定详细的渗透测试计划和突发安全事件的应急处理计划，在得到信息系统所有者许可的同时，由信息系统所有者技术负责人现场监督下实施开展。在渗透测试完成后由本公司信息安全管理委员会形成渗透测试报告。</w:t>
      </w:r>
    </w:p>
    <w:p w14:paraId="43387E40">
      <w:pPr>
        <w:pStyle w:val="7"/>
        <w:spacing w:line="219" w:lineRule="auto"/>
        <w:rPr>
          <w:sz w:val="24"/>
          <w:szCs w:val="24"/>
        </w:rPr>
      </w:pPr>
      <w:r>
        <w:rPr>
          <w:position w:val="-5"/>
          <w:sz w:val="24"/>
          <w:szCs w:val="24"/>
        </w:rPr>
        <w:drawing>
          <wp:inline distT="0" distB="0" distL="0" distR="0">
            <wp:extent cx="122555" cy="168275"/>
            <wp:effectExtent l="0" t="0" r="14605" b="14605"/>
            <wp:docPr id="174" name="IM 174"/>
            <wp:cNvGraphicFramePr/>
            <a:graphic xmlns:a="http://schemas.openxmlformats.org/drawingml/2006/main">
              <a:graphicData uri="http://schemas.openxmlformats.org/drawingml/2006/picture">
                <pic:pic xmlns:pic="http://schemas.openxmlformats.org/drawingml/2006/picture">
                  <pic:nvPicPr>
                    <pic:cNvPr id="174" name="IM 174"/>
                    <pic:cNvPicPr/>
                  </pic:nvPicPr>
                  <pic:blipFill>
                    <a:blip r:embed="rId11"/>
                    <a:stretch>
                      <a:fillRect/>
                    </a:stretch>
                  </pic:blipFill>
                  <pic:spPr>
                    <a:xfrm>
                      <a:off x="0" y="0"/>
                      <a:ext cx="122986" cy="168859"/>
                    </a:xfrm>
                    <a:prstGeom prst="rect">
                      <a:avLst/>
                    </a:prstGeom>
                  </pic:spPr>
                </pic:pic>
              </a:graphicData>
            </a:graphic>
          </wp:inline>
        </w:drawing>
      </w:r>
      <w:r>
        <w:rPr>
          <w:spacing w:val="97"/>
          <w:sz w:val="24"/>
          <w:szCs w:val="24"/>
        </w:rPr>
        <w:t xml:space="preserve"> </w:t>
      </w:r>
      <w:r>
        <w:rPr>
          <w:b/>
          <w:bCs/>
          <w:spacing w:val="-7"/>
          <w:sz w:val="24"/>
          <w:szCs w:val="24"/>
        </w:rPr>
        <w:t>脆弱性赋值</w:t>
      </w:r>
    </w:p>
    <w:p w14:paraId="31E86CF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脆弱性评估将针对每一项需要保护的信息资产，找出每一种威胁可能利用的脆弱性，并对脆弱性的严重程度进行评估，换句话说，就是对脆弱性被威胁利用的可能性进行评估。最终脆弱性的赋值采用经验判断法，依据脆弱性的种类列表综合判断一旦遭受威胁列表中的威胁，定性出相对等级的方式。脆弱性的等级划分为五级，从 1 到5 分别代表五个级别的某种资产脆弱程度。等级越大，脆弱程度越高。</w:t>
      </w:r>
    </w:p>
    <w:p w14:paraId="5697998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同样，评估者也可以根据被评估系统的实际情况自定义脆弱性的等级。但该评定方法必须在事先得到信息系统所有者认可。</w:t>
      </w:r>
    </w:p>
    <w:p w14:paraId="5804F1A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资产的脆弱性与组织对其所采取的安全控制有关，因此判定威胁发生的可能性时应特别关注已有的安全控制对资产脆弱性的影响。</w:t>
      </w:r>
    </w:p>
    <w:p w14:paraId="45D4FDE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阶段成果：在本阶段结束后本公司信息安全管理委员会应针对不同分类的评估对象自身的弱点，形成脆弱性列表，并向信息系统所有者提供（列表可附在风险评估程序中，也可单独形成文件），为风险评估提供支持。《脆弱性列表》一般包括具体弱点的名称、描述、类型及严重程度等，须由信息系统所有者书面确认。</w:t>
      </w:r>
    </w:p>
    <w:p w14:paraId="180AD35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脆弱性识别阶段小结如表</w:t>
      </w:r>
    </w:p>
    <w:tbl>
      <w:tblPr>
        <w:tblStyle w:val="15"/>
        <w:tblW w:w="85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6615"/>
      </w:tblGrid>
      <w:tr w14:paraId="4D0F42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6" w:type="dxa"/>
            <w:gridSpan w:val="2"/>
            <w:shd w:val="clear" w:color="auto" w:fill="auto"/>
            <w:vAlign w:val="top"/>
          </w:tcPr>
          <w:p w14:paraId="3D6705DD">
            <w:pPr>
              <w:spacing w:before="247" w:line="219" w:lineRule="auto"/>
              <w:ind w:left="116"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脆弱性识别阶段</w:t>
            </w:r>
          </w:p>
        </w:tc>
      </w:tr>
      <w:tr w14:paraId="28C0D3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shd w:val="clear" w:color="auto" w:fill="auto"/>
            <w:vAlign w:val="top"/>
          </w:tcPr>
          <w:p w14:paraId="5DF57A7B">
            <w:pPr>
              <w:pStyle w:val="22"/>
              <w:spacing w:line="261" w:lineRule="auto"/>
            </w:pPr>
          </w:p>
          <w:p w14:paraId="5484B77D">
            <w:pPr>
              <w:pStyle w:val="22"/>
              <w:spacing w:line="262" w:lineRule="auto"/>
            </w:pPr>
          </w:p>
          <w:p w14:paraId="229B7236">
            <w:pPr>
              <w:spacing w:before="78" w:line="219" w:lineRule="auto"/>
              <w:ind w:left="119"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工作任务</w:t>
            </w:r>
          </w:p>
        </w:tc>
        <w:tc>
          <w:tcPr>
            <w:tcW w:w="6615" w:type="dxa"/>
            <w:shd w:val="clear" w:color="auto" w:fill="auto"/>
            <w:vAlign w:val="top"/>
          </w:tcPr>
          <w:p w14:paraId="2907560A">
            <w:pPr>
              <w:spacing w:before="242" w:line="219" w:lineRule="auto"/>
              <w:ind w:left="140"/>
            </w:pPr>
            <w:r>
              <w:rPr>
                <w:rFonts w:ascii="宋体" w:hAnsi="宋体" w:eastAsia="宋体" w:cs="宋体"/>
                <w:spacing w:val="-5"/>
                <w:sz w:val="24"/>
                <w:szCs w:val="24"/>
              </w:rPr>
              <w:t>以资产为核心，从技术和管理两个方面识别</w:t>
            </w:r>
            <w:r>
              <w:rPr>
                <w:rFonts w:ascii="宋体" w:hAnsi="宋体" w:eastAsia="宋体" w:cs="宋体"/>
                <w:spacing w:val="-6"/>
                <w:sz w:val="24"/>
                <w:szCs w:val="24"/>
              </w:rPr>
              <w:t>其存在的弱点；</w:t>
            </w:r>
          </w:p>
          <w:p w14:paraId="2DCA0D93">
            <w:pPr>
              <w:spacing w:before="78" w:line="218" w:lineRule="auto"/>
              <w:ind w:left="112" w:leftChars="0"/>
              <w:rPr>
                <w:rFonts w:hint="default" w:ascii="宋体" w:hAnsi="宋体" w:eastAsia="宋体" w:cs="宋体"/>
                <w:kern w:val="2"/>
                <w:sz w:val="24"/>
                <w:szCs w:val="24"/>
                <w:lang w:val="en-US" w:eastAsia="zh-CN" w:bidi="ar-SA"/>
              </w:rPr>
            </w:pPr>
            <w:r>
              <w:rPr>
                <w:rFonts w:ascii="宋体" w:hAnsi="宋体" w:eastAsia="宋体" w:cs="宋体"/>
                <w:spacing w:val="-4"/>
                <w:sz w:val="24"/>
                <w:szCs w:val="24"/>
              </w:rPr>
              <w:t>对脆弱性被威胁利用的可能性进行评估，对脆弱</w:t>
            </w:r>
            <w:r>
              <w:rPr>
                <w:rFonts w:ascii="宋体" w:hAnsi="宋体" w:eastAsia="宋体" w:cs="宋体"/>
                <w:spacing w:val="-5"/>
                <w:sz w:val="24"/>
                <w:szCs w:val="24"/>
              </w:rPr>
              <w:t>性进行赋值</w:t>
            </w:r>
          </w:p>
        </w:tc>
      </w:tr>
      <w:tr w14:paraId="535963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shd w:val="clear" w:color="auto" w:fill="auto"/>
            <w:vAlign w:val="top"/>
          </w:tcPr>
          <w:p w14:paraId="6FBDC720">
            <w:pPr>
              <w:spacing w:before="246" w:line="220" w:lineRule="auto"/>
              <w:ind w:left="119"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工作方式</w:t>
            </w:r>
          </w:p>
        </w:tc>
        <w:tc>
          <w:tcPr>
            <w:tcW w:w="6615" w:type="dxa"/>
            <w:shd w:val="clear" w:color="auto" w:fill="auto"/>
            <w:vAlign w:val="top"/>
          </w:tcPr>
          <w:p w14:paraId="5D2E8334">
            <w:pPr>
              <w:spacing w:before="246" w:line="219" w:lineRule="auto"/>
              <w:ind w:left="140"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问卷调查、人员问询、手动检查、文档审查等</w:t>
            </w:r>
          </w:p>
        </w:tc>
      </w:tr>
      <w:tr w14:paraId="26F42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shd w:val="clear" w:color="auto" w:fill="auto"/>
            <w:vAlign w:val="top"/>
          </w:tcPr>
          <w:p w14:paraId="47A0E2C1">
            <w:pPr>
              <w:spacing w:before="247" w:line="221" w:lineRule="auto"/>
              <w:ind w:left="118"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参与人员</w:t>
            </w:r>
          </w:p>
        </w:tc>
        <w:tc>
          <w:tcPr>
            <w:tcW w:w="6615" w:type="dxa"/>
            <w:shd w:val="clear" w:color="auto" w:fill="auto"/>
            <w:vAlign w:val="top"/>
          </w:tcPr>
          <w:p w14:paraId="73678BDA">
            <w:pPr>
              <w:spacing w:before="247" w:line="218" w:lineRule="auto"/>
              <w:ind w:left="113"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信息系统所有者项目负责人及相关技术人员，评估小组</w:t>
            </w:r>
          </w:p>
        </w:tc>
      </w:tr>
      <w:tr w14:paraId="2D1B51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shd w:val="clear" w:color="auto" w:fill="auto"/>
            <w:vAlign w:val="top"/>
          </w:tcPr>
          <w:p w14:paraId="79DFB211">
            <w:pPr>
              <w:spacing w:before="246" w:line="220" w:lineRule="auto"/>
              <w:ind w:left="126" w:leftChars="0"/>
              <w:rPr>
                <w:rFonts w:hint="default" w:ascii="宋体" w:hAnsi="宋体" w:eastAsia="宋体" w:cs="宋体"/>
                <w:kern w:val="2"/>
                <w:sz w:val="24"/>
                <w:szCs w:val="24"/>
                <w:lang w:val="en-US" w:eastAsia="zh-CN" w:bidi="ar-SA"/>
              </w:rPr>
            </w:pPr>
            <w:r>
              <w:rPr>
                <w:rFonts w:ascii="宋体" w:hAnsi="宋体" w:eastAsia="宋体" w:cs="宋体"/>
                <w:spacing w:val="-7"/>
                <w:sz w:val="24"/>
                <w:szCs w:val="24"/>
              </w:rPr>
              <w:t>阶段成果</w:t>
            </w:r>
          </w:p>
        </w:tc>
        <w:tc>
          <w:tcPr>
            <w:tcW w:w="6615" w:type="dxa"/>
            <w:shd w:val="clear" w:color="auto" w:fill="auto"/>
            <w:vAlign w:val="top"/>
          </w:tcPr>
          <w:p w14:paraId="33D5E81C">
            <w:pPr>
              <w:spacing w:before="246" w:line="218" w:lineRule="auto"/>
              <w:ind w:left="119"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《信息安全风险评估表》中的脆弱性部分</w:t>
            </w:r>
          </w:p>
        </w:tc>
      </w:tr>
    </w:tbl>
    <w:p w14:paraId="5A459072">
      <w:pPr>
        <w:pStyle w:val="4"/>
        <w:bidi w:val="0"/>
        <w:rPr>
          <w:rFonts w:hint="default"/>
          <w:lang w:val="en-US" w:eastAsia="zh-CN"/>
        </w:rPr>
      </w:pPr>
      <w:bookmarkStart w:id="13" w:name="_Toc18581"/>
      <w:r>
        <w:rPr>
          <w:rFonts w:hint="default"/>
          <w:lang w:val="en-US" w:eastAsia="zh-CN"/>
        </w:rPr>
        <w:t>3.4.5 已有安全措施的确认</w:t>
      </w:r>
      <w:bookmarkEnd w:id="13"/>
    </w:p>
    <w:p w14:paraId="74C0049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评估小组在识别资产脆弱性的同时，还应当详细分析针对该资产的已有或已规划的安全措施，并评价这些安全措施针的有效性。该部分不但要对技术措施进行分析，而且对系统现有管理制度的分析也要予以充分重视。</w:t>
      </w:r>
    </w:p>
    <w:p w14:paraId="714FA5A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在风险评估中应对系统已采取的技术安全控制措施进行识别，并对控制措施有效性进行核查。核查包括对防火墙、IDS、交换机等网络设备的安全配置检查；操作系统、数据库安全功能检查；应用软件安全功能验证等；将有效的安全控制措施继续保持，并进行优化，以避免不必要的工作和费用，防止控制措施的重复实施。对于那些确认为不适当的控制应取消，或者用更合适的控制代替。</w:t>
      </w:r>
    </w:p>
    <w:p w14:paraId="2289792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现行安全管理制度分析分为两个部分：一个是对安全产品统一管理分析，避免安全盲区的产生；另一个是对安全管理制度规范和安全意识的分析。希望通过现行管理制度分析，把分散的技术因素、人的因素，通过政策规则、运作流程协调整合成为一体。</w:t>
      </w:r>
    </w:p>
    <w:p w14:paraId="2F55FF2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评估小组应对已采取的控制措施进行识别并对控制措施的有效性进行确认，将有效的安全控制措施继续保持，以避免不必要的工作和费用，防止控制措施的重复实施。对于那些确认为不适当的控制应核查是否应被取消，或者用更合适的控制代替。</w:t>
      </w:r>
    </w:p>
    <w:tbl>
      <w:tblPr>
        <w:tblStyle w:val="15"/>
        <w:tblW w:w="84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2"/>
        <w:gridCol w:w="6654"/>
      </w:tblGrid>
      <w:tr w14:paraId="27181B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shd w:val="clear" w:color="auto" w:fill="auto"/>
            <w:vAlign w:val="top"/>
          </w:tcPr>
          <w:p w14:paraId="32E70555">
            <w:pPr>
              <w:spacing w:before="247" w:line="219" w:lineRule="auto"/>
              <w:ind w:left="122"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安全措施分类</w:t>
            </w:r>
          </w:p>
        </w:tc>
        <w:tc>
          <w:tcPr>
            <w:tcW w:w="6654" w:type="dxa"/>
            <w:shd w:val="clear" w:color="auto" w:fill="auto"/>
            <w:vAlign w:val="top"/>
          </w:tcPr>
          <w:p w14:paraId="5BB9C654">
            <w:pPr>
              <w:spacing w:before="247" w:line="219" w:lineRule="auto"/>
              <w:ind w:left="115"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包含的内容</w:t>
            </w:r>
          </w:p>
        </w:tc>
      </w:tr>
      <w:tr w14:paraId="475BF5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shd w:val="clear" w:color="auto" w:fill="auto"/>
            <w:vAlign w:val="top"/>
          </w:tcPr>
          <w:p w14:paraId="0893259D">
            <w:pPr>
              <w:spacing w:before="244" w:line="219" w:lineRule="auto"/>
              <w:ind w:left="123" w:leftChars="0"/>
              <w:rPr>
                <w:rFonts w:hint="default" w:ascii="宋体" w:hAnsi="宋体" w:eastAsia="宋体" w:cs="宋体"/>
                <w:kern w:val="2"/>
                <w:sz w:val="24"/>
                <w:szCs w:val="24"/>
                <w:lang w:val="en-US" w:eastAsia="zh-CN" w:bidi="ar-SA"/>
              </w:rPr>
            </w:pPr>
            <w:r>
              <w:rPr>
                <w:rFonts w:ascii="宋体" w:hAnsi="宋体" w:eastAsia="宋体" w:cs="宋体"/>
                <w:spacing w:val="-7"/>
                <w:sz w:val="24"/>
                <w:szCs w:val="24"/>
              </w:rPr>
              <w:t>管理性</w:t>
            </w:r>
          </w:p>
        </w:tc>
        <w:tc>
          <w:tcPr>
            <w:tcW w:w="6654" w:type="dxa"/>
            <w:shd w:val="clear" w:color="auto" w:fill="auto"/>
            <w:vAlign w:val="top"/>
          </w:tcPr>
          <w:p w14:paraId="7E9E66FF">
            <w:pPr>
              <w:spacing w:before="244" w:line="219" w:lineRule="auto"/>
              <w:ind w:left="114"/>
              <w:rPr>
                <w:rFonts w:ascii="宋体" w:hAnsi="宋体" w:eastAsia="宋体" w:cs="宋体"/>
                <w:sz w:val="24"/>
                <w:szCs w:val="24"/>
              </w:rPr>
            </w:pPr>
            <w:r>
              <w:rPr>
                <w:rFonts w:ascii="宋体" w:hAnsi="宋体" w:eastAsia="宋体" w:cs="宋体"/>
                <w:spacing w:val="-2"/>
                <w:sz w:val="24"/>
                <w:szCs w:val="24"/>
              </w:rPr>
              <w:t>对系统的开发、维护和使用实施管理的措施，包括安全策略、</w:t>
            </w:r>
          </w:p>
          <w:p w14:paraId="695E6766">
            <w:pPr>
              <w:spacing w:before="78" w:line="219" w:lineRule="auto"/>
              <w:rPr>
                <w:rFonts w:hint="default" w:ascii="宋体" w:hAnsi="宋体" w:eastAsia="宋体" w:cs="宋体"/>
                <w:kern w:val="2"/>
                <w:sz w:val="24"/>
                <w:szCs w:val="24"/>
                <w:lang w:val="en-US" w:eastAsia="zh-CN" w:bidi="ar-SA"/>
              </w:rPr>
            </w:pPr>
            <w:r>
              <w:rPr>
                <w:rFonts w:ascii="宋体" w:hAnsi="宋体" w:eastAsia="宋体" w:cs="宋体"/>
                <w:spacing w:val="-4"/>
                <w:sz w:val="24"/>
                <w:szCs w:val="24"/>
              </w:rPr>
              <w:t>程序管理、风险管理、安全保障、系统生命</w:t>
            </w:r>
            <w:r>
              <w:rPr>
                <w:rFonts w:ascii="宋体" w:hAnsi="宋体" w:eastAsia="宋体" w:cs="宋体"/>
                <w:spacing w:val="-5"/>
                <w:sz w:val="24"/>
                <w:szCs w:val="24"/>
              </w:rPr>
              <w:t>周期管理等。</w:t>
            </w:r>
          </w:p>
        </w:tc>
      </w:tr>
      <w:tr w14:paraId="780CA7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shd w:val="clear" w:color="auto" w:fill="auto"/>
            <w:vAlign w:val="top"/>
          </w:tcPr>
          <w:p w14:paraId="54934A9E">
            <w:pPr>
              <w:spacing w:before="246" w:line="219" w:lineRule="auto"/>
              <w:ind w:left="117"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操作性</w:t>
            </w:r>
          </w:p>
        </w:tc>
        <w:tc>
          <w:tcPr>
            <w:tcW w:w="6654" w:type="dxa"/>
            <w:shd w:val="clear" w:color="auto" w:fill="auto"/>
            <w:vAlign w:val="top"/>
          </w:tcPr>
          <w:p w14:paraId="53D070A0">
            <w:pPr>
              <w:spacing w:before="245" w:line="219" w:lineRule="auto"/>
              <w:ind w:left="117"/>
            </w:pPr>
            <w:r>
              <w:rPr>
                <w:rFonts w:ascii="宋体" w:hAnsi="宋体" w:eastAsia="宋体" w:cs="宋体"/>
                <w:spacing w:val="-2"/>
                <w:sz w:val="24"/>
                <w:szCs w:val="24"/>
              </w:rPr>
              <w:t>用来保护系统和应用操作的流程和机制，包括人员职责、应急</w:t>
            </w:r>
          </w:p>
          <w:p w14:paraId="5A8A3683">
            <w:pPr>
              <w:spacing w:before="78" w:line="219" w:lineRule="auto"/>
              <w:ind w:left="127"/>
              <w:rPr>
                <w:rFonts w:ascii="宋体" w:hAnsi="宋体" w:eastAsia="宋体" w:cs="宋体"/>
                <w:sz w:val="24"/>
                <w:szCs w:val="24"/>
              </w:rPr>
            </w:pPr>
            <w:r>
              <w:rPr>
                <w:rFonts w:ascii="宋体" w:hAnsi="宋体" w:eastAsia="宋体" w:cs="宋体"/>
                <w:spacing w:val="-2"/>
                <w:sz w:val="24"/>
                <w:szCs w:val="24"/>
              </w:rPr>
              <w:t>响应、事件处理、意识培训、系统支持和操</w:t>
            </w:r>
            <w:r>
              <w:rPr>
                <w:rFonts w:ascii="宋体" w:hAnsi="宋体" w:eastAsia="宋体" w:cs="宋体"/>
                <w:spacing w:val="-3"/>
                <w:sz w:val="24"/>
                <w:szCs w:val="24"/>
              </w:rPr>
              <w:t>作、物理和环境安</w:t>
            </w:r>
          </w:p>
          <w:p w14:paraId="2ACC5D44">
            <w:pPr>
              <w:spacing w:before="78" w:line="219" w:lineRule="auto"/>
              <w:ind w:left="115"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全等。</w:t>
            </w:r>
          </w:p>
        </w:tc>
      </w:tr>
      <w:tr w14:paraId="5DD9A4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shd w:val="clear" w:color="auto" w:fill="auto"/>
            <w:vAlign w:val="top"/>
          </w:tcPr>
          <w:p w14:paraId="0632C549">
            <w:pPr>
              <w:spacing w:before="248" w:line="219" w:lineRule="auto"/>
              <w:ind w:left="118"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技术性</w:t>
            </w:r>
          </w:p>
        </w:tc>
        <w:tc>
          <w:tcPr>
            <w:tcW w:w="6654" w:type="dxa"/>
            <w:shd w:val="clear" w:color="auto" w:fill="auto"/>
            <w:vAlign w:val="top"/>
          </w:tcPr>
          <w:p w14:paraId="6D853356">
            <w:pPr>
              <w:spacing w:before="248" w:line="219" w:lineRule="auto"/>
              <w:ind w:left="121"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身份识别与认证、逻辑访问控制、日志审计、加密等。</w:t>
            </w:r>
          </w:p>
        </w:tc>
      </w:tr>
    </w:tbl>
    <w:p w14:paraId="69E516C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p>
    <w:p w14:paraId="405047C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阶段成果：在本阶段结束后本公司信息安全管理委员会将向信息系统所有者提供《已有安全措施确认表》，并由信息系统所有者书面确认。《已有安全措施确认表》：根据对已采取的安全措施确认的结果，形成已有安全措施确认表，包括已有安全措施名称、类型、功能描述及实施效果等。</w:t>
      </w:r>
    </w:p>
    <w:p w14:paraId="0FA88AD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已有安全措施确认阶段小结如表3.16 所示：</w:t>
      </w:r>
    </w:p>
    <w:tbl>
      <w:tblPr>
        <w:tblStyle w:val="15"/>
        <w:tblW w:w="90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1"/>
        <w:gridCol w:w="7253"/>
      </w:tblGrid>
      <w:tr w14:paraId="149FC6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4" w:type="dxa"/>
            <w:gridSpan w:val="2"/>
            <w:shd w:val="clear" w:color="auto" w:fill="auto"/>
            <w:vAlign w:val="top"/>
          </w:tcPr>
          <w:p w14:paraId="0C18FA8D">
            <w:pPr>
              <w:spacing w:before="247" w:line="220" w:lineRule="auto"/>
              <w:ind w:left="144" w:leftChars="0"/>
              <w:rPr>
                <w:rFonts w:hint="default" w:ascii="宋体" w:hAnsi="宋体" w:eastAsia="宋体" w:cs="宋体"/>
                <w:kern w:val="2"/>
                <w:sz w:val="24"/>
                <w:szCs w:val="24"/>
                <w:lang w:val="en-US" w:eastAsia="zh-CN" w:bidi="ar-SA"/>
              </w:rPr>
            </w:pPr>
            <w:r>
              <w:rPr>
                <w:rFonts w:ascii="宋体" w:hAnsi="宋体" w:eastAsia="宋体" w:cs="宋体"/>
                <w:spacing w:val="-7"/>
                <w:sz w:val="24"/>
                <w:szCs w:val="24"/>
              </w:rPr>
              <w:t>已有安全措施确认阶段</w:t>
            </w:r>
          </w:p>
        </w:tc>
      </w:tr>
      <w:tr w14:paraId="49F585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1" w:type="dxa"/>
            <w:shd w:val="clear" w:color="auto" w:fill="auto"/>
            <w:vAlign w:val="top"/>
          </w:tcPr>
          <w:p w14:paraId="265B2B5F">
            <w:pPr>
              <w:pStyle w:val="22"/>
              <w:spacing w:line="294" w:lineRule="auto"/>
            </w:pPr>
          </w:p>
          <w:p w14:paraId="5DC8BDC5">
            <w:pPr>
              <w:pStyle w:val="22"/>
              <w:spacing w:line="294" w:lineRule="auto"/>
            </w:pPr>
          </w:p>
          <w:p w14:paraId="4AF8EEF0">
            <w:pPr>
              <w:pStyle w:val="22"/>
              <w:spacing w:line="294" w:lineRule="auto"/>
            </w:pPr>
          </w:p>
          <w:p w14:paraId="75457CBE">
            <w:pPr>
              <w:spacing w:before="78" w:line="219" w:lineRule="auto"/>
              <w:ind w:left="120"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工作任务</w:t>
            </w:r>
          </w:p>
        </w:tc>
        <w:tc>
          <w:tcPr>
            <w:tcW w:w="7253" w:type="dxa"/>
            <w:shd w:val="clear" w:color="auto" w:fill="auto"/>
            <w:vAlign w:val="top"/>
          </w:tcPr>
          <w:p w14:paraId="35031471">
            <w:pPr>
              <w:spacing w:before="242" w:line="219" w:lineRule="auto"/>
              <w:ind w:left="113"/>
              <w:rPr>
                <w:rFonts w:ascii="宋体" w:hAnsi="宋体" w:eastAsia="宋体" w:cs="宋体"/>
                <w:sz w:val="24"/>
                <w:szCs w:val="24"/>
              </w:rPr>
            </w:pPr>
            <w:r>
              <w:rPr>
                <w:rFonts w:ascii="宋体" w:hAnsi="宋体" w:eastAsia="宋体" w:cs="宋体"/>
                <w:spacing w:val="-6"/>
                <w:sz w:val="24"/>
                <w:szCs w:val="24"/>
              </w:rPr>
              <w:t>对系统已采取的技术安全控制措施进行识别，并对控制措施有效性进</w:t>
            </w:r>
          </w:p>
          <w:p w14:paraId="43C48244">
            <w:pPr>
              <w:pStyle w:val="22"/>
              <w:spacing w:line="358" w:lineRule="auto"/>
            </w:pPr>
          </w:p>
          <w:p w14:paraId="102B8452">
            <w:pPr>
              <w:spacing w:before="78" w:line="220" w:lineRule="auto"/>
              <w:ind w:left="118"/>
              <w:rPr>
                <w:rFonts w:hint="default" w:ascii="宋体" w:hAnsi="宋体" w:eastAsia="宋体" w:cs="宋体"/>
                <w:kern w:val="2"/>
                <w:sz w:val="24"/>
                <w:szCs w:val="24"/>
                <w:lang w:val="en-US" w:eastAsia="zh-CN" w:bidi="ar-SA"/>
              </w:rPr>
            </w:pPr>
            <w:r>
              <w:rPr>
                <w:rFonts w:ascii="宋体" w:hAnsi="宋体" w:eastAsia="宋体" w:cs="宋体"/>
                <w:spacing w:val="-6"/>
                <w:sz w:val="24"/>
                <w:szCs w:val="24"/>
              </w:rPr>
              <w:t>行核查；</w:t>
            </w:r>
            <w:r>
              <w:rPr>
                <w:rFonts w:ascii="宋体" w:hAnsi="宋体" w:eastAsia="宋体" w:cs="宋体"/>
                <w:spacing w:val="-5"/>
                <w:sz w:val="24"/>
                <w:szCs w:val="24"/>
              </w:rPr>
              <w:t>对现行安全管理制度进行分析。</w:t>
            </w:r>
          </w:p>
        </w:tc>
      </w:tr>
      <w:tr w14:paraId="6A705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1" w:type="dxa"/>
            <w:shd w:val="clear" w:color="auto" w:fill="auto"/>
            <w:vAlign w:val="top"/>
          </w:tcPr>
          <w:p w14:paraId="4EA36D46">
            <w:pPr>
              <w:spacing w:before="246" w:line="220" w:lineRule="auto"/>
              <w:ind w:left="120"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工作方式</w:t>
            </w:r>
          </w:p>
        </w:tc>
        <w:tc>
          <w:tcPr>
            <w:tcW w:w="7253" w:type="dxa"/>
            <w:shd w:val="clear" w:color="auto" w:fill="auto"/>
            <w:vAlign w:val="top"/>
          </w:tcPr>
          <w:p w14:paraId="111FFF94">
            <w:pPr>
              <w:spacing w:before="246" w:line="219" w:lineRule="auto"/>
              <w:ind w:left="141"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问卷调查、人员问询、现场勘查、文档复查</w:t>
            </w:r>
          </w:p>
        </w:tc>
      </w:tr>
      <w:tr w14:paraId="20B8B5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1" w:type="dxa"/>
            <w:shd w:val="clear" w:color="auto" w:fill="auto"/>
            <w:vAlign w:val="top"/>
          </w:tcPr>
          <w:p w14:paraId="43BF3B6E">
            <w:pPr>
              <w:spacing w:before="244" w:line="221" w:lineRule="auto"/>
              <w:ind w:left="119"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参与人员</w:t>
            </w:r>
          </w:p>
        </w:tc>
        <w:tc>
          <w:tcPr>
            <w:tcW w:w="7253" w:type="dxa"/>
            <w:shd w:val="clear" w:color="auto" w:fill="auto"/>
            <w:vAlign w:val="top"/>
          </w:tcPr>
          <w:p w14:paraId="3F13B5A8">
            <w:pPr>
              <w:spacing w:before="244" w:line="218" w:lineRule="auto"/>
              <w:ind w:left="114"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信息系统所有者项目负责人及相关技术人员，评估小组</w:t>
            </w:r>
          </w:p>
        </w:tc>
      </w:tr>
      <w:tr w14:paraId="36AD57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1" w:type="dxa"/>
            <w:shd w:val="clear" w:color="auto" w:fill="auto"/>
            <w:vAlign w:val="top"/>
          </w:tcPr>
          <w:p w14:paraId="4289D665">
            <w:pPr>
              <w:spacing w:before="246" w:line="220" w:lineRule="auto"/>
              <w:ind w:left="128" w:leftChars="0"/>
              <w:rPr>
                <w:rFonts w:hint="default" w:ascii="宋体" w:hAnsi="宋体" w:eastAsia="宋体" w:cs="宋体"/>
                <w:kern w:val="2"/>
                <w:sz w:val="24"/>
                <w:szCs w:val="24"/>
                <w:lang w:val="en-US" w:eastAsia="zh-CN" w:bidi="ar-SA"/>
              </w:rPr>
            </w:pPr>
            <w:r>
              <w:rPr>
                <w:rFonts w:ascii="宋体" w:hAnsi="宋体" w:eastAsia="宋体" w:cs="宋体"/>
                <w:spacing w:val="-7"/>
                <w:sz w:val="24"/>
                <w:szCs w:val="24"/>
              </w:rPr>
              <w:t>阶段成果</w:t>
            </w:r>
          </w:p>
        </w:tc>
        <w:tc>
          <w:tcPr>
            <w:tcW w:w="7253" w:type="dxa"/>
            <w:shd w:val="clear" w:color="auto" w:fill="auto"/>
            <w:vAlign w:val="top"/>
          </w:tcPr>
          <w:p w14:paraId="6C6764A2">
            <w:pPr>
              <w:spacing w:before="246" w:line="218" w:lineRule="auto"/>
              <w:ind w:left="120"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《信息安全风险评估表》中的已有安全措施部分</w:t>
            </w:r>
          </w:p>
        </w:tc>
      </w:tr>
    </w:tbl>
    <w:p w14:paraId="0EF91AB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p>
    <w:p w14:paraId="753CB375">
      <w:pPr>
        <w:pStyle w:val="4"/>
        <w:bidi w:val="0"/>
        <w:rPr>
          <w:rFonts w:hint="default"/>
          <w:lang w:val="en-US" w:eastAsia="zh-CN"/>
        </w:rPr>
      </w:pPr>
      <w:bookmarkStart w:id="14" w:name="_Toc26499"/>
      <w:r>
        <w:rPr>
          <w:rFonts w:hint="default"/>
          <w:lang w:val="en-US" w:eastAsia="zh-CN"/>
        </w:rPr>
        <w:t>3.4.6 风险分析</w:t>
      </w:r>
      <w:bookmarkEnd w:id="14"/>
    </w:p>
    <w:p w14:paraId="10BBCBE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该阶段工作主要由本公司信息安全组织完成。</w:t>
      </w:r>
    </w:p>
    <w:p w14:paraId="118385F0">
      <w:pPr>
        <w:pStyle w:val="5"/>
        <w:bidi w:val="0"/>
        <w:rPr>
          <w:rFonts w:hint="default"/>
          <w:lang w:val="en-US" w:eastAsia="zh-CN"/>
        </w:rPr>
      </w:pPr>
      <w:r>
        <w:rPr>
          <w:rFonts w:hint="default"/>
          <w:lang w:val="en-US" w:eastAsia="zh-CN"/>
        </w:rPr>
        <w:t>3.4.6.1风险计算原理</w:t>
      </w:r>
    </w:p>
    <w:p w14:paraId="75D7BA4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在完成了资产识别、威胁识别、脆弱性识别，以及对已有安全措施确认后，将采用适当的方法与工具确定威胁利用脆弱性导致安全事件发生的可能性。综合安全事件所作用的资产价值及脆弱性的严重程度，判断安全事件造成的损失对组织的影响，即安全风险。</w:t>
      </w:r>
    </w:p>
    <w:p w14:paraId="0275FD2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本指南给出了风险计算的原理：</w:t>
      </w:r>
    </w:p>
    <w:p w14:paraId="6B84EF2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对资产的重要性进行识别；</w:t>
      </w:r>
    </w:p>
    <w:p w14:paraId="446DBDC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对资产的脆弱性进行识别；</w:t>
      </w:r>
    </w:p>
    <w:p w14:paraId="08600F6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针对每一个弱点，识别可能利用此弱点造成安全事件的威胁；</w:t>
      </w:r>
    </w:p>
    <w:p w14:paraId="24FC789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分析威胁利用资产脆弱性发生安全事件的可能性；</w:t>
      </w:r>
    </w:p>
    <w:p w14:paraId="3C8C372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根据资产价值及脆弱性严重程度计算安全事件一旦发生后的损失；</w:t>
      </w:r>
    </w:p>
    <w:p w14:paraId="0AB4710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根据安全事件的损失以及安全事件发生的可能性计算风险值。</w:t>
      </w:r>
    </w:p>
    <w:p w14:paraId="3675DEB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风险计算有以下三个关键计算环节：计算安全事件发生的可能性</w:t>
      </w:r>
    </w:p>
    <w:p w14:paraId="49439C6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根据威胁出现频率及脆弱性状况，计算威胁利用脆弱性导致安全事件发生的可能性，</w:t>
      </w:r>
    </w:p>
    <w:p w14:paraId="4B430BF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即：安全事件发生的可能性=L(威胁出现频率，脆弱性)</w:t>
      </w:r>
    </w:p>
    <w:p w14:paraId="7292B76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在具体工作中，应综合攻击者技术能力（专业技术程度、攻击设备等）、脆弱性被利用的难易程度（可访问时间、设计和操作知识公开程度等）以及资产吸引力等因素来判断安全事件发生的可能性。</w:t>
      </w:r>
    </w:p>
    <w:p w14:paraId="3CF3623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计算安全事件发生后的损失</w:t>
      </w:r>
    </w:p>
    <w:p w14:paraId="2475431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根据资产重要程度及脆弱性严重程度，计算安全事件一旦发生后的损失，即：安全事件的损失=F(资产重要程度，脆弱性严重程度)</w:t>
      </w:r>
    </w:p>
    <w:p w14:paraId="7C89779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部分安全事件的发生造成的损失不仅仅是针对该资产本身，还可能影响业务的连续性；不同安全事件的发生对组织造成的影响也是不一样的。在计算某个安全事件的损失时，应将对组织的影响也考虑在内。</w:t>
      </w:r>
    </w:p>
    <w:p w14:paraId="172742B5">
      <w:pPr>
        <w:pStyle w:val="5"/>
        <w:bidi w:val="0"/>
        <w:rPr>
          <w:rFonts w:hint="default"/>
          <w:lang w:val="en-US" w:eastAsia="zh-CN"/>
        </w:rPr>
      </w:pPr>
      <w:r>
        <w:rPr>
          <w:rFonts w:hint="default"/>
          <w:lang w:val="en-US" w:eastAsia="zh-CN"/>
        </w:rPr>
        <w:t>3.4.6.2风险值计算</w:t>
      </w:r>
    </w:p>
    <w:p w14:paraId="4DE777C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根据计算出的安全事件发生的可能性以及安全事件的损失，计算风险值，即：风险值=R(安全事件发生的可能性，安全事件的损失)</w:t>
      </w:r>
    </w:p>
    <w:p w14:paraId="03191E7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评估人员可根据自身情况选择相应的风险计算方法计算风险值，如矩阵法或相乘法。通过构造经验函数，矩阵法可形成安全事件发生的可能性与安全事件的损失之间的二维关系；运用相乘法可以将安全事件发生的可能性与安全事件的损失相乘得到风险值。附录中列举的几种风险计算方法可做参考,但风险评估人员应根据具体情况选择与本系统相应的风险计算方法。</w:t>
      </w:r>
    </w:p>
    <w:p w14:paraId="27EB85FA">
      <w:pPr>
        <w:pStyle w:val="4"/>
        <w:bidi w:val="0"/>
        <w:rPr>
          <w:rFonts w:hint="default"/>
          <w:lang w:val="en-US" w:eastAsia="zh-CN"/>
        </w:rPr>
      </w:pPr>
      <w:bookmarkStart w:id="15" w:name="_Toc6665"/>
      <w:r>
        <w:rPr>
          <w:rFonts w:hint="default"/>
          <w:lang w:val="en-US" w:eastAsia="zh-CN"/>
        </w:rPr>
        <w:t>3.4.7 风险结果的判定</w:t>
      </w:r>
      <w:bookmarkEnd w:id="15"/>
    </w:p>
    <w:p w14:paraId="7A3C5CB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确定风险数值的大小不是组织风险评估的最终目的，重要的是明确不同威胁对资产所产生的风险的相对值，即要确定不同风险的优先次序或等级，对于风险级别高的资产应被优先分配资源进行保护。</w:t>
      </w:r>
    </w:p>
    <w:p w14:paraId="32B968A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风险等级建议从 1 到 5 划分为五级。等级越大，风险越高。风险评估小组也可以根据被评估系统的实际情况自定义风险的等级。</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7"/>
        <w:gridCol w:w="925"/>
        <w:gridCol w:w="6400"/>
      </w:tblGrid>
      <w:tr w14:paraId="54FFFC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shd w:val="clear" w:color="auto" w:fill="auto"/>
            <w:vAlign w:val="top"/>
          </w:tcPr>
          <w:p w14:paraId="1B685718">
            <w:pPr>
              <w:spacing w:before="248" w:line="219" w:lineRule="auto"/>
              <w:ind w:left="108"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等级</w:t>
            </w:r>
          </w:p>
        </w:tc>
        <w:tc>
          <w:tcPr>
            <w:tcW w:w="1080" w:type="dxa"/>
            <w:shd w:val="clear" w:color="auto" w:fill="auto"/>
            <w:vAlign w:val="top"/>
          </w:tcPr>
          <w:p w14:paraId="26CBD354">
            <w:pPr>
              <w:spacing w:before="248" w:line="220" w:lineRule="auto"/>
              <w:ind w:left="104"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标识</w:t>
            </w:r>
          </w:p>
        </w:tc>
        <w:tc>
          <w:tcPr>
            <w:tcW w:w="5967" w:type="dxa"/>
            <w:shd w:val="clear" w:color="auto" w:fill="auto"/>
            <w:vAlign w:val="top"/>
          </w:tcPr>
          <w:p w14:paraId="49CA5397">
            <w:pPr>
              <w:spacing w:before="248" w:line="221" w:lineRule="auto"/>
              <w:ind w:left="105"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描述</w:t>
            </w:r>
          </w:p>
        </w:tc>
      </w:tr>
      <w:tr w14:paraId="78A203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shd w:val="clear" w:color="auto" w:fill="auto"/>
            <w:vAlign w:val="top"/>
          </w:tcPr>
          <w:p w14:paraId="5DA6144E">
            <w:pPr>
              <w:pStyle w:val="22"/>
              <w:spacing w:line="292" w:lineRule="auto"/>
            </w:pPr>
          </w:p>
          <w:p w14:paraId="529AC380">
            <w:pPr>
              <w:spacing w:before="78"/>
              <w:ind w:left="111" w:leftChars="0"/>
              <w:rPr>
                <w:rFonts w:hint="default" w:ascii="宋体" w:hAnsi="宋体" w:eastAsia="宋体" w:cs="宋体"/>
                <w:kern w:val="2"/>
                <w:sz w:val="24"/>
                <w:szCs w:val="24"/>
                <w:lang w:val="en-US" w:eastAsia="zh-CN" w:bidi="ar-SA"/>
              </w:rPr>
            </w:pPr>
            <w:r>
              <w:rPr>
                <w:rFonts w:ascii="宋体" w:hAnsi="宋体" w:eastAsia="宋体" w:cs="宋体"/>
                <w:sz w:val="24"/>
                <w:szCs w:val="24"/>
              </w:rPr>
              <w:t>5</w:t>
            </w:r>
          </w:p>
        </w:tc>
        <w:tc>
          <w:tcPr>
            <w:tcW w:w="1080" w:type="dxa"/>
            <w:shd w:val="clear" w:color="auto" w:fill="auto"/>
            <w:vAlign w:val="top"/>
          </w:tcPr>
          <w:p w14:paraId="21FD9631">
            <w:pPr>
              <w:pStyle w:val="22"/>
              <w:spacing w:line="292" w:lineRule="auto"/>
            </w:pPr>
          </w:p>
          <w:p w14:paraId="59F013CF">
            <w:pPr>
              <w:spacing w:before="78" w:line="219" w:lineRule="auto"/>
              <w:rPr>
                <w:rFonts w:hint="default" w:ascii="宋体" w:hAnsi="宋体" w:eastAsia="宋体" w:cs="宋体"/>
                <w:kern w:val="2"/>
                <w:sz w:val="24"/>
                <w:szCs w:val="24"/>
                <w:lang w:val="en-US" w:eastAsia="zh-CN" w:bidi="ar-SA"/>
              </w:rPr>
            </w:pPr>
            <w:r>
              <w:rPr>
                <w:rFonts w:ascii="宋体" w:hAnsi="宋体" w:eastAsia="宋体" w:cs="宋体"/>
                <w:spacing w:val="-6"/>
                <w:sz w:val="24"/>
                <w:szCs w:val="24"/>
              </w:rPr>
              <w:t>很高</w:t>
            </w:r>
          </w:p>
        </w:tc>
        <w:tc>
          <w:tcPr>
            <w:tcW w:w="5967" w:type="dxa"/>
            <w:shd w:val="clear" w:color="auto" w:fill="auto"/>
            <w:vAlign w:val="top"/>
          </w:tcPr>
          <w:p w14:paraId="70493F64">
            <w:pPr>
              <w:spacing w:before="236" w:line="219" w:lineRule="auto"/>
              <w:ind w:left="107"/>
              <w:rPr>
                <w:rFonts w:ascii="宋体" w:hAnsi="宋体" w:eastAsia="宋体" w:cs="宋体"/>
                <w:sz w:val="24"/>
                <w:szCs w:val="24"/>
              </w:rPr>
            </w:pPr>
            <w:r>
              <w:rPr>
                <w:rFonts w:ascii="宋体" w:hAnsi="宋体" w:eastAsia="宋体" w:cs="宋体"/>
                <w:spacing w:val="-1"/>
                <w:sz w:val="24"/>
                <w:szCs w:val="24"/>
              </w:rPr>
              <w:t>一旦发生将产生非常严重的经济或社会影响，如组织信誉严重破</w:t>
            </w:r>
            <w:r>
              <w:rPr>
                <w:rFonts w:ascii="宋体" w:hAnsi="宋体" w:eastAsia="宋体" w:cs="宋体"/>
                <w:spacing w:val="-5"/>
                <w:sz w:val="24"/>
                <w:szCs w:val="24"/>
              </w:rPr>
              <w:t>坏、严重</w:t>
            </w:r>
          </w:p>
          <w:p w14:paraId="786B1AE8">
            <w:pPr>
              <w:spacing w:before="78" w:line="219" w:lineRule="auto"/>
              <w:rPr>
                <w:rFonts w:hint="default" w:ascii="宋体" w:hAnsi="宋体" w:eastAsia="宋体" w:cs="宋体"/>
                <w:kern w:val="2"/>
                <w:sz w:val="24"/>
                <w:szCs w:val="24"/>
                <w:lang w:val="en-US" w:eastAsia="zh-CN" w:bidi="ar-SA"/>
              </w:rPr>
            </w:pPr>
            <w:r>
              <w:rPr>
                <w:rFonts w:ascii="宋体" w:hAnsi="宋体" w:eastAsia="宋体" w:cs="宋体"/>
                <w:spacing w:val="-5"/>
                <w:sz w:val="24"/>
                <w:szCs w:val="24"/>
              </w:rPr>
              <w:t>影响组织的正常经营，经济损失重大、社会影响恶劣。</w:t>
            </w:r>
          </w:p>
        </w:tc>
      </w:tr>
      <w:tr w14:paraId="6DCF91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shd w:val="clear" w:color="auto" w:fill="auto"/>
            <w:vAlign w:val="top"/>
          </w:tcPr>
          <w:p w14:paraId="26E7534B">
            <w:pPr>
              <w:pStyle w:val="22"/>
              <w:spacing w:line="298" w:lineRule="auto"/>
            </w:pPr>
          </w:p>
          <w:p w14:paraId="2F4EA4FA">
            <w:pPr>
              <w:spacing w:before="78" w:line="241" w:lineRule="auto"/>
              <w:ind w:left="105" w:leftChars="0"/>
              <w:rPr>
                <w:rFonts w:ascii="宋体" w:hAnsi="宋体" w:eastAsia="宋体" w:cs="宋体"/>
                <w:kern w:val="2"/>
                <w:sz w:val="24"/>
                <w:szCs w:val="24"/>
                <w:lang w:val="en-US" w:eastAsia="zh-CN" w:bidi="ar-SA"/>
              </w:rPr>
            </w:pPr>
            <w:r>
              <w:rPr>
                <w:rFonts w:ascii="宋体" w:hAnsi="宋体" w:eastAsia="宋体" w:cs="宋体"/>
                <w:sz w:val="24"/>
                <w:szCs w:val="24"/>
              </w:rPr>
              <w:t>4</w:t>
            </w:r>
          </w:p>
        </w:tc>
        <w:tc>
          <w:tcPr>
            <w:tcW w:w="1080" w:type="dxa"/>
            <w:shd w:val="clear" w:color="auto" w:fill="auto"/>
            <w:vAlign w:val="top"/>
          </w:tcPr>
          <w:p w14:paraId="07EA6CC4">
            <w:pPr>
              <w:pStyle w:val="22"/>
              <w:spacing w:line="298" w:lineRule="auto"/>
            </w:pPr>
          </w:p>
          <w:p w14:paraId="21D64ED0">
            <w:pPr>
              <w:spacing w:before="78" w:line="219" w:lineRule="auto"/>
              <w:ind w:left="109" w:leftChars="0"/>
              <w:rPr>
                <w:rFonts w:ascii="宋体" w:hAnsi="宋体" w:eastAsia="宋体" w:cs="宋体"/>
                <w:kern w:val="2"/>
                <w:sz w:val="24"/>
                <w:szCs w:val="24"/>
                <w:lang w:val="en-US" w:eastAsia="zh-CN" w:bidi="ar-SA"/>
              </w:rPr>
            </w:pPr>
            <w:r>
              <w:rPr>
                <w:rFonts w:ascii="宋体" w:hAnsi="宋体" w:eastAsia="宋体" w:cs="宋体"/>
                <w:sz w:val="24"/>
                <w:szCs w:val="24"/>
              </w:rPr>
              <w:t>高</w:t>
            </w:r>
          </w:p>
        </w:tc>
        <w:tc>
          <w:tcPr>
            <w:tcW w:w="5967" w:type="dxa"/>
            <w:shd w:val="clear" w:color="auto" w:fill="auto"/>
            <w:vAlign w:val="top"/>
          </w:tcPr>
          <w:p w14:paraId="2FD1A66D">
            <w:pPr>
              <w:spacing w:before="252" w:line="219" w:lineRule="auto"/>
              <w:ind w:left="107"/>
              <w:rPr>
                <w:rFonts w:ascii="宋体" w:hAnsi="宋体" w:eastAsia="宋体" w:cs="宋体"/>
                <w:kern w:val="2"/>
                <w:sz w:val="24"/>
                <w:szCs w:val="24"/>
                <w:lang w:val="en-US" w:eastAsia="zh-CN" w:bidi="ar-SA"/>
              </w:rPr>
            </w:pPr>
            <w:r>
              <w:rPr>
                <w:rFonts w:ascii="宋体" w:hAnsi="宋体" w:eastAsia="宋体" w:cs="宋体"/>
                <w:spacing w:val="-1"/>
                <w:sz w:val="24"/>
                <w:szCs w:val="24"/>
              </w:rPr>
              <w:t>一旦发生将产生较大的经济或社会影响，在一定范围内给组织的</w:t>
            </w:r>
            <w:r>
              <w:rPr>
                <w:rFonts w:ascii="宋体" w:hAnsi="宋体" w:eastAsia="宋体" w:cs="宋体"/>
                <w:spacing w:val="-5"/>
                <w:sz w:val="24"/>
                <w:szCs w:val="24"/>
              </w:rPr>
              <w:t>经营和组织信誉造成损害。</w:t>
            </w:r>
          </w:p>
        </w:tc>
      </w:tr>
      <w:tr w14:paraId="1736D9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49F9DE7">
            <w:pPr>
              <w:pStyle w:val="22"/>
              <w:spacing w:line="270" w:lineRule="auto"/>
            </w:pPr>
          </w:p>
          <w:p w14:paraId="739C1950">
            <w:pPr>
              <w:spacing w:before="78"/>
              <w:ind w:left="111" w:leftChars="0"/>
              <w:rPr>
                <w:rFonts w:ascii="宋体" w:hAnsi="宋体" w:eastAsia="宋体" w:cs="宋体"/>
                <w:kern w:val="2"/>
                <w:sz w:val="24"/>
                <w:szCs w:val="24"/>
                <w:lang w:val="en-US" w:eastAsia="zh-CN" w:bidi="ar-SA"/>
              </w:rPr>
            </w:pPr>
            <w:r>
              <w:rPr>
                <w:rFonts w:ascii="宋体" w:hAnsi="宋体" w:eastAsia="宋体" w:cs="宋体"/>
                <w:sz w:val="24"/>
                <w:szCs w:val="24"/>
              </w:rPr>
              <w:t>3</w:t>
            </w:r>
          </w:p>
        </w:tc>
        <w:tc>
          <w:tcPr>
            <w:tcW w:w="0" w:type="auto"/>
            <w:shd w:val="clear" w:color="auto" w:fill="auto"/>
            <w:vAlign w:val="top"/>
          </w:tcPr>
          <w:p w14:paraId="0A915157">
            <w:pPr>
              <w:pStyle w:val="22"/>
              <w:spacing w:line="270" w:lineRule="auto"/>
            </w:pPr>
          </w:p>
          <w:p w14:paraId="55FD55FB">
            <w:pPr>
              <w:spacing w:before="78" w:line="220" w:lineRule="auto"/>
              <w:rPr>
                <w:rFonts w:ascii="宋体" w:hAnsi="宋体" w:eastAsia="宋体" w:cs="宋体"/>
                <w:kern w:val="2"/>
                <w:sz w:val="24"/>
                <w:szCs w:val="24"/>
                <w:lang w:val="en-US" w:eastAsia="zh-CN" w:bidi="ar-SA"/>
              </w:rPr>
            </w:pPr>
            <w:r>
              <w:rPr>
                <w:rFonts w:ascii="宋体" w:hAnsi="宋体" w:eastAsia="宋体" w:cs="宋体"/>
                <w:sz w:val="24"/>
                <w:szCs w:val="24"/>
              </w:rPr>
              <w:t>中</w:t>
            </w:r>
          </w:p>
        </w:tc>
        <w:tc>
          <w:tcPr>
            <w:tcW w:w="0" w:type="auto"/>
            <w:shd w:val="clear" w:color="auto" w:fill="auto"/>
            <w:vAlign w:val="top"/>
          </w:tcPr>
          <w:p w14:paraId="266A503E">
            <w:pPr>
              <w:spacing w:before="261" w:line="219" w:lineRule="auto"/>
              <w:ind w:left="107"/>
              <w:rPr>
                <w:rFonts w:ascii="宋体" w:hAnsi="宋体" w:eastAsia="宋体" w:cs="宋体"/>
                <w:kern w:val="2"/>
                <w:sz w:val="24"/>
                <w:szCs w:val="24"/>
                <w:lang w:val="en-US" w:eastAsia="zh-CN" w:bidi="ar-SA"/>
              </w:rPr>
            </w:pPr>
            <w:r>
              <w:rPr>
                <w:rFonts w:ascii="宋体" w:hAnsi="宋体" w:eastAsia="宋体" w:cs="宋体"/>
                <w:spacing w:val="-1"/>
                <w:sz w:val="24"/>
                <w:szCs w:val="24"/>
              </w:rPr>
              <w:t>一旦发生会造成一定的经济、社会或生产经营影响，但影响面和</w:t>
            </w:r>
            <w:r>
              <w:rPr>
                <w:rFonts w:ascii="宋体" w:hAnsi="宋体" w:eastAsia="宋体" w:cs="宋体"/>
                <w:spacing w:val="-5"/>
                <w:sz w:val="24"/>
                <w:szCs w:val="24"/>
              </w:rPr>
              <w:t>影响程度</w:t>
            </w:r>
          </w:p>
        </w:tc>
      </w:tr>
      <w:tr w14:paraId="1F97A5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E7866A1">
            <w:pPr>
              <w:spacing w:before="78" w:line="241" w:lineRule="auto"/>
              <w:rPr>
                <w:rFonts w:ascii="宋体" w:hAnsi="宋体" w:eastAsia="宋体" w:cs="宋体"/>
                <w:sz w:val="24"/>
                <w:szCs w:val="24"/>
              </w:rPr>
            </w:pPr>
          </w:p>
          <w:p w14:paraId="6D85626E">
            <w:pPr>
              <w:spacing w:before="78" w:line="241" w:lineRule="auto"/>
              <w:rPr>
                <w:rFonts w:ascii="宋体" w:hAnsi="宋体" w:eastAsia="宋体" w:cs="宋体"/>
                <w:kern w:val="2"/>
                <w:sz w:val="24"/>
                <w:szCs w:val="24"/>
                <w:lang w:val="en-US" w:eastAsia="zh-CN" w:bidi="ar-SA"/>
              </w:rPr>
            </w:pPr>
            <w:r>
              <w:rPr>
                <w:rFonts w:ascii="宋体" w:hAnsi="宋体" w:eastAsia="宋体" w:cs="宋体"/>
                <w:sz w:val="24"/>
                <w:szCs w:val="24"/>
              </w:rPr>
              <w:t>2</w:t>
            </w:r>
          </w:p>
        </w:tc>
        <w:tc>
          <w:tcPr>
            <w:tcW w:w="0" w:type="auto"/>
            <w:shd w:val="clear" w:color="auto" w:fill="auto"/>
            <w:vAlign w:val="top"/>
          </w:tcPr>
          <w:p w14:paraId="0E2D98CE">
            <w:pPr>
              <w:pStyle w:val="22"/>
              <w:spacing w:line="294" w:lineRule="auto"/>
            </w:pPr>
          </w:p>
          <w:p w14:paraId="5540B289">
            <w:pPr>
              <w:spacing w:before="78" w:line="221" w:lineRule="auto"/>
              <w:rPr>
                <w:rFonts w:ascii="宋体" w:hAnsi="宋体" w:eastAsia="宋体" w:cs="宋体"/>
                <w:kern w:val="2"/>
                <w:sz w:val="24"/>
                <w:szCs w:val="24"/>
                <w:lang w:val="en-US" w:eastAsia="zh-CN" w:bidi="ar-SA"/>
              </w:rPr>
            </w:pPr>
            <w:r>
              <w:rPr>
                <w:rFonts w:ascii="宋体" w:hAnsi="宋体" w:eastAsia="宋体" w:cs="宋体"/>
                <w:sz w:val="24"/>
                <w:szCs w:val="24"/>
              </w:rPr>
              <w:t>低</w:t>
            </w:r>
          </w:p>
        </w:tc>
        <w:tc>
          <w:tcPr>
            <w:tcW w:w="0" w:type="auto"/>
            <w:shd w:val="clear" w:color="auto" w:fill="auto"/>
            <w:vAlign w:val="top"/>
          </w:tcPr>
          <w:p w14:paraId="79531A40">
            <w:pPr>
              <w:spacing w:before="246" w:line="219" w:lineRule="auto"/>
              <w:ind w:left="107"/>
              <w:rPr>
                <w:rFonts w:ascii="宋体" w:hAnsi="宋体" w:eastAsia="宋体" w:cs="宋体"/>
                <w:kern w:val="2"/>
                <w:sz w:val="24"/>
                <w:szCs w:val="24"/>
                <w:lang w:val="en-US" w:eastAsia="zh-CN" w:bidi="ar-SA"/>
              </w:rPr>
            </w:pPr>
            <w:r>
              <w:rPr>
                <w:rFonts w:ascii="宋体" w:hAnsi="宋体" w:eastAsia="宋体" w:cs="宋体"/>
                <w:spacing w:val="-1"/>
                <w:sz w:val="24"/>
                <w:szCs w:val="24"/>
              </w:rPr>
              <w:t>一旦发生造成的影响程度较低，一般仅限于组织内部，通过一定</w:t>
            </w:r>
            <w:r>
              <w:rPr>
                <w:rFonts w:ascii="宋体" w:hAnsi="宋体" w:eastAsia="宋体" w:cs="宋体"/>
                <w:spacing w:val="-5"/>
                <w:sz w:val="24"/>
                <w:szCs w:val="24"/>
              </w:rPr>
              <w:t>手段很快</w:t>
            </w:r>
            <w:r>
              <w:rPr>
                <w:rFonts w:ascii="宋体" w:hAnsi="宋体" w:eastAsia="宋体" w:cs="宋体"/>
                <w:spacing w:val="-7"/>
                <w:sz w:val="24"/>
                <w:szCs w:val="24"/>
              </w:rPr>
              <w:t>能解决。</w:t>
            </w:r>
          </w:p>
        </w:tc>
      </w:tr>
      <w:tr w14:paraId="262C73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979F64">
            <w:pPr>
              <w:spacing w:before="261" w:line="241" w:lineRule="auto"/>
              <w:ind w:left="124" w:leftChars="0"/>
              <w:rPr>
                <w:rFonts w:ascii="宋体" w:hAnsi="宋体" w:eastAsia="宋体" w:cs="宋体"/>
                <w:kern w:val="2"/>
                <w:sz w:val="24"/>
                <w:szCs w:val="24"/>
                <w:lang w:val="en-US" w:eastAsia="zh-CN" w:bidi="ar-SA"/>
              </w:rPr>
            </w:pPr>
            <w:r>
              <w:rPr>
                <w:rFonts w:ascii="宋体" w:hAnsi="宋体" w:eastAsia="宋体" w:cs="宋体"/>
                <w:sz w:val="24"/>
                <w:szCs w:val="24"/>
              </w:rPr>
              <w:t>1</w:t>
            </w:r>
          </w:p>
        </w:tc>
        <w:tc>
          <w:tcPr>
            <w:tcW w:w="0" w:type="auto"/>
            <w:shd w:val="clear" w:color="auto" w:fill="auto"/>
            <w:vAlign w:val="top"/>
          </w:tcPr>
          <w:p w14:paraId="4C906235">
            <w:pPr>
              <w:spacing w:before="261" w:line="220" w:lineRule="auto"/>
              <w:ind w:left="104" w:leftChars="0"/>
              <w:rPr>
                <w:rFonts w:ascii="宋体" w:hAnsi="宋体" w:eastAsia="宋体" w:cs="宋体"/>
                <w:kern w:val="2"/>
                <w:sz w:val="24"/>
                <w:szCs w:val="24"/>
                <w:lang w:val="en-US" w:eastAsia="zh-CN" w:bidi="ar-SA"/>
              </w:rPr>
            </w:pPr>
            <w:r>
              <w:rPr>
                <w:rFonts w:ascii="宋体" w:hAnsi="宋体" w:eastAsia="宋体" w:cs="宋体"/>
                <w:spacing w:val="-6"/>
                <w:sz w:val="24"/>
                <w:szCs w:val="24"/>
              </w:rPr>
              <w:t>很低</w:t>
            </w:r>
          </w:p>
        </w:tc>
        <w:tc>
          <w:tcPr>
            <w:tcW w:w="0" w:type="auto"/>
            <w:shd w:val="clear" w:color="auto" w:fill="auto"/>
            <w:vAlign w:val="top"/>
          </w:tcPr>
          <w:p w14:paraId="265F1639">
            <w:pPr>
              <w:spacing w:before="260" w:line="219" w:lineRule="auto"/>
              <w:ind w:left="107" w:leftChars="0"/>
              <w:rPr>
                <w:rFonts w:ascii="宋体" w:hAnsi="宋体" w:eastAsia="宋体" w:cs="宋体"/>
                <w:kern w:val="2"/>
                <w:sz w:val="24"/>
                <w:szCs w:val="24"/>
                <w:lang w:val="en-US" w:eastAsia="zh-CN" w:bidi="ar-SA"/>
              </w:rPr>
            </w:pPr>
            <w:r>
              <w:rPr>
                <w:rFonts w:ascii="宋体" w:hAnsi="宋体" w:eastAsia="宋体" w:cs="宋体"/>
                <w:spacing w:val="-5"/>
                <w:sz w:val="24"/>
                <w:szCs w:val="24"/>
              </w:rPr>
              <w:t>一旦发生造成的影响几乎不存在，通过简单的措施就能弥补。</w:t>
            </w:r>
          </w:p>
        </w:tc>
      </w:tr>
    </w:tbl>
    <w:p w14:paraId="22E0739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p>
    <w:p w14:paraId="75A6B37C">
      <w:pPr>
        <w:pStyle w:val="4"/>
        <w:bidi w:val="0"/>
        <w:rPr>
          <w:rFonts w:hint="default"/>
          <w:lang w:val="en-US" w:eastAsia="zh-CN"/>
        </w:rPr>
      </w:pPr>
      <w:bookmarkStart w:id="16" w:name="_Toc10614"/>
      <w:r>
        <w:rPr>
          <w:rFonts w:hint="default"/>
          <w:lang w:val="en-US" w:eastAsia="zh-CN"/>
        </w:rPr>
        <w:t>3.4.8 控制措施的选择</w:t>
      </w:r>
      <w:bookmarkEnd w:id="16"/>
    </w:p>
    <w:p w14:paraId="415D3C7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评估小组在对风险等级进行划分后，应考虑法律法规的要求、机构自身的发展要求、风险评估的结果确定安全水平，对不可接受的风险选择适当的处理方式及控制措施，并形成风险处理计划。风险处理的方式包括：规避风险，降低风险（降低发生的可能性或减小后果），转移风险，接受风险。控制措施的选择应兼顾管理与技术，具体针对各类风险应根据组织的实际情况考虑以下十个方面的控制：安全方针、组织安全、资产的分类与控制、人员安全、物理与环境安全、通讯与运作管理、访问控制、系统的开发与维护、业务持续性管理、符合性。在风险处理方式及控制措施的选择上，机构应考虑发展战略、企业文化、人员素质，并特别关注成本与风险的平衡，以处理安全风险以满足法律法规及相关方的要求，管理性与技术性的措施均可以降低风险。</w:t>
      </w:r>
    </w:p>
    <w:p w14:paraId="1690E3DF">
      <w:pPr>
        <w:pStyle w:val="4"/>
        <w:bidi w:val="0"/>
        <w:rPr>
          <w:rFonts w:hint="default"/>
          <w:lang w:val="en-US" w:eastAsia="zh-CN"/>
        </w:rPr>
      </w:pPr>
      <w:bookmarkStart w:id="17" w:name="_Toc18274"/>
      <w:r>
        <w:rPr>
          <w:rFonts w:hint="default"/>
          <w:lang w:val="en-US" w:eastAsia="zh-CN"/>
        </w:rPr>
        <w:t>3.4.9 残余风险的评价</w:t>
      </w:r>
      <w:bookmarkEnd w:id="17"/>
    </w:p>
    <w:p w14:paraId="4140D51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对于不可接受范围内的风险，应在选择了适当的控制措施后，对残余风险进行评价，判定风险是否已经降低到可接受的水平，为风险管理提供输入。残余风险的评价可以依据本标准进行，考虑选择的控制措施和已有的控制措施对于威胁发生的可能性的降低。某些风险可能在选择了适当的控制措施后仍处于不可接受的风险范围内，应通过信息系统所有者依据风险接受的原则，考虑是否接受此类风险或增加控制措施。为确保所选择控制措施的有效性，必要时可进行再评估，以判断实施控制措施后的残余风险是否是可被接受的。</w:t>
      </w:r>
    </w:p>
    <w:p w14:paraId="5BF25AA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阶段成果：在本阶段结束后本公司信息安全管理委员会将向信息系统所有者提供《重要资产清单》、《信息识别清单》、《信息安全风险评估表》、《信息安全风险评估报告》、《信息安全不可接受风险处理计划》、《残余风险报告》，并由信息系统所有者进行书面确认。</w:t>
      </w:r>
    </w:p>
    <w:p w14:paraId="3EB23C1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《风险评估报告》：风险评估报告应对整个风险评估过程进行总结，说明组织的风险状况及残余风险状况，通过管理层的评审，确定评估后的风险状况满足组织业务发展及其他相关方的要求。</w:t>
      </w:r>
    </w:p>
    <w:p w14:paraId="4D016ED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4 风险评估评审</w:t>
      </w:r>
    </w:p>
    <w:p w14:paraId="58C8624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定期由风险经理对风险评估进行回顾评审、必要时提出整改意见并跟踪整改成效上报运维服务中心负责人。</w:t>
      </w:r>
    </w:p>
    <w:p w14:paraId="17F66B5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每半年对流程进行回顾，包括流程执行效率和流程支持工具的有效性，以改进和优化风险评估管理流程。回顾评审指标包括：对风险评估管理的情况进行总结和评审，对发现的问题进行整改。</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A5B054">
    <w:pPr>
      <w:spacing w:line="169" w:lineRule="auto"/>
      <w:ind w:left="5927"/>
      <w:rPr>
        <w:rFonts w:ascii="Calibri" w:hAnsi="Calibri" w:eastAsia="Calibri" w:cs="Calibri"/>
        <w:sz w:val="18"/>
        <w:szCs w:val="18"/>
      </w:rPr>
    </w:pPr>
    <w:r>
      <w:rPr>
        <w:rFonts w:ascii="Calibri" w:hAnsi="Calibri" w:eastAsia="Calibri" w:cs="Calibri"/>
        <w:spacing w:val="-5"/>
        <w:sz w:val="18"/>
        <w:szCs w:val="18"/>
      </w:rPr>
      <w:t>34</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04D73D">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F0E19"/>
    <w:rsid w:val="00C2346B"/>
    <w:rsid w:val="01013CDC"/>
    <w:rsid w:val="01A95AA3"/>
    <w:rsid w:val="01B42948"/>
    <w:rsid w:val="01C1789B"/>
    <w:rsid w:val="01F97036"/>
    <w:rsid w:val="0241483D"/>
    <w:rsid w:val="02736A74"/>
    <w:rsid w:val="02FD66B9"/>
    <w:rsid w:val="031E62CB"/>
    <w:rsid w:val="04180F6C"/>
    <w:rsid w:val="04294F58"/>
    <w:rsid w:val="043A35D9"/>
    <w:rsid w:val="045A344D"/>
    <w:rsid w:val="052E656D"/>
    <w:rsid w:val="05600041"/>
    <w:rsid w:val="058B39C0"/>
    <w:rsid w:val="06B328AD"/>
    <w:rsid w:val="07133C6D"/>
    <w:rsid w:val="08460D9C"/>
    <w:rsid w:val="085C3EA8"/>
    <w:rsid w:val="08AE04A4"/>
    <w:rsid w:val="09652EA6"/>
    <w:rsid w:val="09842C00"/>
    <w:rsid w:val="09B75AF6"/>
    <w:rsid w:val="0A092F0B"/>
    <w:rsid w:val="0A421857"/>
    <w:rsid w:val="0B0E131B"/>
    <w:rsid w:val="0BB96364"/>
    <w:rsid w:val="0BBC6FA9"/>
    <w:rsid w:val="0C0312CF"/>
    <w:rsid w:val="0C1666D9"/>
    <w:rsid w:val="0C27678D"/>
    <w:rsid w:val="0C423591"/>
    <w:rsid w:val="0C4C382C"/>
    <w:rsid w:val="0C976C2D"/>
    <w:rsid w:val="0D447276"/>
    <w:rsid w:val="0D9C21C9"/>
    <w:rsid w:val="0E236A3E"/>
    <w:rsid w:val="0E6574A4"/>
    <w:rsid w:val="0EA24254"/>
    <w:rsid w:val="0EE03857"/>
    <w:rsid w:val="0F0071D6"/>
    <w:rsid w:val="0F1C1554"/>
    <w:rsid w:val="0FDE1AE9"/>
    <w:rsid w:val="10974C0A"/>
    <w:rsid w:val="11274EE5"/>
    <w:rsid w:val="121D0BF1"/>
    <w:rsid w:val="134E49AB"/>
    <w:rsid w:val="13755966"/>
    <w:rsid w:val="138E05BB"/>
    <w:rsid w:val="13F86586"/>
    <w:rsid w:val="14996A51"/>
    <w:rsid w:val="153E61F1"/>
    <w:rsid w:val="15857344"/>
    <w:rsid w:val="15C0622B"/>
    <w:rsid w:val="15E433A4"/>
    <w:rsid w:val="16900E36"/>
    <w:rsid w:val="180C0000"/>
    <w:rsid w:val="18196493"/>
    <w:rsid w:val="18E71B8F"/>
    <w:rsid w:val="19190641"/>
    <w:rsid w:val="196A3BC0"/>
    <w:rsid w:val="19946E8F"/>
    <w:rsid w:val="1AAC31E9"/>
    <w:rsid w:val="1AB01AA7"/>
    <w:rsid w:val="1B7E1BA5"/>
    <w:rsid w:val="1B882A24"/>
    <w:rsid w:val="1C9211BE"/>
    <w:rsid w:val="1CBF76DB"/>
    <w:rsid w:val="1CF96B9F"/>
    <w:rsid w:val="1EC41FC5"/>
    <w:rsid w:val="1F4712C6"/>
    <w:rsid w:val="20B00A53"/>
    <w:rsid w:val="21115269"/>
    <w:rsid w:val="216D06F2"/>
    <w:rsid w:val="21F9443D"/>
    <w:rsid w:val="22630065"/>
    <w:rsid w:val="229D5007"/>
    <w:rsid w:val="22CD6F6E"/>
    <w:rsid w:val="23C210A7"/>
    <w:rsid w:val="23F437C8"/>
    <w:rsid w:val="24337556"/>
    <w:rsid w:val="24F0352B"/>
    <w:rsid w:val="24FD0A68"/>
    <w:rsid w:val="252709A9"/>
    <w:rsid w:val="2540611D"/>
    <w:rsid w:val="255B3C04"/>
    <w:rsid w:val="256619E3"/>
    <w:rsid w:val="25755DC7"/>
    <w:rsid w:val="258F13C6"/>
    <w:rsid w:val="25A20B86"/>
    <w:rsid w:val="26557F83"/>
    <w:rsid w:val="27083E74"/>
    <w:rsid w:val="272B4E59"/>
    <w:rsid w:val="27821E79"/>
    <w:rsid w:val="286916DB"/>
    <w:rsid w:val="28BC5ABB"/>
    <w:rsid w:val="28CF1C92"/>
    <w:rsid w:val="29BF5862"/>
    <w:rsid w:val="29E07F65"/>
    <w:rsid w:val="2AF7727E"/>
    <w:rsid w:val="2B1716CE"/>
    <w:rsid w:val="2BDE2AE3"/>
    <w:rsid w:val="2CDC08C3"/>
    <w:rsid w:val="2D0068BE"/>
    <w:rsid w:val="2E0549EE"/>
    <w:rsid w:val="2E185D1A"/>
    <w:rsid w:val="2E7D6C2A"/>
    <w:rsid w:val="2ED718A0"/>
    <w:rsid w:val="2F1877C3"/>
    <w:rsid w:val="2F25260C"/>
    <w:rsid w:val="2F642A08"/>
    <w:rsid w:val="2F860BD0"/>
    <w:rsid w:val="2FA03FC4"/>
    <w:rsid w:val="2FC20FDD"/>
    <w:rsid w:val="2FF26EB3"/>
    <w:rsid w:val="30A752A2"/>
    <w:rsid w:val="30C03516"/>
    <w:rsid w:val="313E5C07"/>
    <w:rsid w:val="31682C84"/>
    <w:rsid w:val="31A87524"/>
    <w:rsid w:val="31A94281"/>
    <w:rsid w:val="31F44517"/>
    <w:rsid w:val="324E00CB"/>
    <w:rsid w:val="32B92D00"/>
    <w:rsid w:val="32E97DF4"/>
    <w:rsid w:val="331035D3"/>
    <w:rsid w:val="33A8380B"/>
    <w:rsid w:val="33A930DF"/>
    <w:rsid w:val="33F20F2A"/>
    <w:rsid w:val="33F7209D"/>
    <w:rsid w:val="34A936BC"/>
    <w:rsid w:val="34BE4682"/>
    <w:rsid w:val="3566572C"/>
    <w:rsid w:val="35CD1307"/>
    <w:rsid w:val="35EF6EE4"/>
    <w:rsid w:val="361B6516"/>
    <w:rsid w:val="362545F8"/>
    <w:rsid w:val="36C73FA8"/>
    <w:rsid w:val="37503F9E"/>
    <w:rsid w:val="38543F62"/>
    <w:rsid w:val="386D0B7F"/>
    <w:rsid w:val="38B82B21"/>
    <w:rsid w:val="38F512A1"/>
    <w:rsid w:val="395111E8"/>
    <w:rsid w:val="39693679"/>
    <w:rsid w:val="39EB4452"/>
    <w:rsid w:val="3A1439A9"/>
    <w:rsid w:val="3A59015E"/>
    <w:rsid w:val="3B2E2848"/>
    <w:rsid w:val="3BC431AC"/>
    <w:rsid w:val="3BE15B0C"/>
    <w:rsid w:val="3BF257CA"/>
    <w:rsid w:val="3C127E96"/>
    <w:rsid w:val="3C5E0B3E"/>
    <w:rsid w:val="3C7200EF"/>
    <w:rsid w:val="3D2739F3"/>
    <w:rsid w:val="3DD63C16"/>
    <w:rsid w:val="3DDA05E5"/>
    <w:rsid w:val="3E6E2B7D"/>
    <w:rsid w:val="3F5150F2"/>
    <w:rsid w:val="3F7D78FA"/>
    <w:rsid w:val="3FF80669"/>
    <w:rsid w:val="40185875"/>
    <w:rsid w:val="40503261"/>
    <w:rsid w:val="40A67324"/>
    <w:rsid w:val="40AA687D"/>
    <w:rsid w:val="411E7700"/>
    <w:rsid w:val="41CB242A"/>
    <w:rsid w:val="42DC702D"/>
    <w:rsid w:val="43805C0B"/>
    <w:rsid w:val="43D917BF"/>
    <w:rsid w:val="444C2BC0"/>
    <w:rsid w:val="44CB735A"/>
    <w:rsid w:val="44D677B2"/>
    <w:rsid w:val="45264590"/>
    <w:rsid w:val="461E795D"/>
    <w:rsid w:val="464E6A92"/>
    <w:rsid w:val="46C73B51"/>
    <w:rsid w:val="47643C7B"/>
    <w:rsid w:val="48A56114"/>
    <w:rsid w:val="4B7D0C82"/>
    <w:rsid w:val="4B7F5343"/>
    <w:rsid w:val="4BE33F9B"/>
    <w:rsid w:val="4BE8259F"/>
    <w:rsid w:val="4C123AC0"/>
    <w:rsid w:val="4C8A2770"/>
    <w:rsid w:val="4CF3569F"/>
    <w:rsid w:val="4E141B5F"/>
    <w:rsid w:val="4EB418E3"/>
    <w:rsid w:val="4F062E9D"/>
    <w:rsid w:val="4F8545A9"/>
    <w:rsid w:val="4FDD63B1"/>
    <w:rsid w:val="50396934"/>
    <w:rsid w:val="50416722"/>
    <w:rsid w:val="50E0152B"/>
    <w:rsid w:val="5181771E"/>
    <w:rsid w:val="51D0115E"/>
    <w:rsid w:val="52302970"/>
    <w:rsid w:val="54273E81"/>
    <w:rsid w:val="54334068"/>
    <w:rsid w:val="54D758A7"/>
    <w:rsid w:val="559D0A05"/>
    <w:rsid w:val="55CA674D"/>
    <w:rsid w:val="56B37C4E"/>
    <w:rsid w:val="57276880"/>
    <w:rsid w:val="578B0416"/>
    <w:rsid w:val="579D2DD8"/>
    <w:rsid w:val="57BF66CA"/>
    <w:rsid w:val="58207565"/>
    <w:rsid w:val="590A14DD"/>
    <w:rsid w:val="59170968"/>
    <w:rsid w:val="59894B9F"/>
    <w:rsid w:val="59CF35C4"/>
    <w:rsid w:val="5A3442E8"/>
    <w:rsid w:val="5AE96334"/>
    <w:rsid w:val="5AFC6067"/>
    <w:rsid w:val="5B832808"/>
    <w:rsid w:val="5BF96B1A"/>
    <w:rsid w:val="5D691C96"/>
    <w:rsid w:val="5DAB2539"/>
    <w:rsid w:val="5DB1138B"/>
    <w:rsid w:val="5E6A32E8"/>
    <w:rsid w:val="5F874378"/>
    <w:rsid w:val="5F922AF6"/>
    <w:rsid w:val="5F9A4E71"/>
    <w:rsid w:val="5FA52946"/>
    <w:rsid w:val="5FB32A6C"/>
    <w:rsid w:val="5FCA4645"/>
    <w:rsid w:val="5FCA6734"/>
    <w:rsid w:val="61375910"/>
    <w:rsid w:val="61457E1B"/>
    <w:rsid w:val="61BA27D8"/>
    <w:rsid w:val="61CA2A1B"/>
    <w:rsid w:val="61CB0541"/>
    <w:rsid w:val="62C51434"/>
    <w:rsid w:val="62FB4E56"/>
    <w:rsid w:val="63974B7F"/>
    <w:rsid w:val="63B7355E"/>
    <w:rsid w:val="63EA57DA"/>
    <w:rsid w:val="64151F48"/>
    <w:rsid w:val="64161DA3"/>
    <w:rsid w:val="644F0FB6"/>
    <w:rsid w:val="649D35AC"/>
    <w:rsid w:val="64A4784A"/>
    <w:rsid w:val="64CF659A"/>
    <w:rsid w:val="64D4770D"/>
    <w:rsid w:val="65A65A24"/>
    <w:rsid w:val="65F75DA9"/>
    <w:rsid w:val="66017845"/>
    <w:rsid w:val="668533B4"/>
    <w:rsid w:val="66E85FF5"/>
    <w:rsid w:val="670378F6"/>
    <w:rsid w:val="671D6C79"/>
    <w:rsid w:val="67803B7C"/>
    <w:rsid w:val="678767F1"/>
    <w:rsid w:val="67892A30"/>
    <w:rsid w:val="67C577E1"/>
    <w:rsid w:val="68684D3A"/>
    <w:rsid w:val="688650A3"/>
    <w:rsid w:val="689728D5"/>
    <w:rsid w:val="696574CD"/>
    <w:rsid w:val="697414BE"/>
    <w:rsid w:val="6A273964"/>
    <w:rsid w:val="6A794FDE"/>
    <w:rsid w:val="6A8E035E"/>
    <w:rsid w:val="6AA61B4B"/>
    <w:rsid w:val="6BC14A92"/>
    <w:rsid w:val="6CBF6EF4"/>
    <w:rsid w:val="6D317DF2"/>
    <w:rsid w:val="6D425201"/>
    <w:rsid w:val="6D4573FA"/>
    <w:rsid w:val="6DDB5FB0"/>
    <w:rsid w:val="6DFA1AA7"/>
    <w:rsid w:val="6E4C0C5C"/>
    <w:rsid w:val="6E9F2B3A"/>
    <w:rsid w:val="6EC627BC"/>
    <w:rsid w:val="6ED749C9"/>
    <w:rsid w:val="6F8B07EA"/>
    <w:rsid w:val="71662034"/>
    <w:rsid w:val="72141A90"/>
    <w:rsid w:val="728A45F4"/>
    <w:rsid w:val="728C1627"/>
    <w:rsid w:val="72C94629"/>
    <w:rsid w:val="72FC1311"/>
    <w:rsid w:val="73274B12"/>
    <w:rsid w:val="7386076C"/>
    <w:rsid w:val="73E536E4"/>
    <w:rsid w:val="74822CE1"/>
    <w:rsid w:val="74B03CF2"/>
    <w:rsid w:val="74C925A6"/>
    <w:rsid w:val="75701C77"/>
    <w:rsid w:val="75B07D22"/>
    <w:rsid w:val="75FD6934"/>
    <w:rsid w:val="76DE7412"/>
    <w:rsid w:val="76E41A31"/>
    <w:rsid w:val="775557EE"/>
    <w:rsid w:val="78CC3CF7"/>
    <w:rsid w:val="78D76B8F"/>
    <w:rsid w:val="78DB6E64"/>
    <w:rsid w:val="78F0190E"/>
    <w:rsid w:val="79C43D9C"/>
    <w:rsid w:val="7A817EAD"/>
    <w:rsid w:val="7AB756AF"/>
    <w:rsid w:val="7ADE6B49"/>
    <w:rsid w:val="7B0A41E6"/>
    <w:rsid w:val="7BE10C35"/>
    <w:rsid w:val="7BE35A96"/>
    <w:rsid w:val="7C484810"/>
    <w:rsid w:val="7CA413CC"/>
    <w:rsid w:val="7CA57EB5"/>
    <w:rsid w:val="7CFF06D7"/>
    <w:rsid w:val="7D0A41BC"/>
    <w:rsid w:val="7D5E522E"/>
    <w:rsid w:val="7D605B8A"/>
    <w:rsid w:val="7D692C90"/>
    <w:rsid w:val="7D7A3607"/>
    <w:rsid w:val="7E3F7E95"/>
    <w:rsid w:val="7FC07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6">
    <w:name w:val="Normal Indent"/>
    <w:basedOn w:val="1"/>
    <w:qFormat/>
    <w:uiPriority w:val="99"/>
    <w:pPr>
      <w:ind w:firstLine="420" w:firstLineChars="200"/>
    </w:pPr>
    <w:rPr>
      <w:rFonts w:ascii="Arial" w:hAnsi="Arial"/>
    </w:rPr>
  </w:style>
  <w:style w:type="paragraph" w:styleId="7">
    <w:name w:val="Body Text"/>
    <w:basedOn w:val="1"/>
    <w:semiHidden/>
    <w:qFormat/>
    <w:uiPriority w:val="0"/>
    <w:rPr>
      <w:rFonts w:ascii="宋体" w:hAnsi="宋体" w:eastAsia="宋体" w:cs="宋体"/>
      <w:sz w:val="31"/>
      <w:szCs w:val="31"/>
      <w:lang w:val="en-US" w:eastAsia="en-US" w:bidi="ar-SA"/>
    </w:rPr>
  </w:style>
  <w:style w:type="paragraph" w:styleId="8">
    <w:name w:val="toc 3"/>
    <w:basedOn w:val="1"/>
    <w:next w:val="1"/>
    <w:uiPriority w:val="0"/>
    <w:pPr>
      <w:ind w:left="840" w:leftChars="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qFormat/>
    <w:uiPriority w:val="0"/>
    <w:rPr>
      <w:sz w:val="24"/>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0"/>
    <w:rPr>
      <w:b/>
    </w:rPr>
  </w:style>
  <w:style w:type="paragraph" w:styleId="18">
    <w:name w:val="No Spacing"/>
    <w:qFormat/>
    <w:uiPriority w:val="99"/>
    <w:rPr>
      <w:rFonts w:ascii="Calibri" w:hAnsi="Calibri" w:eastAsia="宋体" w:cs="Times New Roman"/>
      <w:sz w:val="22"/>
      <w:szCs w:val="22"/>
      <w:lang w:val="en-US" w:eastAsia="zh-CN" w:bidi="ar-SA"/>
    </w:rPr>
  </w:style>
  <w:style w:type="character" w:customStyle="1" w:styleId="19">
    <w:name w:val="标题 2 Char"/>
    <w:link w:val="3"/>
    <w:qFormat/>
    <w:uiPriority w:val="0"/>
    <w:rPr>
      <w:rFonts w:ascii="Arial" w:hAnsi="Arial" w:eastAsia="黑体"/>
      <w:b/>
      <w:sz w:val="32"/>
    </w:rPr>
  </w:style>
  <w:style w:type="paragraph" w:customStyle="1" w:styleId="20">
    <w:name w:val="Table Paragraph"/>
    <w:basedOn w:val="1"/>
    <w:qFormat/>
    <w:uiPriority w:val="1"/>
    <w:pPr>
      <w:autoSpaceDE w:val="0"/>
      <w:autoSpaceDN w:val="0"/>
      <w:spacing w:before="81"/>
      <w:ind w:left="108"/>
      <w:jc w:val="left"/>
    </w:pPr>
    <w:rPr>
      <w:rFonts w:ascii="宋体" w:hAnsi="宋体" w:cs="宋体"/>
      <w:kern w:val="0"/>
      <w:sz w:val="22"/>
      <w:szCs w:val="22"/>
      <w:lang w:val="zh-CN" w:bidi="zh-CN"/>
    </w:rPr>
  </w:style>
  <w:style w:type="table" w:customStyle="1" w:styleId="21">
    <w:name w:val="Table Normal"/>
    <w:semiHidden/>
    <w:unhideWhenUsed/>
    <w:qFormat/>
    <w:uiPriority w:val="0"/>
    <w:tblPr>
      <w:tblCellMar>
        <w:top w:w="0" w:type="dxa"/>
        <w:left w:w="0" w:type="dxa"/>
        <w:bottom w:w="0" w:type="dxa"/>
        <w:right w:w="0" w:type="dxa"/>
      </w:tblCellMar>
    </w:tblPr>
  </w:style>
  <w:style w:type="paragraph" w:customStyle="1" w:styleId="22">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2813</Words>
  <Characters>2880</Characters>
  <Lines>0</Lines>
  <Paragraphs>0</Paragraphs>
  <TotalTime>12</TotalTime>
  <ScaleCrop>false</ScaleCrop>
  <LinksUpToDate>false</LinksUpToDate>
  <CharactersWithSpaces>2897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2025-08-03T15:18:00Z</dcterms:created>
  <dc:creator>18442</dc:creator>
  <cp:lastModifiedBy>郝宇</cp:lastModifiedBy>
  <dcterms:modified xsi:type="dcterms:W3CDTF">2025-08-21T08:26:45Z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AAD92EDC3E7E46618801A1C013CB6EB4_12</vt:lpwstr>
  </property>
</Properties>
</file>