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EA043">
      <w:pPr>
        <w:pStyle w:val="2"/>
        <w:spacing w:line="260" w:lineRule="auto"/>
      </w:pPr>
    </w:p>
    <w:p w14:paraId="5D106E09">
      <w:pPr>
        <w:pStyle w:val="2"/>
        <w:spacing w:line="260" w:lineRule="auto"/>
      </w:pPr>
    </w:p>
    <w:p w14:paraId="3E3633D4">
      <w:pPr>
        <w:pStyle w:val="2"/>
        <w:spacing w:line="260" w:lineRule="auto"/>
      </w:pPr>
    </w:p>
    <w:p w14:paraId="4B0EC425">
      <w:pPr>
        <w:spacing w:before="100" w:line="223" w:lineRule="auto"/>
        <w:jc w:val="center"/>
        <w:outlineLvl w:val="0"/>
        <w:rPr>
          <w:rFonts w:ascii="宋体" w:hAnsi="宋体" w:eastAsia="宋体" w:cs="宋体"/>
          <w:b/>
          <w:bCs/>
          <w:spacing w:val="6"/>
          <w:sz w:val="43"/>
          <w:szCs w:val="43"/>
        </w:rPr>
      </w:pPr>
      <w:bookmarkStart w:id="0" w:name="_Toc12090"/>
      <w:r>
        <w:rPr>
          <w:rFonts w:ascii="宋体" w:hAnsi="宋体" w:eastAsia="宋体" w:cs="宋体"/>
          <w:b/>
          <w:bCs/>
          <w:spacing w:val="6"/>
          <w:sz w:val="43"/>
          <w:szCs w:val="43"/>
        </w:rPr>
        <w:t>应急演练总结报告</w:t>
      </w:r>
      <w:bookmarkEnd w:id="0"/>
    </w:p>
    <w:p w14:paraId="68A11AFF">
      <w:pPr>
        <w:bidi w:val="0"/>
      </w:pPr>
    </w:p>
    <w:p w14:paraId="2CC7FE16">
      <w:pPr>
        <w:bidi w:val="0"/>
      </w:pPr>
    </w:p>
    <w:p w14:paraId="25245478">
      <w:pPr>
        <w:bidi w:val="0"/>
      </w:pPr>
    </w:p>
    <w:p w14:paraId="486D706E">
      <w:pPr>
        <w:bidi w:val="0"/>
      </w:pPr>
    </w:p>
    <w:p w14:paraId="24C3BF06">
      <w:pPr>
        <w:bidi w:val="0"/>
      </w:pPr>
    </w:p>
    <w:p w14:paraId="2348CBEB">
      <w:pPr>
        <w:bidi w:val="0"/>
      </w:pPr>
    </w:p>
    <w:p w14:paraId="4F249F45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114300" distR="114300">
            <wp:extent cx="2743200" cy="820420"/>
            <wp:effectExtent l="0" t="0" r="0" b="254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01A">
      <w:pPr>
        <w:jc w:val="center"/>
        <w:rPr>
          <w:position w:val="-25"/>
        </w:rPr>
      </w:pPr>
    </w:p>
    <w:p w14:paraId="7CCF6553">
      <w:pPr>
        <w:jc w:val="center"/>
        <w:rPr>
          <w:position w:val="-25"/>
        </w:rPr>
      </w:pPr>
    </w:p>
    <w:p w14:paraId="0104A602">
      <w:pPr>
        <w:jc w:val="center"/>
        <w:rPr>
          <w:position w:val="-25"/>
        </w:rPr>
      </w:pPr>
    </w:p>
    <w:p w14:paraId="5AF54121">
      <w:pPr>
        <w:jc w:val="center"/>
        <w:rPr>
          <w:position w:val="-25"/>
        </w:rPr>
      </w:pPr>
    </w:p>
    <w:p w14:paraId="31857A98">
      <w:pPr>
        <w:jc w:val="center"/>
        <w:rPr>
          <w:position w:val="-25"/>
        </w:rPr>
      </w:pPr>
    </w:p>
    <w:p w14:paraId="2FF7901D">
      <w:pPr>
        <w:jc w:val="center"/>
        <w:rPr>
          <w:position w:val="-25"/>
        </w:rPr>
      </w:pPr>
    </w:p>
    <w:p w14:paraId="30392487">
      <w:pPr>
        <w:jc w:val="center"/>
        <w:rPr>
          <w:position w:val="-25"/>
        </w:rPr>
      </w:pPr>
    </w:p>
    <w:p w14:paraId="09DA17EC">
      <w:pPr>
        <w:jc w:val="center"/>
        <w:rPr>
          <w:position w:val="-25"/>
        </w:rPr>
      </w:pPr>
    </w:p>
    <w:p w14:paraId="27D8C80D">
      <w:pPr>
        <w:jc w:val="center"/>
        <w:rPr>
          <w:position w:val="-25"/>
        </w:rPr>
      </w:pPr>
    </w:p>
    <w:p w14:paraId="04576186">
      <w:pPr>
        <w:jc w:val="center"/>
        <w:rPr>
          <w:position w:val="-25"/>
        </w:rPr>
      </w:pPr>
    </w:p>
    <w:p w14:paraId="5DAD1A51">
      <w:pPr>
        <w:jc w:val="center"/>
        <w:rPr>
          <w:position w:val="-25"/>
        </w:rPr>
      </w:pPr>
    </w:p>
    <w:p w14:paraId="37BCEE02">
      <w:pPr>
        <w:jc w:val="center"/>
        <w:rPr>
          <w:position w:val="-25"/>
        </w:rPr>
      </w:pPr>
    </w:p>
    <w:p w14:paraId="0AF8DBBD">
      <w:pPr>
        <w:jc w:val="center"/>
        <w:rPr>
          <w:position w:val="-25"/>
        </w:rPr>
      </w:pPr>
    </w:p>
    <w:p w14:paraId="331CF6AA">
      <w:pPr>
        <w:jc w:val="center"/>
        <w:rPr>
          <w:position w:val="-25"/>
        </w:rPr>
      </w:pPr>
    </w:p>
    <w:p w14:paraId="6BF2EEE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6C994040">
      <w:pPr>
        <w:jc w:val="center"/>
        <w:rPr>
          <w:rFonts w:ascii="宋体" w:hAnsi="宋体" w:eastAsia="宋体" w:cs="宋体"/>
          <w:b/>
          <w:bCs/>
          <w:spacing w:val="6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br w:type="page"/>
      </w:r>
    </w:p>
    <w:p w14:paraId="1CFF056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4056"/>
      <w:bookmarkStart w:id="2" w:name="_Toc484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  <w:bookmarkEnd w:id="2"/>
    </w:p>
    <w:p w14:paraId="42900450">
      <w:pPr>
        <w:spacing w:line="131" w:lineRule="exact"/>
      </w:pPr>
    </w:p>
    <w:tbl>
      <w:tblPr>
        <w:tblStyle w:val="6"/>
        <w:tblW w:w="9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548"/>
        <w:gridCol w:w="2341"/>
        <w:gridCol w:w="1982"/>
        <w:gridCol w:w="1563"/>
      </w:tblGrid>
      <w:tr w14:paraId="6BA3E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jc w:val="center"/>
        </w:trPr>
        <w:tc>
          <w:tcPr>
            <w:tcW w:w="1711" w:type="dxa"/>
            <w:noWrap w:val="0"/>
            <w:vAlign w:val="top"/>
          </w:tcPr>
          <w:p w14:paraId="7FE69527">
            <w:pPr>
              <w:pStyle w:val="7"/>
              <w:spacing w:before="125" w:line="325" w:lineRule="auto"/>
              <w:ind w:right="250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01FD5CD2">
            <w:pPr>
              <w:spacing w:line="291" w:lineRule="auto"/>
              <w:rPr>
                <w:rFonts w:ascii="Arial"/>
                <w:sz w:val="21"/>
              </w:rPr>
            </w:pPr>
          </w:p>
          <w:p w14:paraId="1E96E00A">
            <w:pPr>
              <w:pStyle w:val="7"/>
              <w:spacing w:before="78" w:line="218" w:lineRule="auto"/>
              <w:ind w:left="112"/>
            </w:pPr>
            <w:r>
              <w:rPr>
                <w:rFonts w:hint="eastAsia"/>
                <w:spacing w:val="-1"/>
                <w:lang w:val="en-US" w:eastAsia="zh-CN"/>
              </w:rPr>
              <w:t>应急演练宝宝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ZNHFYJYA</w:t>
            </w:r>
            <w:r>
              <w:rPr>
                <w:spacing w:val="-1"/>
              </w:rPr>
              <w:t>）</w:t>
            </w:r>
          </w:p>
        </w:tc>
      </w:tr>
      <w:tr w14:paraId="097FB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67E81C4">
            <w:pPr>
              <w:pStyle w:val="7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76F86AB8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A9C8D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171853">
            <w:pPr>
              <w:pStyle w:val="7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120039FE">
            <w:pPr>
              <w:pStyle w:val="7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56D14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57D67E">
            <w:pPr>
              <w:pStyle w:val="7"/>
              <w:spacing w:before="186" w:line="219" w:lineRule="auto"/>
            </w:pPr>
            <w:r>
              <w:rPr>
                <w:spacing w:val="-3"/>
              </w:rPr>
              <w:t>文档版本</w:t>
            </w:r>
          </w:p>
        </w:tc>
        <w:tc>
          <w:tcPr>
            <w:tcW w:w="1548" w:type="dxa"/>
            <w:noWrap w:val="0"/>
            <w:vAlign w:val="top"/>
          </w:tcPr>
          <w:p w14:paraId="59230AD0">
            <w:pPr>
              <w:pStyle w:val="7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1" w:type="dxa"/>
            <w:noWrap w:val="0"/>
            <w:vAlign w:val="top"/>
          </w:tcPr>
          <w:p w14:paraId="582D890C">
            <w:pPr>
              <w:pStyle w:val="7"/>
              <w:spacing w:before="186" w:line="219" w:lineRule="auto"/>
              <w:ind w:left="695"/>
            </w:pPr>
            <w:r>
              <w:rPr>
                <w:spacing w:val="-2"/>
              </w:rPr>
              <w:t>版本说明</w:t>
            </w:r>
          </w:p>
        </w:tc>
        <w:tc>
          <w:tcPr>
            <w:tcW w:w="1982" w:type="dxa"/>
            <w:noWrap w:val="0"/>
            <w:vAlign w:val="top"/>
          </w:tcPr>
          <w:p w14:paraId="45288996">
            <w:pPr>
              <w:pStyle w:val="7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3" w:type="dxa"/>
            <w:noWrap w:val="0"/>
            <w:vAlign w:val="top"/>
          </w:tcPr>
          <w:p w14:paraId="578901EC">
            <w:pPr>
              <w:pStyle w:val="7"/>
              <w:spacing w:before="187" w:line="220" w:lineRule="auto"/>
              <w:ind w:left="559"/>
            </w:pPr>
            <w:r>
              <w:rPr>
                <w:spacing w:val="-6"/>
              </w:rPr>
              <w:t>审核</w:t>
            </w:r>
          </w:p>
        </w:tc>
      </w:tr>
      <w:tr w14:paraId="00988F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711" w:type="dxa"/>
            <w:noWrap w:val="0"/>
            <w:vAlign w:val="top"/>
          </w:tcPr>
          <w:p w14:paraId="362FB82B">
            <w:pPr>
              <w:pStyle w:val="7"/>
              <w:spacing w:before="162" w:line="239" w:lineRule="auto"/>
              <w:ind w:left="538"/>
            </w:pPr>
            <w:r>
              <w:rPr>
                <w:spacing w:val="-1"/>
              </w:rPr>
              <w:t>V1.0</w:t>
            </w:r>
          </w:p>
        </w:tc>
        <w:tc>
          <w:tcPr>
            <w:tcW w:w="1548" w:type="dxa"/>
            <w:noWrap w:val="0"/>
            <w:vAlign w:val="top"/>
          </w:tcPr>
          <w:p w14:paraId="0A6136A8">
            <w:pPr>
              <w:pStyle w:val="7"/>
              <w:spacing w:before="162"/>
              <w:ind w:left="313"/>
              <w:rPr>
                <w:rFonts w:hint="default" w:eastAsia="仿宋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20</w:t>
            </w:r>
          </w:p>
        </w:tc>
        <w:tc>
          <w:tcPr>
            <w:tcW w:w="2341" w:type="dxa"/>
            <w:noWrap w:val="0"/>
            <w:vAlign w:val="top"/>
          </w:tcPr>
          <w:p w14:paraId="02040B9F">
            <w:pPr>
              <w:pStyle w:val="7"/>
              <w:spacing w:before="128" w:line="219" w:lineRule="auto"/>
              <w:ind w:left="698"/>
            </w:pPr>
            <w:r>
              <w:rPr>
                <w:spacing w:val="-3"/>
              </w:rPr>
              <w:t>发布版本</w:t>
            </w:r>
          </w:p>
        </w:tc>
        <w:tc>
          <w:tcPr>
            <w:tcW w:w="1982" w:type="dxa"/>
            <w:noWrap w:val="0"/>
            <w:vAlign w:val="top"/>
          </w:tcPr>
          <w:p w14:paraId="07531848">
            <w:pPr>
              <w:pStyle w:val="7"/>
              <w:spacing w:before="128" w:line="220" w:lineRule="auto"/>
              <w:ind w:left="639"/>
            </w:pPr>
            <w:r>
              <w:rPr>
                <w:rFonts w:hint="eastAsia"/>
                <w:spacing w:val="-3"/>
              </w:rPr>
              <w:t>李琳</w:t>
            </w:r>
          </w:p>
        </w:tc>
        <w:tc>
          <w:tcPr>
            <w:tcW w:w="1563" w:type="dxa"/>
            <w:noWrap w:val="0"/>
            <w:vAlign w:val="top"/>
          </w:tcPr>
          <w:p w14:paraId="2306498A">
            <w:pPr>
              <w:pStyle w:val="7"/>
              <w:spacing w:before="129" w:line="220" w:lineRule="auto"/>
              <w:ind w:left="4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5B3FAC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711" w:type="dxa"/>
            <w:noWrap w:val="0"/>
            <w:vAlign w:val="top"/>
          </w:tcPr>
          <w:p w14:paraId="2C2C0EDD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20E6AB17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0B51899B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79064D4D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29FEE701">
            <w:pPr>
              <w:rPr>
                <w:rFonts w:ascii="Arial"/>
                <w:sz w:val="21"/>
              </w:rPr>
            </w:pPr>
          </w:p>
        </w:tc>
      </w:tr>
      <w:tr w14:paraId="2CBFD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11" w:type="dxa"/>
            <w:noWrap w:val="0"/>
            <w:vAlign w:val="top"/>
          </w:tcPr>
          <w:p w14:paraId="4A5F242A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4035CAAD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7AF07644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5ED22C7F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6DDEDF8D">
            <w:pPr>
              <w:rPr>
                <w:rFonts w:ascii="Arial"/>
                <w:sz w:val="21"/>
              </w:rPr>
            </w:pPr>
          </w:p>
        </w:tc>
      </w:tr>
    </w:tbl>
    <w:p w14:paraId="36FCD534">
      <w:r>
        <w:br w:type="page"/>
      </w:r>
    </w:p>
    <w:p w14:paraId="20166EAB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1423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96FDF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1ED5E2A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_Toc12090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6"/>
              <w:sz w:val="24"/>
              <w:szCs w:val="24"/>
            </w:rPr>
            <w:t>应急演练总结报告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_Toc12090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77561C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DB5E31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1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演练概述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461819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pacing w:val="13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演练总结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9067A4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3C1AC67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bookmarkStart w:id="5" w:name="_GoBack"/>
      <w:bookmarkEnd w:id="5"/>
    </w:p>
    <w:p w14:paraId="0603C259"/>
    <w:p w14:paraId="4B774DFA">
      <w:pPr>
        <w:pStyle w:val="2"/>
        <w:spacing w:line="264" w:lineRule="auto"/>
      </w:pPr>
    </w:p>
    <w:p w14:paraId="1E898FE7">
      <w:pPr>
        <w:rPr>
          <w:rFonts w:ascii="黑体" w:hAnsi="黑体" w:eastAsia="黑体" w:cs="黑体"/>
          <w:spacing w:val="-8"/>
          <w:sz w:val="30"/>
          <w:szCs w:val="30"/>
        </w:rPr>
      </w:pPr>
      <w:bookmarkStart w:id="3" w:name="_Toc4883"/>
      <w:r>
        <w:rPr>
          <w:rFonts w:ascii="黑体" w:hAnsi="黑体" w:eastAsia="黑体" w:cs="黑体"/>
          <w:spacing w:val="-8"/>
          <w:sz w:val="30"/>
          <w:szCs w:val="30"/>
        </w:rPr>
        <w:br w:type="page"/>
      </w:r>
    </w:p>
    <w:p w14:paraId="5993C51F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8"/>
          <w:sz w:val="30"/>
          <w:szCs w:val="30"/>
        </w:rPr>
        <w:t>1</w:t>
      </w:r>
      <w:r>
        <w:rPr>
          <w:rFonts w:ascii="黑体" w:hAnsi="黑体" w:eastAsia="黑体" w:cs="黑体"/>
          <w:spacing w:val="132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8"/>
          <w:sz w:val="30"/>
          <w:szCs w:val="30"/>
        </w:rPr>
        <w:t>演练概述</w:t>
      </w:r>
      <w:bookmarkEnd w:id="3"/>
    </w:p>
    <w:p w14:paraId="5789A90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年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月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25 日，对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市民服务中心智能化运维服务项目</w:t>
      </w:r>
      <w:r>
        <w:rPr>
          <w:rFonts w:ascii="宋体" w:hAnsi="宋体" w:eastAsia="宋体" w:cs="宋体"/>
          <w:spacing w:val="-5"/>
          <w:sz w:val="24"/>
          <w:szCs w:val="24"/>
        </w:rPr>
        <w:t>进行了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次应急响应演练，从演练结果来看，达到了</w:t>
      </w:r>
      <w:r>
        <w:rPr>
          <w:rFonts w:ascii="宋体" w:hAnsi="宋体" w:eastAsia="宋体" w:cs="宋体"/>
          <w:spacing w:val="-6"/>
          <w:sz w:val="24"/>
          <w:szCs w:val="24"/>
        </w:rPr>
        <w:t>演练预设环</w:t>
      </w:r>
      <w:r>
        <w:rPr>
          <w:rFonts w:ascii="宋体" w:hAnsi="宋体" w:eastAsia="宋体" w:cs="宋体"/>
          <w:spacing w:val="-4"/>
          <w:sz w:val="24"/>
          <w:szCs w:val="24"/>
        </w:rPr>
        <w:t>境、预设流程与预设时间、预设目标的要求，圆满完成了各项演练计</w:t>
      </w:r>
      <w:r>
        <w:rPr>
          <w:rFonts w:ascii="宋体" w:hAnsi="宋体" w:eastAsia="宋体" w:cs="宋体"/>
          <w:spacing w:val="-5"/>
          <w:sz w:val="24"/>
          <w:szCs w:val="24"/>
        </w:rPr>
        <w:t>划。</w:t>
      </w:r>
    </w:p>
    <w:p w14:paraId="2B627A13">
      <w:pPr>
        <w:spacing w:before="1" w:line="220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_Toc215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演练总结</w:t>
      </w:r>
      <w:bookmarkEnd w:id="4"/>
    </w:p>
    <w:p w14:paraId="5AD5B9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这类客户对于数据中心运维的稳定性要求、连续性要求和可用性要求非常高。通过前期建设，绝大多数数据中心已经完整建立了设备链路冗余、双机热备乃至地区性灾备恢复系统的建设工作。根据客户技术架构现状及可能发生风险的监测点及范围，我们在应急计划中始终按照应急制度的各项规定，编制科学、合理的应急预案与计划，并不断地实施，验证和总结。从而掌握 ITSS 的运维服务管理精髓。我们获得了不菲的收获和提高的。</w:t>
      </w:r>
    </w:p>
    <w:p w14:paraId="73D5D9A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在这本次应急演练中，我们收获了以下几个方面：</w:t>
      </w:r>
    </w:p>
    <w:p w14:paraId="3F7911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（1）它验证了我司运维服务的岗位结构是合理可行的，各个岗位人员的技能是符合服务水平要求的。</w:t>
      </w:r>
    </w:p>
    <w:p w14:paraId="0299658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（2）服务队伍在服务事件中积累的组织过程资产是比较全面的，并且是切实可行的，在实践中是值得参考，借鉴和利用的。</w:t>
      </w:r>
    </w:p>
    <w:p w14:paraId="5F4ED9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（3）服务过程中，服务团队，包括工程师和管理层制定出的服务流程还是合理，实际可行的。</w:t>
      </w:r>
    </w:p>
    <w:p w14:paraId="68A7B8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4）服务团队在履行服务合约，并及时跟踪问题，同客户一起处理系统，架构和许多的以外事件，并且不断的改进服务深度，广度，不断提高服务质量和效率，这些都是有目共睹的。当然，运维服务的提高是没有止境的，逆水行舟，不进则退，所以在应急响应规范这一环节，我们还有许多地方在演练中暴露出不足，不理想。我们应当继续提高它们。</w:t>
      </w:r>
    </w:p>
    <w:p w14:paraId="0EC2C0B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专业化的服务就得打造专业化的服务队伍，公司目前规模决定了工程师人员分工不会非常细，所以要培养一专多会和多专的队伍结构；进一步规范团队，打造行业化得服务团队。团队技能也要团队化，要形成一个多元化，一精多专的服务团队。要加大内部学习，外部学习，去提升团队的专业服务和继续水平,并且队伍结构要有层次，梯队。</w:t>
      </w:r>
    </w:p>
    <w:p w14:paraId="0AC9188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具体措施：每周固定时间进行客户特定的系统应用的培训，确保高中低三档次的工程师能良性的发展。确保人员结构和队伍技术结构合理可良性生存，当有些员工离职后，各个职位还能正常高效运转。</w:t>
      </w:r>
    </w:p>
    <w:p w14:paraId="252106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（2）知识库还不够丰富和合理高效，接下来要大力发扬团队合作精神，分享意识，去快速完善一些空白的，不够完善的组织过程资产，从而提高运维服务水平。</w:t>
      </w:r>
    </w:p>
    <w:p w14:paraId="5B8A7CA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具体措施：定期开展实践并完善作业规范活动，规范做到每年更新一次，并且存档，作为知识库用于团队成员参考和新员工前期培训材料。</w:t>
      </w:r>
    </w:p>
    <w:p w14:paraId="537040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演练暴露出很多方面用户还是不够满意，对事物的处理不够主动和建设性。新的方案不能及时的在线。所以，接下来会分配资源去多做些的研究，制作出更多的切实可行的应用产品去提供更好的更符合标准的 IT服务，让客户满意。</w:t>
      </w:r>
    </w:p>
    <w:p w14:paraId="1A71B4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具体措施：以上的措施会在今后的应急演练中作调整，去实践</w:t>
      </w:r>
      <w:r>
        <w:rPr>
          <w:rFonts w:ascii="宋体" w:hAnsi="宋体" w:eastAsia="宋体" w:cs="宋体"/>
          <w:spacing w:val="-3"/>
          <w:sz w:val="28"/>
          <w:szCs w:val="28"/>
        </w:rPr>
        <w:t>。</w:t>
      </w:r>
    </w:p>
    <w:sectPr>
      <w:pgSz w:w="11906" w:h="16838"/>
      <w:pgMar w:top="1431" w:right="1746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BF4B31"/>
    <w:rsid w:val="092C7268"/>
    <w:rsid w:val="0BD240F7"/>
    <w:rsid w:val="0C774C9E"/>
    <w:rsid w:val="15293404"/>
    <w:rsid w:val="15447178"/>
    <w:rsid w:val="15B30AF5"/>
    <w:rsid w:val="189D783A"/>
    <w:rsid w:val="1F5570C1"/>
    <w:rsid w:val="27CB6B2C"/>
    <w:rsid w:val="291B6C85"/>
    <w:rsid w:val="2ED022C0"/>
    <w:rsid w:val="31350B00"/>
    <w:rsid w:val="31BB7257"/>
    <w:rsid w:val="33883169"/>
    <w:rsid w:val="35386E11"/>
    <w:rsid w:val="3C4D6ADE"/>
    <w:rsid w:val="3C795D45"/>
    <w:rsid w:val="3D883FE9"/>
    <w:rsid w:val="474E7DCE"/>
    <w:rsid w:val="4E013DEC"/>
    <w:rsid w:val="54824F15"/>
    <w:rsid w:val="62965464"/>
    <w:rsid w:val="6FA80B0C"/>
    <w:rsid w:val="70140C3B"/>
    <w:rsid w:val="71DB79BE"/>
    <w:rsid w:val="72DD32A3"/>
    <w:rsid w:val="78CD6166"/>
    <w:rsid w:val="7D232A32"/>
    <w:rsid w:val="7DD00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1161</Words>
  <Characters>1173</Characters>
  <TotalTime>0</TotalTime>
  <ScaleCrop>false</ScaleCrop>
  <LinksUpToDate>false</LinksUpToDate>
  <CharactersWithSpaces>1192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2025-08-21T18:44:48Z</dcterms:created>
  <dc:creator>18442</dc:creator>
  <cp:lastModifiedBy>郝宇</cp:lastModifiedBy>
  <dcterms:modified xsi:type="dcterms:W3CDTF">2025-08-21T18:51:30Z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0C903783E5F34BE1B567F9BC6DC182FD_12</vt:lpwstr>
  </property>
</Properties>
</file>