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174364" cy="998220"/>
                    </a:xfrm>
                    <a:prstGeom prst="rect">
                      <a:avLst/>
                    </a:prstGeom>
                  </pic:spPr>
                </pic:pic>
              </a:graphicData>
            </a:graphic>
          </wp:inline>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1FCBF49B">
      <w:pPr>
        <w:pStyle w:val="11"/>
        <w:spacing w:line="257" w:lineRule="auto"/>
      </w:pPr>
    </w:p>
    <w:p w14:paraId="0C3EECB1">
      <w:pPr>
        <w:spacing w:before="117" w:line="219" w:lineRule="auto"/>
        <w:ind w:left="1647"/>
        <w:rPr>
          <w:rFonts w:ascii="宋体" w:hAnsi="宋体" w:eastAsia="宋体" w:cs="宋体"/>
          <w:sz w:val="36"/>
          <w:szCs w:val="36"/>
        </w:rPr>
      </w:pPr>
      <w:r>
        <w:rPr>
          <w:rFonts w:ascii="宋体" w:hAnsi="宋体" w:eastAsia="宋体" w:cs="宋体"/>
          <w:spacing w:val="-1"/>
          <w:sz w:val="36"/>
          <w:szCs w:val="36"/>
        </w:rPr>
        <w:t>青岛慧海联创信息技术有限公司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spacing w:before="58" w:line="220" w:lineRule="auto"/>
        <w:ind w:left="3626"/>
        <w:outlineLvl w:val="0"/>
        <w:rPr>
          <w:rFonts w:ascii="宋体" w:hAnsi="宋体" w:eastAsia="宋体" w:cs="宋体"/>
          <w:sz w:val="28"/>
          <w:szCs w:val="28"/>
        </w:rPr>
      </w:pPr>
      <w:bookmarkStart w:id="0" w:name="_Toc6525"/>
      <w:r>
        <w:rPr>
          <w:rFonts w:ascii="宋体" w:hAnsi="宋体" w:eastAsia="宋体" w:cs="宋体"/>
          <w:spacing w:val="-2"/>
          <w:sz w:val="28"/>
          <w:szCs w:val="28"/>
        </w:rPr>
        <w:t>文档信息</w:t>
      </w:r>
      <w:bookmarkEnd w:id="0"/>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公司组织架构及职责说明（HHLC-ITSS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61"/>
              <w:ind w:left="646"/>
            </w:pPr>
            <w:r>
              <w:rPr>
                <w:spacing w:val="-1"/>
              </w:rPr>
              <w:t>V1.0</w:t>
            </w:r>
          </w:p>
        </w:tc>
        <w:tc>
          <w:tcPr>
            <w:tcW w:w="1560" w:type="dxa"/>
            <w:vAlign w:val="top"/>
          </w:tcPr>
          <w:p w14:paraId="5BF97A3A">
            <w:pPr>
              <w:pStyle w:val="19"/>
              <w:spacing w:before="160" w:line="241" w:lineRule="auto"/>
              <w:ind w:left="372"/>
            </w:pPr>
            <w:r>
              <w:rPr>
                <w:spacing w:val="-2"/>
              </w:rPr>
              <w:t>2025-1-4</w:t>
            </w:r>
          </w:p>
        </w:tc>
        <w:tc>
          <w:tcPr>
            <w:tcW w:w="2123" w:type="dxa"/>
            <w:vAlign w:val="top"/>
          </w:tcPr>
          <w:p w14:paraId="071C8D57">
            <w:pPr>
              <w:pStyle w:val="19"/>
              <w:spacing w:before="132" w:line="220" w:lineRule="auto"/>
              <w:ind w:left="656"/>
            </w:pPr>
            <w:r>
              <w:rPr>
                <w:spacing w:val="-3"/>
              </w:rPr>
              <w:t>发布版本</w:t>
            </w:r>
          </w:p>
        </w:tc>
        <w:tc>
          <w:tcPr>
            <w:tcW w:w="1701" w:type="dxa"/>
            <w:vAlign w:val="top"/>
          </w:tcPr>
          <w:p w14:paraId="6A1F23AB">
            <w:pPr>
              <w:pStyle w:val="19"/>
              <w:spacing w:before="132" w:line="229" w:lineRule="auto"/>
              <w:ind w:left="653"/>
            </w:pPr>
            <w:r>
              <w:rPr>
                <w:spacing w:val="-2"/>
              </w:rPr>
              <w:t>王慧</w:t>
            </w:r>
          </w:p>
        </w:tc>
        <w:tc>
          <w:tcPr>
            <w:tcW w:w="1564" w:type="dxa"/>
            <w:vAlign w:val="top"/>
          </w:tcPr>
          <w:p w14:paraId="0EC39575">
            <w:pPr>
              <w:pStyle w:val="19"/>
              <w:spacing w:before="131" w:line="221" w:lineRule="auto"/>
              <w:ind w:left="480"/>
            </w:pPr>
            <w:r>
              <w:rPr>
                <w:spacing w:val="-3"/>
              </w:rPr>
              <w:t>张仲全</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35202E5">
          <w:pPr>
            <w:pStyle w:val="14"/>
            <w:tabs>
              <w:tab w:val="right" w:leader="dot" w:pos="844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2C5E9A">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_Toc12515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_Toc12515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ECE4CD0">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80D529">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_Toc7423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A543C2">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_Toc9673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_Toc9673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CE849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_Toc12214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综合管理部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_Toc12214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DF143C9">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_Toc11712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2.3.1. 人力资源部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_Toc11712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B066DD">
          <w:pPr>
            <w:pStyle w:val="12"/>
            <w:tabs>
              <w:tab w:val="right" w:leader="dot" w:pos="8442"/>
            </w:tabs>
            <w:rPr>
              <w:rFonts w:hint="eastAsia" w:ascii="Microsoft JhengHei" w:hAnsi="Microsoft JhengHei" w:eastAsia="Microsoft JhengHei" w:cs="Microsoft JhengHei"/>
              <w:sz w:val="24"/>
              <w:szCs w:val="24"/>
            </w:rPr>
          </w:pPr>
          <w:bookmarkStart w:id="26" w:name="_GoBack"/>
          <w:bookmarkEnd w:id="26"/>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2.3.2. 财务部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42B3B">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_Toc21431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90D7D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_Toc15421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营销中心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_Toc15421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399768">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 运维服务部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A3FC138">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_Toc13650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_Toc13650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C717CC">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_Toc25933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A46950">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rPr>
            <w:t xml:space="preserve">2.6.3. </w:t>
          </w:r>
          <w:r>
            <w:rPr>
              <w:rFonts w:hint="eastAsia" w:ascii="Microsoft JhengHei" w:hAnsi="Microsoft JhengHei" w:eastAsia="Microsoft JhengHei" w:cs="Microsoft JhengHei"/>
              <w:sz w:val="24"/>
              <w:szCs w:val="24"/>
              <w:lang w:val="en-US" w:eastAsia="zh-CN"/>
            </w:rPr>
            <w:t>服务知识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89398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_Toc26015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质量中心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_Toc26015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B3D53AA">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_Toc20204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研发中心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_Toc20204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C65F0C">
          <w:pPr>
            <w:pStyle w:val="15"/>
            <w:tabs>
              <w:tab w:val="right" w:leader="dot" w:pos="844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_Toc21145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2.9.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_Toc21145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20"/>
        <w:bidi w:val="0"/>
      </w:pPr>
      <w:bookmarkStart w:id="1" w:name="bookmark1"/>
      <w:bookmarkEnd w:id="1"/>
      <w:bookmarkStart w:id="2" w:name="bookmark13"/>
      <w:bookmarkEnd w:id="2"/>
      <w:bookmarkStart w:id="3" w:name="_Toc12515"/>
      <w:r>
        <w:t>公司组织架构</w:t>
      </w:r>
      <w:bookmarkEnd w:id="3"/>
    </w:p>
    <w:p w14:paraId="07E4A04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青岛慧海联创信息技术有限公司的相关组织部门包括：</w:t>
      </w:r>
    </w:p>
    <w:p w14:paraId="3E4C64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应急管理小组、综合管理部（下设人力资源部、财务部）、采购部、营销中心、运维服务部（下设服务台、备件库</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服务知识</w:t>
      </w:r>
      <w:r>
        <w:rPr>
          <w:rFonts w:ascii="宋体" w:hAnsi="宋体" w:eastAsia="宋体" w:cs="宋体"/>
          <w:spacing w:val="-3"/>
          <w:sz w:val="24"/>
          <w:szCs w:val="24"/>
        </w:rPr>
        <w:t>）、质量</w:t>
      </w:r>
      <w:r>
        <w:rPr>
          <w:rFonts w:hint="eastAsia" w:ascii="宋体" w:hAnsi="宋体" w:eastAsia="宋体" w:cs="宋体"/>
          <w:spacing w:val="-3"/>
          <w:sz w:val="24"/>
          <w:szCs w:val="24"/>
          <w:lang w:val="en-US" w:eastAsia="zh-CN"/>
        </w:rPr>
        <w:t>中心</w:t>
      </w:r>
      <w:r>
        <w:rPr>
          <w:rFonts w:ascii="宋体" w:hAnsi="宋体" w:eastAsia="宋体" w:cs="宋体"/>
          <w:spacing w:val="-3"/>
          <w:sz w:val="24"/>
          <w:szCs w:val="24"/>
        </w:rPr>
        <w:t>，研发中心。</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p>
    <w:p w14:paraId="6AE8F6C2">
      <w:pPr>
        <w:pStyle w:val="11"/>
        <w:spacing w:line="272" w:lineRule="auto"/>
      </w:pPr>
    </w:p>
    <w:p w14:paraId="4F8BF9A0">
      <w:pPr>
        <w:spacing w:line="3710" w:lineRule="exact"/>
        <w:ind w:firstLine="463"/>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-370840</wp:posOffset>
            </wp:positionV>
            <wp:extent cx="5300980" cy="2253615"/>
            <wp:effectExtent l="0" t="0" r="2540" b="190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300980" cy="2253615"/>
                    </a:xfrm>
                    <a:prstGeom prst="rect">
                      <a:avLst/>
                    </a:prstGeom>
                    <a:noFill/>
                    <a:ln>
                      <a:noFill/>
                    </a:ln>
                  </pic:spPr>
                </pic:pic>
              </a:graphicData>
            </a:graphic>
          </wp:anchor>
        </w:drawing>
      </w:r>
    </w:p>
    <w:p w14:paraId="52079845">
      <w:pPr>
        <w:pStyle w:val="11"/>
        <w:spacing w:line="314" w:lineRule="auto"/>
      </w:pPr>
    </w:p>
    <w:p w14:paraId="3D86ABA0">
      <w:pPr>
        <w:pStyle w:val="11"/>
        <w:spacing w:line="314" w:lineRule="auto"/>
      </w:pPr>
    </w:p>
    <w:p w14:paraId="60E89582">
      <w:pPr>
        <w:pStyle w:val="20"/>
        <w:bidi w:val="0"/>
      </w:pPr>
      <w:bookmarkStart w:id="4" w:name="bookmark1"/>
      <w:bookmarkEnd w:id="4"/>
      <w:bookmarkStart w:id="5" w:name="_Toc12322"/>
      <w:r>
        <w:t>部门及职责</w:t>
      </w:r>
      <w:bookmarkEnd w:id="5"/>
    </w:p>
    <w:p w14:paraId="05CF8179">
      <w:pPr>
        <w:pStyle w:val="21"/>
        <w:bidi w:val="0"/>
      </w:pPr>
      <w:bookmarkStart w:id="6" w:name="bookmark1"/>
      <w:bookmarkEnd w:id="6"/>
      <w:bookmarkStart w:id="7" w:name="_Toc7423"/>
      <w:r>
        <w:t>总经理职责</w:t>
      </w:r>
      <w:bookmarkEnd w:id="7"/>
    </w:p>
    <w:p w14:paraId="169B4C7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依据公司发展战略，制定和实施公司中长期的发展战略，提升公司信息技术的应用水平和竞争优势。</w:t>
      </w:r>
    </w:p>
    <w:p w14:paraId="641BF94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负责制订并落实公司各项规章制度、改革方案、改革措施。</w:t>
      </w:r>
    </w:p>
    <w:p w14:paraId="396B1CF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负责公司IT系统的整体规划、设计、组建、实施，通过必要的升级、新技术引进或整合等手段，组建实施及维护公司当前的系统，并保持公司系统对业务的有效支持。</w:t>
      </w:r>
    </w:p>
    <w:p w14:paraId="181E7B5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4) 主导企业文化建设的基本方向，提出公司组织机构设置方案。</w:t>
      </w:r>
    </w:p>
    <w:p w14:paraId="28FE1E1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负责公司内部各部门的组织管理，实施在职能权责内的人力资源管理，对公司的经济效益负责，拥有经营指挥权和各种资源分配权。</w:t>
      </w:r>
    </w:p>
    <w:p w14:paraId="50316746">
      <w:pPr>
        <w:pStyle w:val="21"/>
        <w:bidi w:val="0"/>
      </w:pPr>
      <w:bookmarkStart w:id="8" w:name="bookmark14"/>
      <w:bookmarkEnd w:id="8"/>
      <w:bookmarkStart w:id="9" w:name="_Toc9673"/>
      <w:r>
        <w:t>副总经理职责</w:t>
      </w:r>
      <w:bookmarkEnd w:id="9"/>
    </w:p>
    <w:p w14:paraId="2636910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负责分管部门的业务管理、工作执行、目标达成和考核、组织团队规划协调和建设及分管部门定期汇报；</w:t>
      </w:r>
    </w:p>
    <w:p w14:paraId="5115507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4) 及时掌握项目实施、运维进展和情况，定期向总经理汇报并通报其他相关部门，提出建议和意见；</w:t>
      </w:r>
    </w:p>
    <w:p w14:paraId="63D5DCD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负责编制项目费用预算、分管部门预算，经总经理审批后监督执行。</w:t>
      </w:r>
    </w:p>
    <w:p w14:paraId="574C1D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6)负责统筹规划应急相关事宜,指导运维服务部和质量中心更好的完成应急策划和应急演练。</w:t>
      </w:r>
    </w:p>
    <w:p w14:paraId="3CD7E205">
      <w:pPr>
        <w:pStyle w:val="21"/>
        <w:bidi w:val="0"/>
      </w:pPr>
      <w:bookmarkStart w:id="10" w:name="_Toc12214"/>
      <w:r>
        <w:t>综合管理部</w:t>
      </w:r>
      <w:bookmarkEnd w:id="10"/>
    </w:p>
    <w:p w14:paraId="5FF217A4">
      <w:pPr>
        <w:pStyle w:val="22"/>
        <w:bidi w:val="0"/>
      </w:pPr>
      <w:bookmarkStart w:id="11" w:name="_Toc11712"/>
      <w:r>
        <w:t>人力资源部</w:t>
      </w:r>
      <w:bookmarkEnd w:id="11"/>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负责推进公司年度整体人力资源工作计划的制定，指导、监督各部门开展日常推进；</w:t>
      </w:r>
    </w:p>
    <w:p w14:paraId="7C901C3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根据公司年度人员规划，拓展招聘渠道，规范招聘流程，开展人员招聘</w:t>
      </w:r>
    </w:p>
    <w:p w14:paraId="0824C4E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参与公司组织结构调整，完善各部门职能，开展工作分析，制定工作流程，编制职位说明书；</w:t>
      </w:r>
    </w:p>
    <w:p w14:paraId="6FC2400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bookmarkStart w:id="12" w:name="bookmark15"/>
      <w:bookmarkEnd w:id="12"/>
      <w:r>
        <w:rPr>
          <w:rFonts w:ascii="宋体" w:hAnsi="宋体" w:eastAsia="宋体" w:cs="宋体"/>
          <w:spacing w:val="-3"/>
          <w:sz w:val="24"/>
          <w:szCs w:val="24"/>
        </w:rPr>
        <w:t>4) 负责制定公司的人才培养与储备制度，并根据年度人才策略开展人才培养系列活动；</w:t>
      </w:r>
    </w:p>
    <w:p w14:paraId="2119E93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负责编制年度员工分配预算，根据总额控制的原则对各部门的员工分配进行控制。</w:t>
      </w:r>
    </w:p>
    <w:p w14:paraId="7EB5737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6) 负责构建员工福利体系，开展员工社会保险、住房公积金的缴纳统筹，办理员工的补充医疗保险和员工年度体检等；</w:t>
      </w:r>
    </w:p>
    <w:p w14:paraId="47ED09A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7) 负责制定公司的绩效管理体系，开展员工绩效考核，并参与公司对各事业部、各部门的年度绩效考核；</w:t>
      </w:r>
    </w:p>
    <w:p w14:paraId="7A1CC72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8) 负责起草公司劳动合同文本，规范劳动合同管理流程，并根据实际情况开展劳动用工形式的规范管理。</w:t>
      </w:r>
    </w:p>
    <w:p w14:paraId="1E82CB8F">
      <w:pPr>
        <w:pStyle w:val="22"/>
        <w:bidi w:val="0"/>
      </w:pPr>
      <w:bookmarkStart w:id="13" w:name="_Toc1568"/>
      <w:r>
        <w:t>财务部</w:t>
      </w:r>
      <w:bookmarkEnd w:id="13"/>
    </w:p>
    <w:p w14:paraId="2ECC6C6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建立、健全财务管理体系，对财务部门的日常管理、资金运作等进行总体控制；</w:t>
      </w:r>
    </w:p>
    <w:p w14:paraId="475C12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主持财务报表的编制工作，保证财务信息对外披露的正常进行，有效地监督检查财务制度、预算的执行情况以及适当及时的调整；</w:t>
      </w:r>
    </w:p>
    <w:p w14:paraId="66EB08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对公司税收进行整体筹划与管理，按时完成税务申报以及年度审计工作；</w:t>
      </w:r>
    </w:p>
    <w:p w14:paraId="7FF696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比较精确地监控和预测现金流量，确定和监控公司负债和资本的合理结构，统筹管理和运作公司资金并对其进行有效的风险控制；</w:t>
      </w:r>
    </w:p>
    <w:p w14:paraId="039AD9F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对公司重大的投资、融资、并购等经营活动提供建议和决策支持，参与风险评估、指导、跟踪和控制；</w:t>
      </w:r>
    </w:p>
    <w:p w14:paraId="22C6DD3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与财政、税务、银行、证券等相关政府部门及会计师事务所等相关中介机构建立并保持良好的关系；</w:t>
      </w:r>
    </w:p>
    <w:p w14:paraId="738FE4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向上级主管汇报公司经营状况、经营成果、财务收支及计划的具体情况，为公司高级管理人员提供财务分析，提出有益的建议；</w:t>
      </w:r>
    </w:p>
    <w:p w14:paraId="33AF80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负责运维管理体系有效运行所需资金的落实；</w:t>
      </w:r>
    </w:p>
    <w:p w14:paraId="0F4D05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2C7C0100">
      <w:pPr>
        <w:pStyle w:val="21"/>
        <w:bidi w:val="0"/>
      </w:pPr>
      <w:bookmarkStart w:id="14" w:name="bookmark16"/>
      <w:bookmarkEnd w:id="14"/>
      <w:bookmarkStart w:id="15" w:name="_Toc21431"/>
      <w:r>
        <w:t>采购部</w:t>
      </w:r>
      <w:bookmarkEnd w:id="15"/>
    </w:p>
    <w:p w14:paraId="3575A9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负责制订物资采购计划。</w:t>
      </w:r>
    </w:p>
    <w:p w14:paraId="790A55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保障质量目标的经济性，降低产品和运输费用。</w:t>
      </w:r>
    </w:p>
    <w:p w14:paraId="6E3AD2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组织制定与本部门核心职能相关的管理制度及工作流程；</w:t>
      </w:r>
    </w:p>
    <w:p w14:paraId="0600AF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负责对备品备件部门提交的采购申请进行采购；</w:t>
      </w:r>
    </w:p>
    <w:p w14:paraId="64729E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负责对运维服务部所需日常物资进行采购；</w:t>
      </w:r>
    </w:p>
    <w:p w14:paraId="7C9D65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管理采购合同及供应商文件资料，建立供应商信息资源库；</w:t>
      </w:r>
    </w:p>
    <w:p w14:paraId="57B543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制作、编写各类采购指标的统计报表；</w:t>
      </w:r>
    </w:p>
    <w:p w14:paraId="51A610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520946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9) 对供应商进行评估考核。</w:t>
      </w:r>
    </w:p>
    <w:p w14:paraId="0C1E3EF6">
      <w:pPr>
        <w:pStyle w:val="21"/>
        <w:bidi w:val="0"/>
      </w:pPr>
      <w:bookmarkStart w:id="16" w:name="_Toc15421"/>
      <w:r>
        <w:t>营销中心</w:t>
      </w:r>
      <w:bookmarkEnd w:id="16"/>
    </w:p>
    <w:p w14:paraId="35446E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公司的品牌建设：通过政府关系维护、协会关系维护、行业媒体推广、政府类活动参与等方式进行公司品牌建设和推广，负责公司对外的品牌宣传行为，牵头参与政府及行业的各类奖项评选。作为接口部门，负责完成工信部、软件协会等政府部门提供月报、季报、半年报等相关数据统计工作；</w:t>
      </w:r>
    </w:p>
    <w:p w14:paraId="0A83CD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公司政府关系维护并牵头参与各类运行维护项目：负责监测和获取政府和相关机构的关于公司业务相关IT类评选信息，并作为牵头部门负责IT类项目的报名、投标、执行及验收任务，尽可能地为公司争取承担重大项目的机会和资金支持；</w:t>
      </w:r>
    </w:p>
    <w:p w14:paraId="5BB66C0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公司企业文化建设：全权负责企业期刊的策划、组稿和发布工作，并每两年牵头编纂企业文化书籍；作为牵头部门，负责公司中文网站的建设、更新和日常维护，软件公司内网的内容更新和维护；负责软件公司相关楼层的墙面文化建设；协助人力资源部策划、执行和推广公司企业文化奖项目；</w:t>
      </w:r>
    </w:p>
    <w:p w14:paraId="1A0478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6"/>
          <w:sz w:val="24"/>
          <w:szCs w:val="24"/>
        </w:rPr>
      </w:pPr>
      <w:r>
        <w:rPr>
          <w:rFonts w:ascii="宋体" w:hAnsi="宋体" w:eastAsia="宋体" w:cs="宋体"/>
          <w:spacing w:val="-3"/>
          <w:sz w:val="24"/>
          <w:szCs w:val="24"/>
        </w:rPr>
        <w:t>4)</w:t>
      </w:r>
      <w:r>
        <w:rPr>
          <w:rFonts w:ascii="宋体" w:hAnsi="宋体" w:eastAsia="宋体" w:cs="宋体"/>
          <w:spacing w:val="101"/>
          <w:sz w:val="24"/>
          <w:szCs w:val="24"/>
        </w:rPr>
        <w:t xml:space="preserve"> </w:t>
      </w:r>
      <w:r>
        <w:rPr>
          <w:rFonts w:ascii="宋体" w:hAnsi="宋体" w:eastAsia="宋体" w:cs="宋体"/>
          <w:spacing w:val="-3"/>
          <w:sz w:val="24"/>
          <w:szCs w:val="24"/>
        </w:rPr>
        <w:t>负责公司日常市场支持：负责公司市场物料（包括公司宣传册、彩页、</w:t>
      </w:r>
      <w:r>
        <w:rPr>
          <w:rFonts w:ascii="宋体" w:hAnsi="宋体" w:eastAsia="宋体" w:cs="宋体"/>
          <w:sz w:val="24"/>
          <w:szCs w:val="24"/>
        </w:rPr>
        <w:t>信封、手提袋及礼品）的策划、制作和日常</w:t>
      </w:r>
      <w:r>
        <w:rPr>
          <w:rFonts w:ascii="宋体" w:hAnsi="宋体" w:eastAsia="宋体" w:cs="宋体"/>
          <w:spacing w:val="-1"/>
          <w:sz w:val="24"/>
          <w:szCs w:val="24"/>
        </w:rPr>
        <w:t>管理；负责协助相关部门</w:t>
      </w:r>
      <w:r>
        <w:rPr>
          <w:rFonts w:ascii="宋体" w:hAnsi="宋体" w:eastAsia="宋体" w:cs="宋体"/>
          <w:spacing w:val="-6"/>
          <w:sz w:val="24"/>
          <w:szCs w:val="24"/>
        </w:rPr>
        <w:t>组织公司活动。</w:t>
      </w:r>
    </w:p>
    <w:p w14:paraId="0E787517">
      <w:pPr>
        <w:pStyle w:val="21"/>
        <w:bidi w:val="0"/>
      </w:pPr>
      <w:bookmarkStart w:id="17" w:name="bookmark17"/>
      <w:bookmarkEnd w:id="17"/>
      <w:bookmarkStart w:id="18" w:name="_Toc20089"/>
      <w:r>
        <w:t>运维服务部</w:t>
      </w:r>
      <w:bookmarkEnd w:id="18"/>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负责公司服务台、备件库以及</w:t>
      </w:r>
      <w:r>
        <w:rPr>
          <w:rFonts w:hint="eastAsia" w:ascii="宋体" w:hAnsi="宋体" w:eastAsia="宋体" w:cs="宋体"/>
          <w:sz w:val="24"/>
          <w:szCs w:val="24"/>
          <w:lang w:val="en-US" w:eastAsia="zh-CN"/>
        </w:rPr>
        <w:t>服务知识</w:t>
      </w:r>
      <w:r>
        <w:rPr>
          <w:rFonts w:ascii="宋体" w:hAnsi="宋体" w:eastAsia="宋体" w:cs="宋体"/>
          <w:sz w:val="24"/>
          <w:szCs w:val="24"/>
        </w:rPr>
        <w:t>的管理。</w:t>
      </w:r>
    </w:p>
    <w:p w14:paraId="35E83D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项目软硬件运维项目的实施工作、售后工作；</w:t>
      </w:r>
    </w:p>
    <w:p w14:paraId="54E9E8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公司内部数据中心、服务器、信息平台等系统运维工作；</w:t>
      </w:r>
    </w:p>
    <w:p w14:paraId="0FAD6CF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项目相关技术文档等管理工作；</w:t>
      </w:r>
    </w:p>
    <w:p w14:paraId="4126BC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搭建并管理运维工具需要的软硬件环境，并按质量管理体系，对项目实施过程资料进行规范的配置管理；</w:t>
      </w:r>
    </w:p>
    <w:p w14:paraId="3A7EA2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落实并不断充实、完善公司运维管理体系的具体内容，配合研发中心优化运维工具或系统的技术架构、系统架构；</w:t>
      </w:r>
    </w:p>
    <w:p w14:paraId="348120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负责组织制定及维护公司运维服务目录。</w:t>
      </w:r>
    </w:p>
    <w:p w14:paraId="3AC8E2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是为客户提供运维交付的主体。</w:t>
      </w:r>
    </w:p>
    <w:p w14:paraId="56109F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9) 服务过程中应急事务的处理。</w:t>
      </w:r>
    </w:p>
    <w:p w14:paraId="6F3095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负责最终软件库及服务数据管理</w:t>
      </w:r>
    </w:p>
    <w:p w14:paraId="0F46EE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负责从研发中心接收经过测试、验证和授权的最终版软件包</w:t>
      </w:r>
    </w:p>
    <w:p w14:paraId="20C05E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管理软件的不同版本，确保只有正确的、被批准的版本才能部署到生产环境。</w:t>
      </w:r>
    </w:p>
    <w:p w14:paraId="11B058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清理过期和废弃的版本。</w:t>
      </w:r>
    </w:p>
    <w:p w14:paraId="1526F78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定义需要被管理的数据，生命周期，责任人</w:t>
      </w:r>
    </w:p>
    <w:p w14:paraId="0EEA4EE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确保所有的服务数据的准确性、一致性和时效性</w:t>
      </w:r>
    </w:p>
    <w:p w14:paraId="17CCB3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 通过管理软件许可证、硬件资源等数据。优化资源利用，避免浪费</w:t>
      </w:r>
    </w:p>
    <w:p w14:paraId="45A63AC4">
      <w:pPr>
        <w:pStyle w:val="22"/>
        <w:bidi w:val="0"/>
      </w:pPr>
      <w:bookmarkStart w:id="19" w:name="_Toc13650"/>
      <w:r>
        <w:t>服务台</w:t>
      </w:r>
      <w:bookmarkEnd w:id="19"/>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bookmarkStart w:id="20" w:name="bookmark18"/>
      <w:bookmarkEnd w:id="20"/>
      <w:r>
        <w:rPr>
          <w:rFonts w:ascii="宋体" w:hAnsi="宋体" w:eastAsia="宋体" w:cs="宋体"/>
          <w:sz w:val="24"/>
          <w:szCs w:val="24"/>
        </w:rPr>
        <w:t>1) 持续优化运维服务台管理制度，开展对服务台人员的培训工作与考核；</w:t>
      </w:r>
    </w:p>
    <w:p w14:paraId="24923B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负责服务台的运作，使用有效手段和方法受理需方的运行维护服务请求，及时跟踪服务请求的处理进展；</w:t>
      </w:r>
    </w:p>
    <w:p w14:paraId="1B956D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负责处理用户服务突发性公众事件、参与用户反馈意见的分析和处理；</w:t>
      </w:r>
    </w:p>
    <w:p w14:paraId="321576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配合质量中心负责顾客满意度信息的收集，为改进服务质量提供依据；</w:t>
      </w:r>
    </w:p>
    <w:p w14:paraId="31075A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负责日常事件和问题的录入工作；</w:t>
      </w:r>
    </w:p>
    <w:p w14:paraId="295315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负责将现场反馈的问题进行分类指派相应的人员进行处理；</w:t>
      </w:r>
    </w:p>
    <w:p w14:paraId="553B84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负责用户的服务请求，解答用户的疑问，提供客户咨询和建议；</w:t>
      </w:r>
    </w:p>
    <w:p w14:paraId="464A5E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负责故障处理过程中对约定服务级别进行预警和告警；</w:t>
      </w:r>
    </w:p>
    <w:p w14:paraId="2A5DC314">
      <w:pPr>
        <w:pStyle w:val="22"/>
        <w:bidi w:val="0"/>
      </w:pPr>
      <w:bookmarkStart w:id="21" w:name="_Toc25933"/>
      <w:r>
        <w:t>备件库</w:t>
      </w:r>
      <w:bookmarkEnd w:id="21"/>
    </w:p>
    <w:p w14:paraId="5C74C9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 向采购部提交申请；</w:t>
      </w:r>
    </w:p>
    <w:p w14:paraId="6905C6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28A95DDA">
      <w:pPr>
        <w:pStyle w:val="22"/>
        <w:bidi w:val="0"/>
        <w:rPr>
          <w:rFonts w:hint="default"/>
          <w:lang w:val="en-US"/>
        </w:rPr>
      </w:pPr>
      <w:bookmarkStart w:id="22" w:name="_Toc12342"/>
      <w:r>
        <w:rPr>
          <w:rFonts w:hint="eastAsia"/>
          <w:lang w:val="en-US" w:eastAsia="zh-CN"/>
        </w:rPr>
        <w:t>服务知识</w:t>
      </w:r>
      <w:bookmarkEnd w:id="22"/>
    </w:p>
    <w:p w14:paraId="59CACD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回顾整理服务知识中的知识；负责知识的汇总及分类整理</w:t>
      </w:r>
    </w:p>
    <w:p w14:paraId="426BAF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val="en-US" w:eastAsia="zh-CN"/>
        </w:rPr>
        <w:t>对知识进行审核；确保知识可用于实际维护中，不会出现破坏性副作用。</w:t>
      </w:r>
    </w:p>
    <w:p w14:paraId="178E815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lang w:val="en-US" w:eastAsia="zh-CN"/>
        </w:rPr>
        <w:t>监督知识质量、深度，包括知识信息的更新，加强知识生成，产生新的知识，促进知识共享的过程。</w:t>
      </w:r>
    </w:p>
    <w:p w14:paraId="788DA67F">
      <w:pPr>
        <w:pStyle w:val="21"/>
        <w:bidi w:val="0"/>
      </w:pPr>
      <w:bookmarkStart w:id="23" w:name="_Toc26015"/>
      <w:r>
        <w:t>质量中心</w:t>
      </w:r>
      <w:bookmarkEnd w:id="23"/>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质量中心负责组织对运维服务能力管理体系（包括流程）的检查回顾，落实相应的改进工作，提高公司服务能力管理的有效性。</w:t>
      </w:r>
    </w:p>
    <w:p w14:paraId="714D66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负责定期对公司运维服务管理体系进行内部评审，对内审中发现的问题进行跟踪记录，负责项目改进措施的监督及检查。</w:t>
      </w:r>
    </w:p>
    <w:p w14:paraId="49F6BE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负责管理评审工作的开展，并出具相关的计划以及报告。</w:t>
      </w:r>
    </w:p>
    <w:p w14:paraId="6CC58D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负责组织级客户满意度的调查，投诉。</w:t>
      </w:r>
    </w:p>
    <w:p w14:paraId="4B4FCB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负责公司资质的管理和维护，并作为牵头部门负责相关资质的申报、年审、中期调查等相关事宜，确保公司业务的顺利开展。</w:t>
      </w:r>
    </w:p>
    <w:p w14:paraId="5D7B231C">
      <w:pPr>
        <w:pStyle w:val="21"/>
        <w:bidi w:val="0"/>
      </w:pPr>
      <w:bookmarkStart w:id="24" w:name="_Toc20204"/>
      <w:r>
        <w:t>研发中心</w:t>
      </w:r>
      <w:bookmarkEnd w:id="24"/>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研发中心根据业务和市场分析，根据运维服务能力管理要求，制定研发规划，包括新技术和前沿技术的应用、技术储备等。同时，研发中心对内负责公司运维类产品或运维工具的研发,提供运维技术支持和支撑，具体如下：</w:t>
      </w:r>
    </w:p>
    <w:p w14:paraId="49FEA5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跟踪运维技术发展，根据公司运维业务发展需要开发运维管理工具、发现问题的技术和解决问题的技术；</w:t>
      </w:r>
    </w:p>
    <w:p w14:paraId="1B8144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负责将用户前期的业务需求转化为软件可实现的需求；</w:t>
      </w:r>
    </w:p>
    <w:p w14:paraId="5D245C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负责新产品的评审、规划工作；</w:t>
      </w:r>
    </w:p>
    <w:p w14:paraId="101B32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负责制定现有产品的发展方向和开发计划；</w:t>
      </w:r>
    </w:p>
    <w:p w14:paraId="6B42F8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负责产品/模块的架构规划和前期设计；</w:t>
      </w:r>
    </w:p>
    <w:p w14:paraId="309E1E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建设和培养研发相关的技术队伍，组织公司内外的产品技术培训；</w:t>
      </w:r>
    </w:p>
    <w:p w14:paraId="5C1872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负责研发部门及人员考核。</w:t>
      </w:r>
    </w:p>
    <w:p w14:paraId="3537F90E">
      <w:pPr>
        <w:pStyle w:val="21"/>
        <w:bidi w:val="0"/>
      </w:pPr>
      <w:bookmarkStart w:id="25" w:name="_Toc21145"/>
      <w:r>
        <w:t>应急管理小组</w:t>
      </w:r>
      <w:bookmarkEnd w:id="25"/>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主要工作成员包括质量中心组长和组员。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根据不同类型的突发事件，制定详细的应急预案，确保事件发生时能够快速反应。</w:t>
      </w:r>
    </w:p>
    <w:p w14:paraId="2070E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2) 定期组织应急演练，提高各部门协作能力和应急反应能力。</w:t>
      </w:r>
    </w:p>
    <w:p w14:paraId="2BEB5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建立信息收集机制，及时获取突发事件的信息，进行分析和研判，为决策提供依据。</w:t>
      </w:r>
    </w:p>
    <w:p w14:paraId="27122C0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 xml:space="preserve">) </w:t>
      </w:r>
      <w:r>
        <w:rPr>
          <w:rFonts w:hint="eastAsia" w:ascii="宋体" w:hAnsi="宋体" w:eastAsia="宋体" w:cs="宋体"/>
          <w:sz w:val="24"/>
          <w:szCs w:val="24"/>
          <w:lang w:val="en-US" w:eastAsia="zh-CN"/>
        </w:rPr>
        <w:t>及时向客户发布信息，消除客户恐慌情绪，增强客户安全意识。</w:t>
      </w: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2336;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50638A"/>
    <w:rsid w:val="00DC5E6F"/>
    <w:rsid w:val="00F1191B"/>
    <w:rsid w:val="00F4210C"/>
    <w:rsid w:val="01483505"/>
    <w:rsid w:val="021B4775"/>
    <w:rsid w:val="02581525"/>
    <w:rsid w:val="02D2752A"/>
    <w:rsid w:val="03A51E14"/>
    <w:rsid w:val="03BB7FBE"/>
    <w:rsid w:val="043D55F3"/>
    <w:rsid w:val="04622F71"/>
    <w:rsid w:val="04FC24E9"/>
    <w:rsid w:val="050F68B9"/>
    <w:rsid w:val="07B0406E"/>
    <w:rsid w:val="0822089A"/>
    <w:rsid w:val="08517143"/>
    <w:rsid w:val="08861368"/>
    <w:rsid w:val="08C72F61"/>
    <w:rsid w:val="091F0FEF"/>
    <w:rsid w:val="09570789"/>
    <w:rsid w:val="0A726EFC"/>
    <w:rsid w:val="0B674587"/>
    <w:rsid w:val="0C0B585A"/>
    <w:rsid w:val="0C0D15D3"/>
    <w:rsid w:val="0C5E1E2E"/>
    <w:rsid w:val="0C776A4C"/>
    <w:rsid w:val="0C8B67F7"/>
    <w:rsid w:val="0E5A03D3"/>
    <w:rsid w:val="0E963B01"/>
    <w:rsid w:val="0EB9159E"/>
    <w:rsid w:val="0ED70AFC"/>
    <w:rsid w:val="0F7B0FFF"/>
    <w:rsid w:val="0FE64614"/>
    <w:rsid w:val="11A3317D"/>
    <w:rsid w:val="11F052D6"/>
    <w:rsid w:val="13262F2F"/>
    <w:rsid w:val="13985C26"/>
    <w:rsid w:val="13E470BD"/>
    <w:rsid w:val="140212F1"/>
    <w:rsid w:val="14ED5620"/>
    <w:rsid w:val="16563778"/>
    <w:rsid w:val="167C538B"/>
    <w:rsid w:val="170B4961"/>
    <w:rsid w:val="1723614E"/>
    <w:rsid w:val="17EF6030"/>
    <w:rsid w:val="18680600"/>
    <w:rsid w:val="189A5F9C"/>
    <w:rsid w:val="18AB1F57"/>
    <w:rsid w:val="19DB061A"/>
    <w:rsid w:val="19DB4ABE"/>
    <w:rsid w:val="1A07140F"/>
    <w:rsid w:val="1AA650CC"/>
    <w:rsid w:val="1BAE7CE5"/>
    <w:rsid w:val="1CDD28FB"/>
    <w:rsid w:val="1D383FD6"/>
    <w:rsid w:val="1E674B72"/>
    <w:rsid w:val="1EAA1AE8"/>
    <w:rsid w:val="1EE10CEA"/>
    <w:rsid w:val="1F9C084C"/>
    <w:rsid w:val="1FB97650"/>
    <w:rsid w:val="20230F6D"/>
    <w:rsid w:val="20DB1848"/>
    <w:rsid w:val="21130FE1"/>
    <w:rsid w:val="21D7200F"/>
    <w:rsid w:val="221A6AB3"/>
    <w:rsid w:val="224649A4"/>
    <w:rsid w:val="23C95CE8"/>
    <w:rsid w:val="24042E63"/>
    <w:rsid w:val="2430155A"/>
    <w:rsid w:val="243E6375"/>
    <w:rsid w:val="24AB32DF"/>
    <w:rsid w:val="251A0B90"/>
    <w:rsid w:val="25D845A8"/>
    <w:rsid w:val="26361ABD"/>
    <w:rsid w:val="27A42993"/>
    <w:rsid w:val="288366C9"/>
    <w:rsid w:val="28B906C0"/>
    <w:rsid w:val="293935AF"/>
    <w:rsid w:val="2A3E70CF"/>
    <w:rsid w:val="2A7F29B1"/>
    <w:rsid w:val="2AAB4039"/>
    <w:rsid w:val="2BDC616D"/>
    <w:rsid w:val="2BFA6E1B"/>
    <w:rsid w:val="2C1D0F66"/>
    <w:rsid w:val="2C7212B2"/>
    <w:rsid w:val="2C81312E"/>
    <w:rsid w:val="2C867DBF"/>
    <w:rsid w:val="2CD755B9"/>
    <w:rsid w:val="2D4A7B39"/>
    <w:rsid w:val="2D4F33A1"/>
    <w:rsid w:val="2E0C3040"/>
    <w:rsid w:val="2E9737E8"/>
    <w:rsid w:val="2E9B34FE"/>
    <w:rsid w:val="2ED00512"/>
    <w:rsid w:val="2EDC0C65"/>
    <w:rsid w:val="2F9C6646"/>
    <w:rsid w:val="2FC247D6"/>
    <w:rsid w:val="30B17ECF"/>
    <w:rsid w:val="30ED7159"/>
    <w:rsid w:val="32F80BBE"/>
    <w:rsid w:val="335C05C6"/>
    <w:rsid w:val="337A6C9E"/>
    <w:rsid w:val="33994469"/>
    <w:rsid w:val="344E7738"/>
    <w:rsid w:val="34CA155F"/>
    <w:rsid w:val="34E16FD5"/>
    <w:rsid w:val="35725E7F"/>
    <w:rsid w:val="35CB37E1"/>
    <w:rsid w:val="37272367"/>
    <w:rsid w:val="373D070E"/>
    <w:rsid w:val="374C2700"/>
    <w:rsid w:val="386473A8"/>
    <w:rsid w:val="387168C2"/>
    <w:rsid w:val="38C324D5"/>
    <w:rsid w:val="38F512A1"/>
    <w:rsid w:val="390A24E3"/>
    <w:rsid w:val="391A0D07"/>
    <w:rsid w:val="393F076E"/>
    <w:rsid w:val="3A9B5E78"/>
    <w:rsid w:val="3AD924FC"/>
    <w:rsid w:val="3ADC1619"/>
    <w:rsid w:val="3BA945C4"/>
    <w:rsid w:val="3BB16FD5"/>
    <w:rsid w:val="3C771FCD"/>
    <w:rsid w:val="3D2828A4"/>
    <w:rsid w:val="3DA52B6A"/>
    <w:rsid w:val="3DDA0A65"/>
    <w:rsid w:val="3E946E66"/>
    <w:rsid w:val="3F1E2BD3"/>
    <w:rsid w:val="409F74C9"/>
    <w:rsid w:val="41850CE8"/>
    <w:rsid w:val="43462E94"/>
    <w:rsid w:val="43CB32AB"/>
    <w:rsid w:val="444529B0"/>
    <w:rsid w:val="446612A5"/>
    <w:rsid w:val="44A973E3"/>
    <w:rsid w:val="44DE1833"/>
    <w:rsid w:val="44FC7513"/>
    <w:rsid w:val="464E1FF0"/>
    <w:rsid w:val="46561334"/>
    <w:rsid w:val="466E4440"/>
    <w:rsid w:val="467C4DAF"/>
    <w:rsid w:val="467F0CF9"/>
    <w:rsid w:val="47C06F1E"/>
    <w:rsid w:val="485927D9"/>
    <w:rsid w:val="48C32A69"/>
    <w:rsid w:val="494A2C73"/>
    <w:rsid w:val="4A050C18"/>
    <w:rsid w:val="4AA21D90"/>
    <w:rsid w:val="4BD96800"/>
    <w:rsid w:val="4C07336D"/>
    <w:rsid w:val="4DAB5F7A"/>
    <w:rsid w:val="4EC5306C"/>
    <w:rsid w:val="4EE47996"/>
    <w:rsid w:val="4F3855EC"/>
    <w:rsid w:val="4FC652ED"/>
    <w:rsid w:val="508F3931"/>
    <w:rsid w:val="511B51C5"/>
    <w:rsid w:val="51295B34"/>
    <w:rsid w:val="5181771E"/>
    <w:rsid w:val="52081BED"/>
    <w:rsid w:val="52854FEC"/>
    <w:rsid w:val="52880638"/>
    <w:rsid w:val="52990003"/>
    <w:rsid w:val="53D73DC2"/>
    <w:rsid w:val="53E04BF9"/>
    <w:rsid w:val="5435330D"/>
    <w:rsid w:val="54BE2C75"/>
    <w:rsid w:val="553B5E36"/>
    <w:rsid w:val="557E5D22"/>
    <w:rsid w:val="55DB4F23"/>
    <w:rsid w:val="57330EA4"/>
    <w:rsid w:val="57925AB5"/>
    <w:rsid w:val="57991466"/>
    <w:rsid w:val="58FF0A24"/>
    <w:rsid w:val="592F54BC"/>
    <w:rsid w:val="593B4656"/>
    <w:rsid w:val="59B9557B"/>
    <w:rsid w:val="5C270EC2"/>
    <w:rsid w:val="5CD94297"/>
    <w:rsid w:val="5D4B6E32"/>
    <w:rsid w:val="5D59154F"/>
    <w:rsid w:val="5D66355C"/>
    <w:rsid w:val="5D717F0E"/>
    <w:rsid w:val="5D7F0889"/>
    <w:rsid w:val="5E2D4789"/>
    <w:rsid w:val="5F096FA4"/>
    <w:rsid w:val="5F221E14"/>
    <w:rsid w:val="5F2D4A41"/>
    <w:rsid w:val="60B3541A"/>
    <w:rsid w:val="60C767CF"/>
    <w:rsid w:val="60E51267"/>
    <w:rsid w:val="61007F33"/>
    <w:rsid w:val="61C513E2"/>
    <w:rsid w:val="61F25ACE"/>
    <w:rsid w:val="624125B1"/>
    <w:rsid w:val="634E31D8"/>
    <w:rsid w:val="63F92197"/>
    <w:rsid w:val="63FC68D1"/>
    <w:rsid w:val="648F5856"/>
    <w:rsid w:val="64B41760"/>
    <w:rsid w:val="64F25DE5"/>
    <w:rsid w:val="650A20A2"/>
    <w:rsid w:val="65F21726"/>
    <w:rsid w:val="67024A05"/>
    <w:rsid w:val="67204E8B"/>
    <w:rsid w:val="69B664CA"/>
    <w:rsid w:val="6A3A6264"/>
    <w:rsid w:val="6AC10733"/>
    <w:rsid w:val="6B0A3E88"/>
    <w:rsid w:val="6B427AC6"/>
    <w:rsid w:val="6C07661A"/>
    <w:rsid w:val="6C2A5C61"/>
    <w:rsid w:val="6C5F0204"/>
    <w:rsid w:val="6CBE4DDA"/>
    <w:rsid w:val="6CD91C43"/>
    <w:rsid w:val="6D2154B9"/>
    <w:rsid w:val="6D392803"/>
    <w:rsid w:val="6E0E76C9"/>
    <w:rsid w:val="6F3B4F58"/>
    <w:rsid w:val="6FF9271D"/>
    <w:rsid w:val="70A94143"/>
    <w:rsid w:val="7101188A"/>
    <w:rsid w:val="711041C2"/>
    <w:rsid w:val="71D92AF9"/>
    <w:rsid w:val="73774085"/>
    <w:rsid w:val="73EF1E6D"/>
    <w:rsid w:val="748536C3"/>
    <w:rsid w:val="749B2AF9"/>
    <w:rsid w:val="74BD4A2C"/>
    <w:rsid w:val="75703482"/>
    <w:rsid w:val="764C17F9"/>
    <w:rsid w:val="76E61C4D"/>
    <w:rsid w:val="77304C77"/>
    <w:rsid w:val="775D3592"/>
    <w:rsid w:val="78372035"/>
    <w:rsid w:val="78DA7EF9"/>
    <w:rsid w:val="797B41A3"/>
    <w:rsid w:val="79BC0A44"/>
    <w:rsid w:val="7A635363"/>
    <w:rsid w:val="7A907F98"/>
    <w:rsid w:val="7B0F1047"/>
    <w:rsid w:val="7B5B428C"/>
    <w:rsid w:val="7C977546"/>
    <w:rsid w:val="7D2F3C22"/>
    <w:rsid w:val="7E4454AB"/>
    <w:rsid w:val="7F2276EE"/>
    <w:rsid w:val="7F6B2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4484</Words>
  <Characters>4657</Characters>
  <TotalTime>0</TotalTime>
  <ScaleCrop>false</ScaleCrop>
  <LinksUpToDate>false</LinksUpToDate>
  <CharactersWithSpaces>4877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2025-08-24T05:34:26Z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