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11151"/>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pPr>
            <w:r>
              <w:rPr>
                <w:spacing w:val="-2"/>
              </w:rPr>
              <w:t>王慧</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6AB896FF">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_Toc11151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_Toc11151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99EB1E4">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_Toc32316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_Toc32316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9D9790D">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_Toc25401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_Toc25401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DB1835C">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5A90E5">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_Toc22263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_Toc22263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2509D8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_Toc18620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_Toc18620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2B6174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_Toc21456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_Toc21456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A5A6801">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_Toc7196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财务部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_Toc7196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C228755">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_Toc9875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_Toc9875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14419E2">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_Toc15694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营销中心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_Toc15694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05D38AE">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_Toc30250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_Toc30250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AAA91A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_Toc13854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rPr>
            <w:t>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_Toc13854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C3BF9C2">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_Toc20885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rPr>
            <w:t>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_Toc20885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09C52AF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_Toc23658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bCs/>
              <w:spacing w:val="-11"/>
              <w:sz w:val="24"/>
              <w:szCs w:val="24"/>
              <w:lang w:val="en-US" w:eastAsia="zh-CN"/>
            </w:rPr>
            <w:t>知服务识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_Toc23658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03CBDFD">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_Toc5805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2.9.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_Toc5805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B488EF">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_Toc16461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2.10.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_Toc16461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2E8F30">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_Toc16421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2.11.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_Toc16421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3"/>
      <w:bookmarkEnd w:id="1"/>
      <w:bookmarkStart w:id="2" w:name="bookmark1"/>
      <w:bookmarkEnd w:id="2"/>
      <w:bookmarkStart w:id="3" w:name="_Toc32316"/>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知识库</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-355600</wp:posOffset>
            </wp:positionV>
            <wp:extent cx="5304155" cy="2226310"/>
            <wp:effectExtent l="0" t="0" r="14605" b="13970"/>
            <wp:wrapSquare wrapText="bothSides"/>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5304155" cy="2226310"/>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25401"/>
      <w:r>
        <w:t>部门及职责</w:t>
      </w:r>
      <w:bookmarkEnd w:id="5"/>
    </w:p>
    <w:p w14:paraId="05CF8179">
      <w:pPr>
        <w:pStyle w:val="21"/>
        <w:bidi w:val="0"/>
      </w:pPr>
      <w:bookmarkStart w:id="6" w:name="bookmark1"/>
      <w:bookmarkEnd w:id="6"/>
      <w:bookmarkStart w:id="7" w:name="_Toc226"/>
      <w:r>
        <w:t>总经理职责</w:t>
      </w:r>
      <w:bookmarkEnd w:id="7"/>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依据公司发展战略，制定和实施公司中长期的发展战略，提升公司信息技术的应用水平和竞争优势。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负责制订并落实公司各项规章制度、改</w:t>
      </w:r>
      <w:r>
        <w:rPr>
          <w:rFonts w:ascii="宋体" w:hAnsi="宋体" w:eastAsia="宋体" w:cs="宋体"/>
          <w:spacing w:val="-3"/>
          <w:sz w:val="24"/>
          <w:szCs w:val="24"/>
        </w:rPr>
        <w:t>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负责公司IT系统的整体规划、设计、组建、实施，通过必要的升级、新技术引进或整合等手段，组建实施及维护公司当前的系统，并</w:t>
      </w:r>
      <w:r>
        <w:rPr>
          <w:rFonts w:ascii="宋体" w:hAnsi="宋体" w:eastAsia="宋体" w:cs="宋体"/>
          <w:spacing w:val="-3"/>
          <w:sz w:val="24"/>
          <w:szCs w:val="24"/>
        </w:rPr>
        <w:t>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 xml:space="preserve">5) </w:t>
      </w:r>
      <w:r>
        <w:rPr>
          <w:rFonts w:ascii="宋体" w:hAnsi="宋体" w:eastAsia="宋体" w:cs="宋体"/>
          <w:spacing w:val="-3"/>
          <w:sz w:val="24"/>
          <w:szCs w:val="24"/>
        </w:rPr>
        <w:t>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22263"/>
      <w:r>
        <w:t>副总经理职责</w:t>
      </w:r>
      <w:bookmarkEnd w:id="9"/>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6)负责统筹规划应急相关事宜,指导运维服务部和质量中心更好的完成应急策划和应急演练。</w:t>
      </w:r>
    </w:p>
    <w:p w14:paraId="3CD7E205">
      <w:pPr>
        <w:pStyle w:val="21"/>
        <w:bidi w:val="0"/>
      </w:pPr>
      <w:bookmarkStart w:id="10" w:name="_Toc18620"/>
      <w:r>
        <w:t>综合管理部</w:t>
      </w:r>
      <w:bookmarkEnd w:id="10"/>
    </w:p>
    <w:p w14:paraId="5FF217A4">
      <w:pPr>
        <w:pStyle w:val="22"/>
        <w:bidi w:val="0"/>
      </w:pPr>
      <w:bookmarkStart w:id="11" w:name="_Toc21456"/>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8) 负责起草公司劳动合同文本，规范劳动合同管理流程，并根据实际情况开展劳动用工形式的规范管理。</w:t>
      </w:r>
    </w:p>
    <w:p w14:paraId="1E82CB8F">
      <w:pPr>
        <w:pStyle w:val="22"/>
        <w:bidi w:val="0"/>
      </w:pPr>
      <w:bookmarkStart w:id="13" w:name="_Toc7196"/>
      <w:r>
        <w:t>财务部</w:t>
      </w:r>
      <w:bookmarkEnd w:id="13"/>
    </w:p>
    <w:p w14:paraId="2ECC6C6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建立、健全财务管理体系，对财务部门的日常管理、资金运作等进行总体控制；</w:t>
      </w:r>
    </w:p>
    <w:p w14:paraId="475C12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主持财务报表的编制工作，保证财务信息对外披露的正常进行，有效地监督检查财务制度、预算的执行情况以及适当及时的调整；</w:t>
      </w:r>
    </w:p>
    <w:p w14:paraId="66EB08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对公司税收进行整体筹划与管理，按时完成税务申报以及年度审计工作；</w:t>
      </w:r>
    </w:p>
    <w:p w14:paraId="7FF696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比较精确地监控和预测现金流量，确定和监控公司负债和资本的合理结构，统筹管理和运作公司资金并对其进行有效的风险控制；</w:t>
      </w:r>
    </w:p>
    <w:p w14:paraId="039AD9F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对公司重大的投资、融资、并购等经营活动提供建议和决策支持，参与风险评估、指导、跟踪和控制；</w:t>
      </w:r>
    </w:p>
    <w:p w14:paraId="22C6DD3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与财政、税务、银行、证券等相关政府部门及会计师事务所等相关中介机构建立并保持良好的关系；</w:t>
      </w:r>
    </w:p>
    <w:p w14:paraId="738FE4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向上级主管汇报公司经营状况、经营成果、财务收支及计划的具体情况，为公司高级管理人员提供财务分析，提出有益的建议；</w:t>
      </w:r>
    </w:p>
    <w:p w14:paraId="33AF80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负责运维管理体系有效运行所需资金的落实；</w:t>
      </w:r>
    </w:p>
    <w:p w14:paraId="0F4D05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2C7C0100">
      <w:pPr>
        <w:pStyle w:val="21"/>
        <w:bidi w:val="0"/>
      </w:pPr>
      <w:bookmarkStart w:id="14" w:name="bookmark16"/>
      <w:bookmarkEnd w:id="14"/>
      <w:bookmarkStart w:id="15" w:name="_Toc9875"/>
      <w:r>
        <w:t>采购部</w:t>
      </w:r>
      <w:bookmarkEnd w:id="15"/>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0C1E3EF6">
      <w:pPr>
        <w:pStyle w:val="21"/>
        <w:bidi w:val="0"/>
      </w:pPr>
      <w:bookmarkStart w:id="16" w:name="_Toc15694"/>
      <w:r>
        <w:t>营销中心</w:t>
      </w:r>
      <w:bookmarkEnd w:id="16"/>
    </w:p>
    <w:p w14:paraId="35446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公司的品牌建设：通过政府关系维护、协会关系维护、行业媒体推广、政府类活动参与等方式进行公司品牌建设和推广，负责公司对外的品牌宣传行为，牵头参与政府及行业的各类奖项评选。作为接口部门，负责完成工信部、软件协会等政府部门提供月报、季报、半年报等相关数据统计工作；</w:t>
      </w:r>
    </w:p>
    <w:p w14:paraId="0A83CD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公司政府关系维护并牵头参与各类运行维护项目：负责监测和获取政府和相关机构的关于公司业务相关IT类评选信息，并作为牵头部门负责IT类项目的报名、投标、执行及验收任务，尽可能地为公司争取承担重大项目的机会和资金支持；</w:t>
      </w:r>
    </w:p>
    <w:p w14:paraId="5BB66C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公司企业文化建设：全权负责企业期刊的策划、组稿和发布工作，并每两年牵头编纂企业文化书籍；作为牵头部门，负责公司中文网站的建设、更新和日常维护，软件公司内网的内容更新和维护；负责软件公司相关楼层的墙面文化建设；协助人力资源部策划、执行和推广公司企业文化奖项目；</w:t>
      </w:r>
    </w:p>
    <w:p w14:paraId="1A0478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6"/>
          <w:sz w:val="24"/>
          <w:szCs w:val="24"/>
        </w:rPr>
      </w:pPr>
      <w:r>
        <w:rPr>
          <w:rFonts w:ascii="宋体" w:hAnsi="宋体" w:eastAsia="宋体" w:cs="宋体"/>
          <w:spacing w:val="-3"/>
          <w:sz w:val="24"/>
          <w:szCs w:val="24"/>
        </w:rPr>
        <w:t>4)</w:t>
      </w:r>
      <w:r>
        <w:rPr>
          <w:rFonts w:ascii="宋体" w:hAnsi="宋体" w:eastAsia="宋体" w:cs="宋体"/>
          <w:spacing w:val="101"/>
          <w:sz w:val="24"/>
          <w:szCs w:val="24"/>
        </w:rPr>
        <w:t xml:space="preserve"> </w:t>
      </w:r>
      <w:r>
        <w:rPr>
          <w:rFonts w:ascii="宋体" w:hAnsi="宋体" w:eastAsia="宋体" w:cs="宋体"/>
          <w:spacing w:val="-3"/>
          <w:sz w:val="24"/>
          <w:szCs w:val="24"/>
        </w:rPr>
        <w:t>负责公司日常市场支持：负责公司市场物料（包括公司宣传册、彩页、</w:t>
      </w:r>
      <w:r>
        <w:rPr>
          <w:rFonts w:ascii="宋体" w:hAnsi="宋体" w:eastAsia="宋体" w:cs="宋体"/>
          <w:sz w:val="24"/>
          <w:szCs w:val="24"/>
        </w:rPr>
        <w:t>信封、手提袋及礼品）的策划、制作和日常</w:t>
      </w:r>
      <w:r>
        <w:rPr>
          <w:rFonts w:ascii="宋体" w:hAnsi="宋体" w:eastAsia="宋体" w:cs="宋体"/>
          <w:spacing w:val="-1"/>
          <w:sz w:val="24"/>
          <w:szCs w:val="24"/>
        </w:rPr>
        <w:t>管理；负责协助相关部门</w:t>
      </w:r>
      <w:r>
        <w:rPr>
          <w:rFonts w:ascii="宋体" w:hAnsi="宋体" w:eastAsia="宋体" w:cs="宋体"/>
          <w:spacing w:val="-6"/>
          <w:sz w:val="24"/>
          <w:szCs w:val="24"/>
        </w:rPr>
        <w:t>组织公司活动。</w:t>
      </w:r>
    </w:p>
    <w:p w14:paraId="0E787517">
      <w:pPr>
        <w:pStyle w:val="21"/>
        <w:bidi w:val="0"/>
      </w:pPr>
      <w:bookmarkStart w:id="17" w:name="bookmark17"/>
      <w:bookmarkEnd w:id="17"/>
      <w:bookmarkStart w:id="18" w:name="_Toc30250"/>
      <w:r>
        <w:t>运维服务部</w:t>
      </w:r>
      <w:bookmarkEnd w:id="18"/>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负责公司服务台、备件库以及知识库的管理。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落实并不断充实、完善公司运维管理体系的具体内容，配合研发中心优化运维工具或系统的技术架构、系统架构；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6F3095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负责最终软件库及服务数据管理</w:t>
      </w:r>
    </w:p>
    <w:p w14:paraId="0F46EE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负责从研发中心接收经过测试、验证和授权的最终版软件包</w:t>
      </w:r>
    </w:p>
    <w:p w14:paraId="20C05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管理软件的不同版本，确保只有正确的、被批准的版本才能部署到生产环境。</w:t>
      </w:r>
    </w:p>
    <w:p w14:paraId="11B058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清理过期和废弃的版本。</w:t>
      </w:r>
    </w:p>
    <w:p w14:paraId="1526F78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定义需要被管理的数据，生命周期，责任人</w:t>
      </w:r>
    </w:p>
    <w:p w14:paraId="0EEA4EE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确保所有的服务数据的准确性、一致性和时效性</w:t>
      </w:r>
    </w:p>
    <w:p w14:paraId="17CCB3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通过管理软件许可证、硬件资源等数据。优化资源利用，避免浪费</w:t>
      </w:r>
    </w:p>
    <w:p w14:paraId="45A63AC4">
      <w:pPr>
        <w:pStyle w:val="22"/>
        <w:bidi w:val="0"/>
      </w:pPr>
      <w:bookmarkStart w:id="19" w:name="_Toc13854"/>
      <w:r>
        <w:t>服务台</w:t>
      </w:r>
      <w:bookmarkEnd w:id="19"/>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20" w:name="bookmark18"/>
      <w:bookmarkEnd w:id="20"/>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配合质量中心负责顾客满意度信息的收集，为改进服务质量提供依据；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2A5DC314">
      <w:pPr>
        <w:pStyle w:val="22"/>
        <w:bidi w:val="0"/>
      </w:pPr>
      <w:bookmarkStart w:id="21" w:name="_Toc20885"/>
      <w:r>
        <w:t>备件库</w:t>
      </w:r>
      <w:bookmarkEnd w:id="21"/>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pStyle w:val="22"/>
        <w:bidi w:val="0"/>
        <w:rPr>
          <w:rFonts w:hint="default"/>
          <w:lang w:val="en-US"/>
        </w:rPr>
      </w:pPr>
      <w:bookmarkStart w:id="22" w:name="_Toc23658"/>
      <w:r>
        <w:rPr>
          <w:rFonts w:hint="eastAsia"/>
          <w:lang w:val="en-US" w:eastAsia="zh-CN"/>
        </w:rPr>
        <w:t>服务</w:t>
      </w:r>
      <w:bookmarkEnd w:id="22"/>
      <w:r>
        <w:rPr>
          <w:rFonts w:hint="eastAsia"/>
          <w:lang w:val="en-US" w:eastAsia="zh-CN"/>
        </w:rPr>
        <w:t>知识</w:t>
      </w:r>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3" w:name="_Toc5805"/>
      <w:r>
        <w:t>质量中心</w:t>
      </w:r>
      <w:bookmarkEnd w:id="23"/>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质量中心负责组织对运维服务能力管理体系（包括流程）的检查回顾，落实相应的改进工作，提高公司服务能力管理的有效性。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5D7B231C">
      <w:pPr>
        <w:pStyle w:val="21"/>
        <w:bidi w:val="0"/>
      </w:pPr>
      <w:bookmarkStart w:id="24" w:name="_Toc16461"/>
      <w:r>
        <w:t>研发中心</w:t>
      </w:r>
      <w:bookmarkEnd w:id="24"/>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5" w:name="_Toc16421"/>
      <w:r>
        <w:t>应急管理小组</w:t>
      </w:r>
      <w:bookmarkEnd w:id="25"/>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bookmarkStart w:id="26" w:name="_GoBack"/>
      <w:bookmarkEnd w:id="26"/>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DC5E6F"/>
    <w:rsid w:val="00F1191B"/>
    <w:rsid w:val="00F4210C"/>
    <w:rsid w:val="01483505"/>
    <w:rsid w:val="021B4775"/>
    <w:rsid w:val="02581525"/>
    <w:rsid w:val="02D2752A"/>
    <w:rsid w:val="03A51E14"/>
    <w:rsid w:val="03BB7FBE"/>
    <w:rsid w:val="043D55F3"/>
    <w:rsid w:val="04622F71"/>
    <w:rsid w:val="04FC24E9"/>
    <w:rsid w:val="050F68B9"/>
    <w:rsid w:val="07B0406E"/>
    <w:rsid w:val="0822089A"/>
    <w:rsid w:val="08517143"/>
    <w:rsid w:val="08861368"/>
    <w:rsid w:val="08C72F61"/>
    <w:rsid w:val="091F0FEF"/>
    <w:rsid w:val="09570789"/>
    <w:rsid w:val="0A726EFC"/>
    <w:rsid w:val="0B674587"/>
    <w:rsid w:val="0C0B585A"/>
    <w:rsid w:val="0C0D15D3"/>
    <w:rsid w:val="0C5E1E2E"/>
    <w:rsid w:val="0C776A4C"/>
    <w:rsid w:val="0C8B67F7"/>
    <w:rsid w:val="0E5A03D3"/>
    <w:rsid w:val="0EB9159E"/>
    <w:rsid w:val="0ED70AFC"/>
    <w:rsid w:val="0F7B0FFF"/>
    <w:rsid w:val="0FE64614"/>
    <w:rsid w:val="11A3317D"/>
    <w:rsid w:val="11F052D6"/>
    <w:rsid w:val="13262F2F"/>
    <w:rsid w:val="13985C26"/>
    <w:rsid w:val="13E470BD"/>
    <w:rsid w:val="140212F1"/>
    <w:rsid w:val="14ED5620"/>
    <w:rsid w:val="16563778"/>
    <w:rsid w:val="167C538B"/>
    <w:rsid w:val="170B4961"/>
    <w:rsid w:val="1723614E"/>
    <w:rsid w:val="17EF6030"/>
    <w:rsid w:val="18680600"/>
    <w:rsid w:val="189A5F9C"/>
    <w:rsid w:val="18AB1F57"/>
    <w:rsid w:val="19DB4ABE"/>
    <w:rsid w:val="1AA650CC"/>
    <w:rsid w:val="1BAE7CE5"/>
    <w:rsid w:val="1CDD28FB"/>
    <w:rsid w:val="1D383FD6"/>
    <w:rsid w:val="1E674B72"/>
    <w:rsid w:val="1EAA1AE8"/>
    <w:rsid w:val="1EE10CEA"/>
    <w:rsid w:val="1F9C084C"/>
    <w:rsid w:val="1FB97650"/>
    <w:rsid w:val="20DB1848"/>
    <w:rsid w:val="21130FE1"/>
    <w:rsid w:val="21D7200F"/>
    <w:rsid w:val="221A6AB3"/>
    <w:rsid w:val="224649A4"/>
    <w:rsid w:val="23C95CE8"/>
    <w:rsid w:val="24042E63"/>
    <w:rsid w:val="2430155A"/>
    <w:rsid w:val="243E6375"/>
    <w:rsid w:val="24AB32DF"/>
    <w:rsid w:val="251A0B90"/>
    <w:rsid w:val="26361ABD"/>
    <w:rsid w:val="27A42993"/>
    <w:rsid w:val="288366C9"/>
    <w:rsid w:val="28B906C0"/>
    <w:rsid w:val="293935AF"/>
    <w:rsid w:val="2A3E70CF"/>
    <w:rsid w:val="2A7F29B1"/>
    <w:rsid w:val="2AAB4039"/>
    <w:rsid w:val="2BDC616D"/>
    <w:rsid w:val="2BFA6E1B"/>
    <w:rsid w:val="2C1D0F66"/>
    <w:rsid w:val="2C7212B2"/>
    <w:rsid w:val="2C867DBF"/>
    <w:rsid w:val="2CD755B9"/>
    <w:rsid w:val="2D4A7B39"/>
    <w:rsid w:val="2D4F33A1"/>
    <w:rsid w:val="2E0C3040"/>
    <w:rsid w:val="2E9737E8"/>
    <w:rsid w:val="2E9B34FE"/>
    <w:rsid w:val="2ED00512"/>
    <w:rsid w:val="2EDC0C65"/>
    <w:rsid w:val="2F9C6646"/>
    <w:rsid w:val="2FC247D6"/>
    <w:rsid w:val="30B17ECF"/>
    <w:rsid w:val="30ED7159"/>
    <w:rsid w:val="32F80BBE"/>
    <w:rsid w:val="335C05C6"/>
    <w:rsid w:val="337A6C9E"/>
    <w:rsid w:val="33994469"/>
    <w:rsid w:val="344E7738"/>
    <w:rsid w:val="34CA155F"/>
    <w:rsid w:val="34E16FD5"/>
    <w:rsid w:val="35725E7F"/>
    <w:rsid w:val="35CB37E1"/>
    <w:rsid w:val="37272367"/>
    <w:rsid w:val="373D070E"/>
    <w:rsid w:val="374C2700"/>
    <w:rsid w:val="386473A8"/>
    <w:rsid w:val="387168C2"/>
    <w:rsid w:val="38C324D5"/>
    <w:rsid w:val="38F512A1"/>
    <w:rsid w:val="390A24E3"/>
    <w:rsid w:val="393F076E"/>
    <w:rsid w:val="3A9B5E78"/>
    <w:rsid w:val="3AD924FC"/>
    <w:rsid w:val="3ADC1619"/>
    <w:rsid w:val="3BA945C4"/>
    <w:rsid w:val="3BB16FD5"/>
    <w:rsid w:val="3C771FCD"/>
    <w:rsid w:val="3D2828A4"/>
    <w:rsid w:val="3DDA0A65"/>
    <w:rsid w:val="3E946E66"/>
    <w:rsid w:val="3F1E2BD3"/>
    <w:rsid w:val="409F74C9"/>
    <w:rsid w:val="41850CE8"/>
    <w:rsid w:val="43462E94"/>
    <w:rsid w:val="43CB32AB"/>
    <w:rsid w:val="444529B0"/>
    <w:rsid w:val="446612A5"/>
    <w:rsid w:val="44A973E3"/>
    <w:rsid w:val="44DE1833"/>
    <w:rsid w:val="44FC7513"/>
    <w:rsid w:val="464E1FF0"/>
    <w:rsid w:val="46561334"/>
    <w:rsid w:val="466E4440"/>
    <w:rsid w:val="467C4DAF"/>
    <w:rsid w:val="47C06F1E"/>
    <w:rsid w:val="485927D9"/>
    <w:rsid w:val="48C32A69"/>
    <w:rsid w:val="494A2C73"/>
    <w:rsid w:val="4A050C18"/>
    <w:rsid w:val="4AA21D90"/>
    <w:rsid w:val="4BD96800"/>
    <w:rsid w:val="4C07336D"/>
    <w:rsid w:val="4DAB5F7A"/>
    <w:rsid w:val="4EC5306C"/>
    <w:rsid w:val="4EE47996"/>
    <w:rsid w:val="4F3855EC"/>
    <w:rsid w:val="4FC652ED"/>
    <w:rsid w:val="508F3931"/>
    <w:rsid w:val="511B51C5"/>
    <w:rsid w:val="51295B34"/>
    <w:rsid w:val="5181771E"/>
    <w:rsid w:val="52081BED"/>
    <w:rsid w:val="52854FEC"/>
    <w:rsid w:val="52880638"/>
    <w:rsid w:val="52990003"/>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7F0889"/>
    <w:rsid w:val="5E2D4789"/>
    <w:rsid w:val="5F221E14"/>
    <w:rsid w:val="5F2D4A41"/>
    <w:rsid w:val="60B3541A"/>
    <w:rsid w:val="60C767CF"/>
    <w:rsid w:val="60E51267"/>
    <w:rsid w:val="61007F33"/>
    <w:rsid w:val="61C513E2"/>
    <w:rsid w:val="61F25ACE"/>
    <w:rsid w:val="624125B1"/>
    <w:rsid w:val="634E31D8"/>
    <w:rsid w:val="63F92197"/>
    <w:rsid w:val="648F5856"/>
    <w:rsid w:val="64B41760"/>
    <w:rsid w:val="64F25DE5"/>
    <w:rsid w:val="650A20A2"/>
    <w:rsid w:val="65F21726"/>
    <w:rsid w:val="67024A05"/>
    <w:rsid w:val="67204E8B"/>
    <w:rsid w:val="69B664CA"/>
    <w:rsid w:val="6A3A6264"/>
    <w:rsid w:val="6AC10733"/>
    <w:rsid w:val="6B0A3E88"/>
    <w:rsid w:val="6B427AC6"/>
    <w:rsid w:val="6C07661A"/>
    <w:rsid w:val="6C2A5C61"/>
    <w:rsid w:val="6C5F0204"/>
    <w:rsid w:val="6CBE4DDA"/>
    <w:rsid w:val="6CD91C43"/>
    <w:rsid w:val="6D2154B9"/>
    <w:rsid w:val="6D392803"/>
    <w:rsid w:val="6E0E76C9"/>
    <w:rsid w:val="6F3B4F58"/>
    <w:rsid w:val="6FF9271D"/>
    <w:rsid w:val="7101188A"/>
    <w:rsid w:val="711041C2"/>
    <w:rsid w:val="71D92AF9"/>
    <w:rsid w:val="73774085"/>
    <w:rsid w:val="73EF1E6D"/>
    <w:rsid w:val="748536C3"/>
    <w:rsid w:val="749B2AF9"/>
    <w:rsid w:val="74BD4A2C"/>
    <w:rsid w:val="764C17F9"/>
    <w:rsid w:val="77304C77"/>
    <w:rsid w:val="775D3592"/>
    <w:rsid w:val="78372035"/>
    <w:rsid w:val="78DA7EF9"/>
    <w:rsid w:val="797B41A3"/>
    <w:rsid w:val="79BC0A44"/>
    <w:rsid w:val="7A635363"/>
    <w:rsid w:val="7A907F98"/>
    <w:rsid w:val="7B0F1047"/>
    <w:rsid w:val="7B5B428C"/>
    <w:rsid w:val="7C977546"/>
    <w:rsid w:val="7D2F3C22"/>
    <w:rsid w:val="7E4454AB"/>
    <w:rsid w:val="7F2276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4484</Words>
  <Characters>4660</Characters>
  <TotalTime>10</TotalTime>
  <ScaleCrop>false</ScaleCrop>
  <LinksUpToDate>false</LinksUpToDate>
  <CharactersWithSpaces>4778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2025-08-24T05:22:21Z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