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26B6C">
      <w:pPr>
        <w:pStyle w:val="11"/>
        <w:spacing w:line="252" w:lineRule="auto"/>
      </w:pPr>
    </w:p>
    <w:p w14:paraId="1F184CC9">
      <w:pPr>
        <w:pStyle w:val="11"/>
        <w:spacing w:line="253" w:lineRule="auto"/>
      </w:pPr>
    </w:p>
    <w:p w14:paraId="3BDB0546">
      <w:pPr>
        <w:pStyle w:val="11"/>
        <w:spacing w:line="253" w:lineRule="auto"/>
      </w:pPr>
    </w:p>
    <w:p w14:paraId="55BCF892">
      <w:pPr>
        <w:spacing w:before="169" w:line="220" w:lineRule="auto"/>
        <w:ind w:left="1329"/>
        <w:rPr>
          <w:rFonts w:ascii="宋体" w:hAnsi="宋体" w:eastAsia="宋体" w:cs="宋体"/>
          <w:sz w:val="52"/>
          <w:szCs w:val="52"/>
        </w:rPr>
      </w:pPr>
      <w:r>
        <w:rPr>
          <w:rFonts w:ascii="宋体" w:hAnsi="宋体" w:eastAsia="宋体" w:cs="宋体"/>
          <w:spacing w:val="-3"/>
          <w:sz w:val="52"/>
          <w:szCs w:val="52"/>
        </w:rPr>
        <w:t>公司组织架构及职责说明</w:t>
      </w:r>
    </w:p>
    <w:p w14:paraId="21721DB9">
      <w:pPr>
        <w:pStyle w:val="11"/>
        <w:spacing w:line="252" w:lineRule="auto"/>
      </w:pPr>
    </w:p>
    <w:p w14:paraId="672FF9FC">
      <w:pPr>
        <w:pStyle w:val="11"/>
        <w:spacing w:line="252" w:lineRule="auto"/>
      </w:pPr>
    </w:p>
    <w:p w14:paraId="43592012">
      <w:pPr>
        <w:pStyle w:val="11"/>
        <w:spacing w:line="253" w:lineRule="auto"/>
      </w:pPr>
    </w:p>
    <w:p w14:paraId="374DC569">
      <w:pPr>
        <w:pStyle w:val="11"/>
        <w:spacing w:line="253" w:lineRule="auto"/>
      </w:pPr>
    </w:p>
    <w:p w14:paraId="2B03AF4D">
      <w:pPr>
        <w:pStyle w:val="11"/>
        <w:spacing w:line="253" w:lineRule="auto"/>
      </w:pPr>
    </w:p>
    <w:p w14:paraId="1D427116">
      <w:pPr>
        <w:pStyle w:val="11"/>
        <w:spacing w:line="253" w:lineRule="auto"/>
      </w:pPr>
    </w:p>
    <w:p w14:paraId="10667387">
      <w:pPr>
        <w:pStyle w:val="11"/>
        <w:spacing w:line="253" w:lineRule="auto"/>
      </w:pPr>
    </w:p>
    <w:p w14:paraId="41AE9F77">
      <w:pPr>
        <w:pStyle w:val="11"/>
        <w:spacing w:line="253" w:lineRule="auto"/>
      </w:pPr>
    </w:p>
    <w:p w14:paraId="76AA7E1B">
      <w:pPr>
        <w:pStyle w:val="11"/>
        <w:spacing w:line="253" w:lineRule="auto"/>
      </w:pPr>
    </w:p>
    <w:p w14:paraId="1860388F">
      <w:pPr>
        <w:pStyle w:val="11"/>
        <w:spacing w:line="253" w:lineRule="auto"/>
      </w:pPr>
    </w:p>
    <w:p w14:paraId="11FD0F95">
      <w:pPr>
        <w:pStyle w:val="11"/>
        <w:spacing w:line="253" w:lineRule="auto"/>
      </w:pPr>
    </w:p>
    <w:p w14:paraId="7C93B0A7">
      <w:pPr>
        <w:pStyle w:val="11"/>
        <w:spacing w:line="253" w:lineRule="auto"/>
      </w:pPr>
    </w:p>
    <w:p w14:paraId="1B4ADE11">
      <w:pPr>
        <w:pStyle w:val="11"/>
        <w:spacing w:line="253" w:lineRule="auto"/>
      </w:pPr>
    </w:p>
    <w:p w14:paraId="20B5F46C">
      <w:pPr>
        <w:spacing w:line="1572" w:lineRule="exact"/>
        <w:ind w:firstLine="1535"/>
      </w:pPr>
      <w:r>
        <w:rPr>
          <w:position w:val="-31"/>
        </w:rPr>
        <w:drawing>
          <wp:inline distT="0" distB="0" distL="0" distR="0">
            <wp:extent cx="3173730" cy="9982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3174364" cy="998220"/>
                    </a:xfrm>
                    <a:prstGeom prst="rect">
                      <a:avLst/>
                    </a:prstGeom>
                  </pic:spPr>
                </pic:pic>
              </a:graphicData>
            </a:graphic>
          </wp:inline>
        </w:drawing>
      </w:r>
    </w:p>
    <w:p w14:paraId="33182108">
      <w:pPr>
        <w:pStyle w:val="11"/>
        <w:spacing w:line="256" w:lineRule="auto"/>
      </w:pPr>
    </w:p>
    <w:p w14:paraId="464236CB">
      <w:pPr>
        <w:pStyle w:val="11"/>
        <w:spacing w:line="256" w:lineRule="auto"/>
      </w:pPr>
    </w:p>
    <w:p w14:paraId="741E1653">
      <w:pPr>
        <w:pStyle w:val="11"/>
        <w:spacing w:line="256" w:lineRule="auto"/>
      </w:pPr>
    </w:p>
    <w:p w14:paraId="71ABF0C5">
      <w:pPr>
        <w:pStyle w:val="11"/>
        <w:spacing w:line="256" w:lineRule="auto"/>
      </w:pPr>
    </w:p>
    <w:p w14:paraId="670C923D">
      <w:pPr>
        <w:pStyle w:val="11"/>
        <w:spacing w:line="257" w:lineRule="auto"/>
      </w:pPr>
    </w:p>
    <w:p w14:paraId="79F80771">
      <w:pPr>
        <w:pStyle w:val="11"/>
        <w:spacing w:line="257" w:lineRule="auto"/>
      </w:pPr>
    </w:p>
    <w:p w14:paraId="1DDB35E5">
      <w:pPr>
        <w:pStyle w:val="11"/>
        <w:spacing w:line="257" w:lineRule="auto"/>
      </w:pPr>
    </w:p>
    <w:p w14:paraId="69F260E2">
      <w:pPr>
        <w:pStyle w:val="11"/>
        <w:spacing w:line="257" w:lineRule="auto"/>
      </w:pPr>
    </w:p>
    <w:p w14:paraId="2458228C">
      <w:pPr>
        <w:pStyle w:val="11"/>
        <w:spacing w:line="257" w:lineRule="auto"/>
      </w:pPr>
    </w:p>
    <w:p w14:paraId="31841C45">
      <w:pPr>
        <w:pStyle w:val="11"/>
        <w:spacing w:line="257" w:lineRule="auto"/>
      </w:pPr>
    </w:p>
    <w:p w14:paraId="0EF8255D">
      <w:pPr>
        <w:pStyle w:val="11"/>
        <w:spacing w:line="257" w:lineRule="auto"/>
      </w:pPr>
    </w:p>
    <w:p w14:paraId="13E66C77">
      <w:pPr>
        <w:pStyle w:val="11"/>
        <w:spacing w:line="257" w:lineRule="auto"/>
      </w:pPr>
    </w:p>
    <w:p w14:paraId="1FCBF49B">
      <w:pPr>
        <w:pStyle w:val="11"/>
        <w:spacing w:line="257" w:lineRule="auto"/>
      </w:pPr>
    </w:p>
    <w:p w14:paraId="0C3EECB1">
      <w:pPr>
        <w:spacing w:before="117" w:line="219" w:lineRule="auto"/>
        <w:ind w:left="1647"/>
        <w:rPr>
          <w:rFonts w:ascii="宋体" w:hAnsi="宋体" w:eastAsia="宋体" w:cs="宋体"/>
          <w:sz w:val="36"/>
          <w:szCs w:val="36"/>
        </w:rPr>
      </w:pPr>
      <w:r>
        <w:rPr>
          <w:rFonts w:ascii="宋体" w:hAnsi="宋体" w:eastAsia="宋体" w:cs="宋体"/>
          <w:spacing w:val="-1"/>
          <w:sz w:val="36"/>
          <w:szCs w:val="36"/>
        </w:rPr>
        <w:t>青岛慧海联创信息技术有限公司</w:t>
      </w:r>
    </w:p>
    <w:p w14:paraId="7FCDB06C">
      <w:pPr>
        <w:spacing w:line="219" w:lineRule="auto"/>
        <w:rPr>
          <w:rFonts w:ascii="宋体" w:hAnsi="宋体" w:eastAsia="宋体" w:cs="宋体"/>
          <w:sz w:val="36"/>
          <w:szCs w:val="36"/>
        </w:rPr>
      </w:pPr>
    </w:p>
    <w:p w14:paraId="69B7F4AB">
      <w:pPr>
        <w:spacing w:line="219" w:lineRule="auto"/>
        <w:jc w:val="center"/>
        <w:rPr>
          <w:rFonts w:hint="default" w:ascii="宋体" w:hAnsi="宋体" w:eastAsia="宋体" w:cs="宋体"/>
          <w:sz w:val="36"/>
          <w:szCs w:val="36"/>
          <w:lang w:val="en-US" w:eastAsia="zh-CN"/>
        </w:rPr>
        <w:sectPr>
          <w:pgSz w:w="11912" w:h="16841"/>
          <w:pgMar w:top="1431" w:right="1786" w:bottom="2683" w:left="1786" w:header="0" w:footer="2255" w:gutter="0"/>
          <w:cols w:space="720" w:num="1"/>
        </w:sectPr>
      </w:pPr>
      <w:r>
        <w:rPr>
          <w:rFonts w:hint="eastAsia" w:ascii="宋体" w:hAnsi="宋体" w:eastAsia="宋体" w:cs="宋体"/>
          <w:sz w:val="36"/>
          <w:szCs w:val="36"/>
          <w:lang w:val="en-US" w:eastAsia="zh-CN"/>
        </w:rPr>
        <w:t>2025年1月4日</w:t>
      </w:r>
    </w:p>
    <w:p w14:paraId="2FEC0457">
      <w:pPr>
        <w:spacing w:before="58" w:line="220" w:lineRule="auto"/>
        <w:ind w:left="3626"/>
        <w:outlineLvl w:val="0"/>
        <w:rPr>
          <w:rFonts w:ascii="宋体" w:hAnsi="宋体" w:eastAsia="宋体" w:cs="宋体"/>
          <w:sz w:val="28"/>
          <w:szCs w:val="28"/>
        </w:rPr>
      </w:pPr>
      <w:bookmarkStart w:id="0" w:name="_Toc6525"/>
      <w:r>
        <w:rPr>
          <w:rFonts w:ascii="宋体" w:hAnsi="宋体" w:eastAsia="宋体" w:cs="宋体"/>
          <w:spacing w:val="-2"/>
          <w:sz w:val="28"/>
          <w:szCs w:val="28"/>
        </w:rPr>
        <w:t>文档信息</w:t>
      </w:r>
      <w:bookmarkEnd w:id="0"/>
    </w:p>
    <w:p w14:paraId="5418D84D">
      <w:pPr>
        <w:spacing w:before="37"/>
      </w:pPr>
    </w:p>
    <w:tbl>
      <w:tblPr>
        <w:tblStyle w:val="18"/>
        <w:tblW w:w="8653" w:type="dxa"/>
        <w:tblInd w:w="2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5"/>
        <w:gridCol w:w="1560"/>
        <w:gridCol w:w="2123"/>
        <w:gridCol w:w="1701"/>
        <w:gridCol w:w="1564"/>
      </w:tblGrid>
      <w:tr w14:paraId="22DBDF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705" w:type="dxa"/>
            <w:vAlign w:val="top"/>
          </w:tcPr>
          <w:p w14:paraId="73A28C31">
            <w:pPr>
              <w:pStyle w:val="19"/>
              <w:spacing w:before="134" w:line="221" w:lineRule="auto"/>
              <w:ind w:left="232"/>
            </w:pPr>
            <w:r>
              <w:rPr>
                <w:spacing w:val="-2"/>
              </w:rPr>
              <w:t>文档名称编号</w:t>
            </w:r>
          </w:p>
        </w:tc>
        <w:tc>
          <w:tcPr>
            <w:tcW w:w="6948" w:type="dxa"/>
            <w:gridSpan w:val="4"/>
            <w:vAlign w:val="top"/>
          </w:tcPr>
          <w:p w14:paraId="3CBF7121">
            <w:pPr>
              <w:pStyle w:val="19"/>
              <w:spacing w:before="135" w:line="219" w:lineRule="auto"/>
              <w:ind w:left="123"/>
            </w:pPr>
            <w:r>
              <w:t>公司组织架构及职责说明（HHLC-ITSS</w:t>
            </w:r>
            <w:r>
              <w:rPr>
                <w:spacing w:val="-1"/>
              </w:rPr>
              <w:t>-ZZJG/ZZSM）</w:t>
            </w:r>
          </w:p>
        </w:tc>
      </w:tr>
      <w:tr w14:paraId="18215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3236F800">
            <w:pPr>
              <w:pStyle w:val="19"/>
              <w:spacing w:before="130" w:line="221" w:lineRule="auto"/>
              <w:ind w:left="444"/>
            </w:pPr>
            <w:r>
              <w:rPr>
                <w:spacing w:val="-2"/>
              </w:rPr>
              <w:t>编制单位</w:t>
            </w:r>
          </w:p>
        </w:tc>
        <w:tc>
          <w:tcPr>
            <w:tcW w:w="6948" w:type="dxa"/>
            <w:gridSpan w:val="4"/>
            <w:vAlign w:val="top"/>
          </w:tcPr>
          <w:p w14:paraId="20025CC2">
            <w:pPr>
              <w:pStyle w:val="19"/>
              <w:spacing w:before="130" w:line="220" w:lineRule="auto"/>
              <w:ind w:left="117"/>
            </w:pPr>
            <w:r>
              <w:rPr>
                <w:spacing w:val="-1"/>
              </w:rPr>
              <w:t>青岛慧海联创信息技术有限公司</w:t>
            </w:r>
          </w:p>
        </w:tc>
      </w:tr>
      <w:tr w14:paraId="3632A6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1705" w:type="dxa"/>
            <w:vAlign w:val="top"/>
          </w:tcPr>
          <w:p w14:paraId="3082D1F7">
            <w:pPr>
              <w:pStyle w:val="19"/>
              <w:spacing w:before="133" w:line="220" w:lineRule="auto"/>
              <w:ind w:left="444"/>
            </w:pPr>
            <w:r>
              <w:rPr>
                <w:spacing w:val="-2"/>
              </w:rPr>
              <w:t>文档版本</w:t>
            </w:r>
          </w:p>
        </w:tc>
        <w:tc>
          <w:tcPr>
            <w:tcW w:w="1560" w:type="dxa"/>
            <w:vAlign w:val="top"/>
          </w:tcPr>
          <w:p w14:paraId="169AE3C3">
            <w:pPr>
              <w:pStyle w:val="19"/>
              <w:spacing w:before="133" w:line="220" w:lineRule="auto"/>
              <w:ind w:left="370"/>
            </w:pPr>
            <w:r>
              <w:rPr>
                <w:spacing w:val="-2"/>
              </w:rPr>
              <w:t>版本日期</w:t>
            </w:r>
          </w:p>
        </w:tc>
        <w:tc>
          <w:tcPr>
            <w:tcW w:w="2123" w:type="dxa"/>
            <w:vAlign w:val="top"/>
          </w:tcPr>
          <w:p w14:paraId="2E92EFCD">
            <w:pPr>
              <w:pStyle w:val="19"/>
              <w:spacing w:before="133" w:line="220" w:lineRule="auto"/>
              <w:ind w:left="654"/>
            </w:pPr>
            <w:r>
              <w:rPr>
                <w:spacing w:val="-2"/>
              </w:rPr>
              <w:t>版本说明</w:t>
            </w:r>
          </w:p>
        </w:tc>
        <w:tc>
          <w:tcPr>
            <w:tcW w:w="1701" w:type="dxa"/>
            <w:vAlign w:val="top"/>
          </w:tcPr>
          <w:p w14:paraId="54E5D743">
            <w:pPr>
              <w:pStyle w:val="19"/>
              <w:spacing w:before="134" w:line="221" w:lineRule="auto"/>
              <w:ind w:left="600"/>
            </w:pPr>
            <w:r>
              <w:rPr>
                <w:spacing w:val="-4"/>
              </w:rPr>
              <w:t>作</w:t>
            </w:r>
            <w:r>
              <w:rPr>
                <w:spacing w:val="10"/>
              </w:rPr>
              <w:t xml:space="preserve"> </w:t>
            </w:r>
            <w:r>
              <w:rPr>
                <w:spacing w:val="-4"/>
              </w:rPr>
              <w:t>者</w:t>
            </w:r>
          </w:p>
        </w:tc>
        <w:tc>
          <w:tcPr>
            <w:tcW w:w="1564" w:type="dxa"/>
            <w:vAlign w:val="top"/>
          </w:tcPr>
          <w:p w14:paraId="2241C08B">
            <w:pPr>
              <w:pStyle w:val="19"/>
              <w:spacing w:before="134" w:line="221" w:lineRule="auto"/>
              <w:ind w:left="592"/>
            </w:pPr>
            <w:r>
              <w:rPr>
                <w:spacing w:val="-5"/>
              </w:rPr>
              <w:t>审核</w:t>
            </w:r>
          </w:p>
        </w:tc>
      </w:tr>
      <w:tr w14:paraId="012C8D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1705" w:type="dxa"/>
            <w:vAlign w:val="top"/>
          </w:tcPr>
          <w:p w14:paraId="1F69E059">
            <w:pPr>
              <w:pStyle w:val="19"/>
              <w:spacing w:before="161"/>
              <w:ind w:left="646"/>
            </w:pPr>
            <w:r>
              <w:rPr>
                <w:spacing w:val="-1"/>
              </w:rPr>
              <w:t>V1.0</w:t>
            </w:r>
          </w:p>
        </w:tc>
        <w:tc>
          <w:tcPr>
            <w:tcW w:w="1560" w:type="dxa"/>
            <w:vAlign w:val="top"/>
          </w:tcPr>
          <w:p w14:paraId="5BF97A3A">
            <w:pPr>
              <w:pStyle w:val="19"/>
              <w:spacing w:before="160" w:line="241" w:lineRule="auto"/>
              <w:ind w:left="372"/>
            </w:pPr>
            <w:r>
              <w:rPr>
                <w:spacing w:val="-2"/>
              </w:rPr>
              <w:t>2025-1-4</w:t>
            </w:r>
          </w:p>
        </w:tc>
        <w:tc>
          <w:tcPr>
            <w:tcW w:w="2123" w:type="dxa"/>
            <w:vAlign w:val="top"/>
          </w:tcPr>
          <w:p w14:paraId="071C8D57">
            <w:pPr>
              <w:pStyle w:val="19"/>
              <w:spacing w:before="132" w:line="220" w:lineRule="auto"/>
              <w:ind w:left="656"/>
            </w:pPr>
            <w:r>
              <w:rPr>
                <w:spacing w:val="-3"/>
              </w:rPr>
              <w:t>发布版本</w:t>
            </w:r>
          </w:p>
        </w:tc>
        <w:tc>
          <w:tcPr>
            <w:tcW w:w="1701" w:type="dxa"/>
            <w:vAlign w:val="top"/>
          </w:tcPr>
          <w:p w14:paraId="6A1F23AB">
            <w:pPr>
              <w:pStyle w:val="19"/>
              <w:spacing w:before="132" w:line="229" w:lineRule="auto"/>
              <w:ind w:left="653"/>
            </w:pPr>
            <w:r>
              <w:rPr>
                <w:spacing w:val="-2"/>
              </w:rPr>
              <w:t>王慧</w:t>
            </w:r>
          </w:p>
        </w:tc>
        <w:tc>
          <w:tcPr>
            <w:tcW w:w="1564" w:type="dxa"/>
            <w:vAlign w:val="top"/>
          </w:tcPr>
          <w:p w14:paraId="0EC39575">
            <w:pPr>
              <w:pStyle w:val="19"/>
              <w:spacing w:before="131" w:line="221" w:lineRule="auto"/>
              <w:ind w:left="480"/>
            </w:pPr>
            <w:r>
              <w:rPr>
                <w:spacing w:val="-3"/>
              </w:rPr>
              <w:t>张仲全</w:t>
            </w:r>
          </w:p>
        </w:tc>
      </w:tr>
      <w:tr w14:paraId="6572A7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1705" w:type="dxa"/>
            <w:vAlign w:val="top"/>
          </w:tcPr>
          <w:p w14:paraId="2118C8FF">
            <w:pPr>
              <w:rPr>
                <w:rFonts w:ascii="Arial"/>
                <w:sz w:val="21"/>
              </w:rPr>
            </w:pPr>
          </w:p>
        </w:tc>
        <w:tc>
          <w:tcPr>
            <w:tcW w:w="1560" w:type="dxa"/>
            <w:vAlign w:val="top"/>
          </w:tcPr>
          <w:p w14:paraId="4402263D">
            <w:pPr>
              <w:rPr>
                <w:rFonts w:ascii="Arial"/>
                <w:sz w:val="21"/>
              </w:rPr>
            </w:pPr>
          </w:p>
        </w:tc>
        <w:tc>
          <w:tcPr>
            <w:tcW w:w="2123" w:type="dxa"/>
            <w:vAlign w:val="top"/>
          </w:tcPr>
          <w:p w14:paraId="79CF26A7">
            <w:pPr>
              <w:rPr>
                <w:rFonts w:ascii="Arial"/>
                <w:sz w:val="21"/>
              </w:rPr>
            </w:pPr>
          </w:p>
        </w:tc>
        <w:tc>
          <w:tcPr>
            <w:tcW w:w="1701" w:type="dxa"/>
            <w:vAlign w:val="top"/>
          </w:tcPr>
          <w:p w14:paraId="21CD1766">
            <w:pPr>
              <w:rPr>
                <w:rFonts w:ascii="Arial"/>
                <w:sz w:val="21"/>
              </w:rPr>
            </w:pPr>
          </w:p>
        </w:tc>
        <w:tc>
          <w:tcPr>
            <w:tcW w:w="1564" w:type="dxa"/>
            <w:vAlign w:val="top"/>
          </w:tcPr>
          <w:p w14:paraId="32871B7D">
            <w:pPr>
              <w:rPr>
                <w:rFonts w:ascii="Arial"/>
                <w:sz w:val="21"/>
              </w:rPr>
            </w:pPr>
          </w:p>
        </w:tc>
      </w:tr>
      <w:tr w14:paraId="14D733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1AE1AA75">
            <w:pPr>
              <w:rPr>
                <w:rFonts w:ascii="Arial"/>
                <w:sz w:val="21"/>
              </w:rPr>
            </w:pPr>
          </w:p>
        </w:tc>
        <w:tc>
          <w:tcPr>
            <w:tcW w:w="1560" w:type="dxa"/>
            <w:vAlign w:val="top"/>
          </w:tcPr>
          <w:p w14:paraId="5227F846">
            <w:pPr>
              <w:rPr>
                <w:rFonts w:ascii="Arial"/>
                <w:sz w:val="21"/>
              </w:rPr>
            </w:pPr>
          </w:p>
        </w:tc>
        <w:tc>
          <w:tcPr>
            <w:tcW w:w="2123" w:type="dxa"/>
            <w:vAlign w:val="top"/>
          </w:tcPr>
          <w:p w14:paraId="0C7F63B1">
            <w:pPr>
              <w:rPr>
                <w:rFonts w:ascii="Arial"/>
                <w:sz w:val="21"/>
              </w:rPr>
            </w:pPr>
          </w:p>
        </w:tc>
        <w:tc>
          <w:tcPr>
            <w:tcW w:w="1701" w:type="dxa"/>
            <w:vAlign w:val="top"/>
          </w:tcPr>
          <w:p w14:paraId="43680A72">
            <w:pPr>
              <w:rPr>
                <w:rFonts w:ascii="Arial"/>
                <w:sz w:val="21"/>
              </w:rPr>
            </w:pPr>
          </w:p>
        </w:tc>
        <w:tc>
          <w:tcPr>
            <w:tcW w:w="1564" w:type="dxa"/>
            <w:vAlign w:val="top"/>
          </w:tcPr>
          <w:p w14:paraId="20565E1E">
            <w:pPr>
              <w:rPr>
                <w:rFonts w:ascii="Arial"/>
                <w:sz w:val="21"/>
              </w:rPr>
            </w:pPr>
          </w:p>
        </w:tc>
      </w:tr>
      <w:tr w14:paraId="48F2C4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3" w:hRule="atLeast"/>
        </w:trPr>
        <w:tc>
          <w:tcPr>
            <w:tcW w:w="1705" w:type="dxa"/>
            <w:vAlign w:val="top"/>
          </w:tcPr>
          <w:p w14:paraId="2D8FF2D8">
            <w:pPr>
              <w:rPr>
                <w:rFonts w:ascii="Arial"/>
                <w:sz w:val="21"/>
              </w:rPr>
            </w:pPr>
          </w:p>
        </w:tc>
        <w:tc>
          <w:tcPr>
            <w:tcW w:w="1560" w:type="dxa"/>
            <w:vAlign w:val="top"/>
          </w:tcPr>
          <w:p w14:paraId="04C440AD">
            <w:pPr>
              <w:rPr>
                <w:rFonts w:ascii="Arial"/>
                <w:sz w:val="21"/>
              </w:rPr>
            </w:pPr>
          </w:p>
        </w:tc>
        <w:tc>
          <w:tcPr>
            <w:tcW w:w="2123" w:type="dxa"/>
            <w:vAlign w:val="top"/>
          </w:tcPr>
          <w:p w14:paraId="3A88DBA3">
            <w:pPr>
              <w:rPr>
                <w:rFonts w:ascii="Arial"/>
                <w:sz w:val="21"/>
              </w:rPr>
            </w:pPr>
          </w:p>
        </w:tc>
        <w:tc>
          <w:tcPr>
            <w:tcW w:w="1701" w:type="dxa"/>
            <w:vAlign w:val="top"/>
          </w:tcPr>
          <w:p w14:paraId="664A54B5">
            <w:pPr>
              <w:rPr>
                <w:rFonts w:ascii="Arial"/>
                <w:sz w:val="21"/>
              </w:rPr>
            </w:pPr>
          </w:p>
        </w:tc>
        <w:tc>
          <w:tcPr>
            <w:tcW w:w="1564" w:type="dxa"/>
            <w:vAlign w:val="top"/>
          </w:tcPr>
          <w:p w14:paraId="3CEDD6AF">
            <w:pPr>
              <w:rPr>
                <w:rFonts w:ascii="Arial"/>
                <w:sz w:val="21"/>
              </w:rPr>
            </w:pPr>
          </w:p>
        </w:tc>
      </w:tr>
    </w:tbl>
    <w:p w14:paraId="2F765020">
      <w:pPr>
        <w:pStyle w:val="11"/>
      </w:pPr>
    </w:p>
    <w:p w14:paraId="65AED54F">
      <w:pPr>
        <w:sectPr>
          <w:footerReference r:id="rId5" w:type="default"/>
          <w:pgSz w:w="11912" w:h="16841"/>
          <w:pgMar w:top="1431" w:right="1459" w:bottom="1714" w:left="1768" w:header="0" w:footer="1438" w:gutter="0"/>
          <w:cols w:space="720" w:num="1"/>
        </w:sectPr>
      </w:pPr>
    </w:p>
    <w:p w14:paraId="5B2ECD60">
      <w:pPr>
        <w:pStyle w:val="11"/>
        <w:spacing w:line="308" w:lineRule="auto"/>
      </w:pPr>
    </w:p>
    <w:p w14:paraId="10979765">
      <w:pPr>
        <w:pStyle w:val="11"/>
        <w:spacing w:line="309" w:lineRule="auto"/>
      </w:pPr>
    </w:p>
    <w:p w14:paraId="01E1E019">
      <w:pPr>
        <w:pStyle w:val="11"/>
        <w:spacing w:line="309" w:lineRule="auto"/>
      </w:pPr>
    </w:p>
    <w:sdt>
      <w:sdtPr>
        <w:rPr>
          <w:rFonts w:ascii="宋体" w:hAnsi="宋体" w:eastAsia="宋体" w:cs="Arial"/>
          <w:snapToGrid w:val="0"/>
          <w:color w:val="000000"/>
          <w:kern w:val="0"/>
          <w:sz w:val="21"/>
          <w:szCs w:val="21"/>
          <w:lang w:val="en-US" w:eastAsia="en-US" w:bidi="ar-SA"/>
        </w:rPr>
        <w:id w:val="147472755"/>
        <w15:color w:val="DBDBDB"/>
        <w:docPartObj>
          <w:docPartGallery w:val="Table of Contents"/>
          <w:docPartUnique/>
        </w:docPartObj>
      </w:sdtPr>
      <w:sdtEndPr>
        <w:rPr>
          <w:rFonts w:ascii="Times New Roman" w:hAnsi="Times New Roman" w:eastAsia="Times New Roman" w:cs="Times New Roman"/>
          <w:snapToGrid w:val="0"/>
          <w:color w:val="000000"/>
          <w:kern w:val="0"/>
          <w:sz w:val="24"/>
          <w:szCs w:val="24"/>
          <w:lang w:val="en-US" w:eastAsia="en-US" w:bidi="ar-SA"/>
        </w:rPr>
      </w:sdtEndPr>
      <w:sdtContent>
        <w:p w14:paraId="1370ACA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35202E5">
          <w:pPr>
            <w:pStyle w:val="14"/>
            <w:tabs>
              <w:tab w:val="right" w:leader="dot" w:pos="8442"/>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_Toc6525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_Toc6525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82C5E9A">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_Toc12515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公司组织架构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_Toc12515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ECE4CD0">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_Toc12322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部门及职责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_Toc12322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80D529">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_Toc7423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_Toc7423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A543C2">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_Toc9673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副总经理职责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_Toc9673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9CE8496">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_Toc12214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综合管理部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_Toc12214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DF143C9">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_Toc11712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2.3.1. 人力资源部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_Toc11712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3B066DD">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_Toc1568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2.3.2. 财务部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942B3B">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_Toc21431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采购部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_Toc21431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690D7D6">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_Toc15421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营销中心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_Toc15421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F399768">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 运维服务部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A3FC138">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_Toc13650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2.6.1. 服务台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_Toc13650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4C717CC">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_Toc25933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2.6.2. 备件库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_Toc25933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A46950">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_Toc12342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rPr>
            <w:t xml:space="preserve">2.6.3. </w:t>
          </w:r>
          <w:r>
            <w:rPr>
              <w:rFonts w:hint="eastAsia" w:ascii="Microsoft JhengHei" w:hAnsi="Microsoft JhengHei" w:eastAsia="Microsoft JhengHei" w:cs="Microsoft JhengHei"/>
              <w:sz w:val="24"/>
              <w:szCs w:val="24"/>
              <w:lang w:val="en-US" w:eastAsia="zh-CN"/>
            </w:rPr>
            <w:t>服务知识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_Toc12342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893987">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_Toc26015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 质量中心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_Toc26015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B3D53AA">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_Toc20204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 研发中心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_Toc20204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EC65F0C">
          <w:pPr>
            <w:pStyle w:val="15"/>
            <w:tabs>
              <w:tab w:val="right" w:leader="dot" w:pos="844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_Toc21145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2.9. 应急管理小组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_Toc21145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3ED88">
          <w:pPr>
            <w:spacing w:line="235" w:lineRule="auto"/>
            <w:rPr>
              <w:rFonts w:ascii="Times New Roman" w:hAnsi="Times New Roman" w:eastAsia="Times New Roman" w:cs="Times New Roman"/>
              <w:snapToGrid w:val="0"/>
              <w:color w:val="000000"/>
              <w:kern w:val="0"/>
              <w:sz w:val="24"/>
              <w:szCs w:val="24"/>
              <w:lang w:val="en-US" w:eastAsia="en-US" w:bidi="ar-SA"/>
            </w:rPr>
          </w:pPr>
          <w:r>
            <w:rPr>
              <w:rFonts w:ascii="Times New Roman" w:hAnsi="Times New Roman" w:eastAsia="Times New Roman" w:cs="Times New Roman"/>
              <w:szCs w:val="24"/>
            </w:rPr>
            <w:fldChar w:fldCharType="end"/>
          </w:r>
        </w:p>
      </w:sdtContent>
    </w:sdt>
    <w:p w14:paraId="65EC4AE8">
      <w:pPr>
        <w:spacing w:line="235" w:lineRule="auto"/>
        <w:rPr>
          <w:rFonts w:ascii="Times New Roman" w:hAnsi="Times New Roman" w:eastAsia="Times New Roman" w:cs="Times New Roman"/>
          <w:snapToGrid w:val="0"/>
          <w:color w:val="000000"/>
          <w:kern w:val="0"/>
          <w:sz w:val="24"/>
          <w:szCs w:val="24"/>
          <w:lang w:val="en-US" w:eastAsia="en-US" w:bidi="ar-SA"/>
        </w:rPr>
        <w:sectPr>
          <w:footerReference r:id="rId6" w:type="default"/>
          <w:pgSz w:w="11912" w:h="16841"/>
          <w:pgMar w:top="1431" w:right="1786" w:bottom="1714" w:left="1684" w:header="0" w:footer="1438" w:gutter="0"/>
          <w:cols w:space="720" w:num="1"/>
        </w:sectPr>
      </w:pPr>
    </w:p>
    <w:p w14:paraId="7AB77D69">
      <w:pPr>
        <w:pStyle w:val="20"/>
        <w:bidi w:val="0"/>
      </w:pPr>
      <w:bookmarkStart w:id="1" w:name="bookmark13"/>
      <w:bookmarkEnd w:id="1"/>
      <w:bookmarkStart w:id="2" w:name="bookmark1"/>
      <w:bookmarkEnd w:id="2"/>
      <w:bookmarkStart w:id="3" w:name="_Toc12515"/>
      <w:r>
        <w:t>公司组织架构</w:t>
      </w:r>
      <w:bookmarkEnd w:id="3"/>
    </w:p>
    <w:p w14:paraId="07E4A04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青岛慧海联创信息技术有限公司的相关组织部门包括：</w:t>
      </w:r>
    </w:p>
    <w:p w14:paraId="3E4C642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应急管理小组、综合管理部（下设人力资源部、财务部）、采购部、营销中心、运维服务部（下设服务台、备件库</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服务知识</w:t>
      </w:r>
      <w:r>
        <w:rPr>
          <w:rFonts w:ascii="宋体" w:hAnsi="宋体" w:eastAsia="宋体" w:cs="宋体"/>
          <w:spacing w:val="-3"/>
          <w:sz w:val="24"/>
          <w:szCs w:val="24"/>
        </w:rPr>
        <w:t>）、质量</w:t>
      </w:r>
      <w:r>
        <w:rPr>
          <w:rFonts w:hint="eastAsia" w:ascii="宋体" w:hAnsi="宋体" w:eastAsia="宋体" w:cs="宋体"/>
          <w:spacing w:val="-3"/>
          <w:sz w:val="24"/>
          <w:szCs w:val="24"/>
          <w:lang w:val="en-US" w:eastAsia="zh-CN"/>
        </w:rPr>
        <w:t>中心</w:t>
      </w:r>
      <w:r>
        <w:rPr>
          <w:rFonts w:ascii="宋体" w:hAnsi="宋体" w:eastAsia="宋体" w:cs="宋体"/>
          <w:spacing w:val="-3"/>
          <w:sz w:val="24"/>
          <w:szCs w:val="24"/>
        </w:rPr>
        <w:t>，研发中心。</w:t>
      </w:r>
    </w:p>
    <w:p w14:paraId="702AB872">
      <w:pPr>
        <w:spacing w:before="185" w:line="366" w:lineRule="auto"/>
        <w:ind w:left="42" w:right="301" w:firstLine="478"/>
        <w:rPr>
          <w:rFonts w:ascii="宋体" w:hAnsi="宋体" w:eastAsia="宋体" w:cs="宋体"/>
          <w:spacing w:val="-6"/>
          <w:sz w:val="24"/>
          <w:szCs w:val="24"/>
        </w:rPr>
      </w:pPr>
    </w:p>
    <w:p w14:paraId="779E8FE3">
      <w:pPr>
        <w:pStyle w:val="11"/>
        <w:spacing w:line="272" w:lineRule="auto"/>
      </w:pPr>
    </w:p>
    <w:p w14:paraId="6AE8F6C2">
      <w:pPr>
        <w:pStyle w:val="11"/>
        <w:spacing w:line="272" w:lineRule="auto"/>
      </w:pPr>
    </w:p>
    <w:p w14:paraId="4F8BF9A0">
      <w:pPr>
        <w:spacing w:line="3710" w:lineRule="exact"/>
        <w:ind w:firstLine="463"/>
      </w:pPr>
      <w:r>
        <w:drawing>
          <wp:anchor distT="0" distB="0" distL="114300" distR="114300" simplePos="0" relativeHeight="251659264" behindDoc="0" locked="0" layoutInCell="1" allowOverlap="1">
            <wp:simplePos x="0" y="0"/>
            <wp:positionH relativeFrom="column">
              <wp:posOffset>294005</wp:posOffset>
            </wp:positionH>
            <wp:positionV relativeFrom="paragraph">
              <wp:posOffset>-340360</wp:posOffset>
            </wp:positionV>
            <wp:extent cx="5302250" cy="2215515"/>
            <wp:effectExtent l="0" t="0" r="1270" b="952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302250" cy="2215515"/>
                    </a:xfrm>
                    <a:prstGeom prst="rect">
                      <a:avLst/>
                    </a:prstGeom>
                    <a:noFill/>
                    <a:ln>
                      <a:noFill/>
                    </a:ln>
                  </pic:spPr>
                </pic:pic>
              </a:graphicData>
            </a:graphic>
          </wp:anchor>
        </w:drawing>
      </w:r>
    </w:p>
    <w:p w14:paraId="52079845">
      <w:pPr>
        <w:pStyle w:val="11"/>
        <w:spacing w:line="314" w:lineRule="auto"/>
      </w:pPr>
    </w:p>
    <w:p w14:paraId="3D86ABA0">
      <w:pPr>
        <w:pStyle w:val="11"/>
        <w:spacing w:line="314" w:lineRule="auto"/>
      </w:pPr>
    </w:p>
    <w:p w14:paraId="60E89582">
      <w:pPr>
        <w:pStyle w:val="20"/>
        <w:bidi w:val="0"/>
      </w:pPr>
      <w:bookmarkStart w:id="4" w:name="bookmark1"/>
      <w:bookmarkEnd w:id="4"/>
      <w:bookmarkStart w:id="5" w:name="_Toc12322"/>
      <w:r>
        <w:t>部门及职责</w:t>
      </w:r>
      <w:bookmarkEnd w:id="5"/>
    </w:p>
    <w:p w14:paraId="05CF8179">
      <w:pPr>
        <w:pStyle w:val="21"/>
        <w:bidi w:val="0"/>
      </w:pPr>
      <w:bookmarkStart w:id="6" w:name="bookmark1"/>
      <w:bookmarkEnd w:id="6"/>
      <w:bookmarkStart w:id="7" w:name="_Toc7423"/>
      <w:r>
        <w:t>总经理职责</w:t>
      </w:r>
      <w:bookmarkEnd w:id="7"/>
    </w:p>
    <w:p w14:paraId="169B4C77">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依据公司发展战略，制定和实施公司中长期的发展战略，提升公司信息技术的应用水平和竞争优势。</w:t>
      </w:r>
    </w:p>
    <w:p w14:paraId="641BF94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负责制订并落实公司各项规章制度、改革方案、改革措施。</w:t>
      </w:r>
    </w:p>
    <w:p w14:paraId="396B1CFF">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负责公司IT系统的整体规划、设计、组建、实施，通过必要的升级、新技术引进或整合等手段，组建实施及维护公司当前的系统，并保持公司系统对业务的有效支持。</w:t>
      </w:r>
    </w:p>
    <w:p w14:paraId="181E7B5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主导企业文化建设的基本方向，提出公司组织机构设置方案。</w:t>
      </w:r>
    </w:p>
    <w:p w14:paraId="28FE1E1D">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负责公司内部各部门的组织管理，实施在职能权责内的人力资源管理，对公司的经济效益负责，拥有经营指挥权和各种资源分配权。</w:t>
      </w:r>
    </w:p>
    <w:p w14:paraId="50316746">
      <w:pPr>
        <w:pStyle w:val="21"/>
        <w:bidi w:val="0"/>
      </w:pPr>
      <w:bookmarkStart w:id="8" w:name="bookmark14"/>
      <w:bookmarkEnd w:id="8"/>
      <w:bookmarkStart w:id="9" w:name="_Toc9673"/>
      <w:r>
        <w:t>副总经理职责</w:t>
      </w:r>
      <w:bookmarkEnd w:id="9"/>
    </w:p>
    <w:p w14:paraId="2636910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负责项目实施和运维工作，组织项目实施计划、维护计划，项目实施团队建立和管理，项目实施进度和质量的监督和考核，项目执行过程中主要问题的协调和解决，维护体系的建立和执行；</w:t>
      </w:r>
    </w:p>
    <w:p w14:paraId="0A94B5FA">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负责分管部门的业务管理、工作执行、目标达成和考核、组织团队规划协调和建设及分管部门定期汇报；</w:t>
      </w:r>
    </w:p>
    <w:p w14:paraId="5115507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内部项目型工作的规范体系建设，项目内部开展的协调沟通工作，以及项目规范管理工作的组织实施和检查、考核工作；监督管理，监管督促项目实施维护工作的贯彻与执行；客户服务，提供客户服务渠道协调相关人员解决问题；</w:t>
      </w:r>
    </w:p>
    <w:p w14:paraId="6ABBB9A3">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及时掌握项目实施、运维进展和情况，定期向总经理汇报并通报其他相关部门，提出建议和意见；</w:t>
      </w:r>
    </w:p>
    <w:p w14:paraId="63D5DCDB">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负责编制项目费用预算、分管部门预算，经总经理审批后监督执行。</w:t>
      </w:r>
    </w:p>
    <w:p w14:paraId="574C1D27">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负责统筹规划应急相关事宜,指导运维服务部和质量中心更好的完成应急策划和应急演练。</w:t>
      </w:r>
    </w:p>
    <w:p w14:paraId="3CD7E205">
      <w:pPr>
        <w:pStyle w:val="21"/>
        <w:bidi w:val="0"/>
      </w:pPr>
      <w:bookmarkStart w:id="10" w:name="_Toc12214"/>
      <w:r>
        <w:t>综合管理部</w:t>
      </w:r>
      <w:bookmarkEnd w:id="10"/>
    </w:p>
    <w:p w14:paraId="5FF217A4">
      <w:pPr>
        <w:pStyle w:val="22"/>
        <w:bidi w:val="0"/>
      </w:pPr>
      <w:bookmarkStart w:id="11" w:name="_Toc11712"/>
      <w:r>
        <w:t>人力资源部</w:t>
      </w:r>
      <w:bookmarkEnd w:id="11"/>
    </w:p>
    <w:p w14:paraId="6750F64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依据公司规划和运维服务能力管理人员要求，负责编制公司各项人力资源管理制度，构建、完善公司的人力资源管理体系，确保运维技术人员具备应有的运维服务研发、实施、支持等能力。具体包括：</w:t>
      </w:r>
    </w:p>
    <w:p w14:paraId="20CC716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负责推进公司年度整体人力资源工作计划的制定，指导、监督各部门开展日常推进；</w:t>
      </w:r>
    </w:p>
    <w:p w14:paraId="7C901C3D">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根据公司年度人员规划，拓展招聘渠道，规范招聘流程，开展人员招聘</w:t>
      </w:r>
    </w:p>
    <w:p w14:paraId="0824C4EF">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参与公司组织结构调整，完善各部门职能，开展工作分析，制定工作流程，编制职位说明书；</w:t>
      </w:r>
    </w:p>
    <w:p w14:paraId="6FC24008">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bookmarkStart w:id="12" w:name="bookmark15"/>
      <w:bookmarkEnd w:id="12"/>
      <w:r>
        <w:rPr>
          <w:rFonts w:ascii="宋体" w:hAnsi="宋体" w:eastAsia="宋体" w:cs="宋体"/>
          <w:spacing w:val="-3"/>
          <w:sz w:val="24"/>
          <w:szCs w:val="24"/>
        </w:rPr>
        <w:t>负责制定公司的人才培养与储备制度，并根据年度人才策略开展人才培养系列活动；</w:t>
      </w:r>
    </w:p>
    <w:p w14:paraId="2119E93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负责编制年度员工分配预算，根据总额控制的原则对各部门的员工分配进行控制。</w:t>
      </w:r>
    </w:p>
    <w:p w14:paraId="7EB57376">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负责构建员工福利体系，开展员工社会保险、住房公积金的缴纳统筹，办理员工的补充医疗保险和员工年度体检等；</w:t>
      </w:r>
    </w:p>
    <w:p w14:paraId="47ED09A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负责制定公司的绩效管理体系，开展员工绩效考核，并参与公司对各事业部、各部门的绩效考核；</w:t>
      </w:r>
    </w:p>
    <w:p w14:paraId="7A1CC72D">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负责起草公司劳动合同文本，规范劳动合同管理流程，并根据实际情况开展劳动用工形式的规范管理。</w:t>
      </w:r>
    </w:p>
    <w:p w14:paraId="2C7C0100">
      <w:pPr>
        <w:pStyle w:val="21"/>
        <w:bidi w:val="0"/>
      </w:pPr>
      <w:bookmarkStart w:id="13" w:name="bookmark16"/>
      <w:bookmarkEnd w:id="13"/>
      <w:bookmarkStart w:id="14" w:name="_Toc21431"/>
      <w:r>
        <w:t>采购部</w:t>
      </w:r>
      <w:bookmarkEnd w:id="14"/>
    </w:p>
    <w:p w14:paraId="3575A953">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负责制订物资采购计划。</w:t>
      </w:r>
    </w:p>
    <w:p w14:paraId="790A5579">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保障质量目标的经济性，降低产品和运输费用。</w:t>
      </w:r>
    </w:p>
    <w:p w14:paraId="6E3AD25F">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组织制定与本部门核心职能相关的管理制度及工作流程；</w:t>
      </w:r>
    </w:p>
    <w:p w14:paraId="0600AFC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负责对备品备件部门提交的采购申请进行采购；</w:t>
      </w:r>
    </w:p>
    <w:p w14:paraId="64729EFE">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负责对运维服务部所需日常物资进行采购；</w:t>
      </w:r>
    </w:p>
    <w:p w14:paraId="7C9D65F9">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管理采购合同及供应商文件资料，建立供应商信息资源库；</w:t>
      </w:r>
    </w:p>
    <w:p w14:paraId="57B5438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制作、编写各类采购指标的统计报表；</w:t>
      </w:r>
    </w:p>
    <w:p w14:paraId="51A6107C">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完成领导交办的其他工作。</w:t>
      </w:r>
    </w:p>
    <w:p w14:paraId="5209469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对供应商进行评估考核。</w:t>
      </w:r>
    </w:p>
    <w:p w14:paraId="0E787517">
      <w:pPr>
        <w:pStyle w:val="21"/>
        <w:bidi w:val="0"/>
      </w:pPr>
      <w:bookmarkStart w:id="15" w:name="bookmark17"/>
      <w:bookmarkEnd w:id="15"/>
      <w:bookmarkStart w:id="16" w:name="_Toc20089"/>
      <w:r>
        <w:t>运维服务部</w:t>
      </w:r>
      <w:bookmarkEnd w:id="16"/>
    </w:p>
    <w:p w14:paraId="07C7DB1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各项目全生命周期管理,从项目立项到项目验收收款的全部环节的追踪、反馈、提醒等工作；负责各项目组过程的管控，确保各项目组具备公司要求的服务管理能力，确保运维服务管理过程在各项目组得到正确实施并发挥其效能，管控过程包括服务级别管理、服务报告管理、事件管理、问题管理、配置管理、变更管理、发布管理、信息安全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容量管理、过程框架设计管理、服务可用性和连续性管理</w:t>
      </w:r>
      <w:r>
        <w:rPr>
          <w:rFonts w:ascii="宋体" w:hAnsi="宋体" w:eastAsia="宋体" w:cs="宋体"/>
          <w:sz w:val="24"/>
          <w:szCs w:val="24"/>
        </w:rPr>
        <w:t>等过程。为公司各级管理者提供生产经营数据为各级管理者的各项决策提供基础数据支撑；提升公司内部管理的规范性和运行效率。</w:t>
      </w:r>
    </w:p>
    <w:p w14:paraId="695A20D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负责公司服务台、备件库以及</w:t>
      </w:r>
      <w:r>
        <w:rPr>
          <w:rFonts w:hint="eastAsia" w:ascii="宋体" w:hAnsi="宋体" w:eastAsia="宋体" w:cs="宋体"/>
          <w:sz w:val="24"/>
          <w:szCs w:val="24"/>
          <w:lang w:val="en-US" w:eastAsia="zh-CN"/>
        </w:rPr>
        <w:t>服务知识</w:t>
      </w:r>
      <w:r>
        <w:rPr>
          <w:rFonts w:ascii="宋体" w:hAnsi="宋体" w:eastAsia="宋体" w:cs="宋体"/>
          <w:sz w:val="24"/>
          <w:szCs w:val="24"/>
        </w:rPr>
        <w:t>的管理。</w:t>
      </w:r>
    </w:p>
    <w:p w14:paraId="35E83D1E">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项目软硬件运维项目的实施工作、售后工作；</w:t>
      </w:r>
    </w:p>
    <w:p w14:paraId="3CA7708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对公司运维服务项目的质量进行监控</w:t>
      </w:r>
    </w:p>
    <w:p w14:paraId="54E9E8D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公司内部数据中心、服务器、信息平台等系统运维工作；</w:t>
      </w:r>
    </w:p>
    <w:p w14:paraId="0FAD6CF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项目相关技术文档等管理工作；</w:t>
      </w:r>
    </w:p>
    <w:p w14:paraId="4126BC1B">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搭建并管理运维工具需要的软硬件环境，并按质量管理体系，对项目实施过程资料进行规范的配置管理；</w:t>
      </w:r>
    </w:p>
    <w:p w14:paraId="3A7EA2F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落实并不断充实、完善公司运维管理体系的具体内容，配合研发中心优化运维工具或系统的技术架构、系统架构；</w:t>
      </w:r>
    </w:p>
    <w:p w14:paraId="3481208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负责组织制定及维护公司运维服务目录。</w:t>
      </w:r>
    </w:p>
    <w:p w14:paraId="3AC8E22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是为客户提供运维交付的主体。</w:t>
      </w:r>
    </w:p>
    <w:p w14:paraId="56109F1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服务过程中应急事务的处理。</w:t>
      </w:r>
    </w:p>
    <w:p w14:paraId="6F30959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负责最终软件库及服务数据管理</w:t>
      </w:r>
    </w:p>
    <w:p w14:paraId="0F46EE6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负责从研发中心接收经过测试、验证和授权的最终版软件包</w:t>
      </w:r>
    </w:p>
    <w:p w14:paraId="20C05E2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管理软件的不同版本，确保只有正确的、被批准的版本才能部署到生产环境。</w:t>
      </w:r>
    </w:p>
    <w:p w14:paraId="11B0589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清理过期和废弃的版本。</w:t>
      </w:r>
    </w:p>
    <w:p w14:paraId="1526F78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定义需要被管理的数据，生命周期，责任人</w:t>
      </w:r>
    </w:p>
    <w:p w14:paraId="0EEA4EE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确保所有的服务数据的准确性、一致性和时效性</w:t>
      </w:r>
    </w:p>
    <w:p w14:paraId="2F58957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负责过程框架设计方案的设计和评审</w:t>
      </w:r>
      <w:bookmarkStart w:id="24" w:name="_GoBack"/>
      <w:bookmarkEnd w:id="24"/>
    </w:p>
    <w:p w14:paraId="45A63AC4">
      <w:pPr>
        <w:pStyle w:val="22"/>
        <w:bidi w:val="0"/>
      </w:pPr>
      <w:bookmarkStart w:id="17" w:name="_Toc13650"/>
      <w:r>
        <w:t>服务台</w:t>
      </w:r>
      <w:bookmarkEnd w:id="17"/>
    </w:p>
    <w:p w14:paraId="61511C6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服务台的运行与维护，接受项目组、客户、运维人员的运行维护服务请求，并形成相应请求记录，及时跟踪服务请求的处理进展。同时开展客户满意度调查，客户回访，客户投诉等，同时负责对服务台服务流程的调研与反馈。</w:t>
      </w:r>
    </w:p>
    <w:p w14:paraId="28DF0CC1">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bookmarkStart w:id="18" w:name="bookmark18"/>
      <w:bookmarkEnd w:id="18"/>
      <w:r>
        <w:rPr>
          <w:rFonts w:ascii="宋体" w:hAnsi="宋体" w:eastAsia="宋体" w:cs="宋体"/>
          <w:sz w:val="24"/>
          <w:szCs w:val="24"/>
        </w:rPr>
        <w:t>持续优化运维服务台管理制度，开展对服务台人员的培训工作与考核；</w:t>
      </w:r>
    </w:p>
    <w:p w14:paraId="24923BA6">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负责服务台的运作，使用有效手段和方法受理需方的运行维护服务请求，及时跟踪服务请求的处理进展；</w:t>
      </w:r>
    </w:p>
    <w:p w14:paraId="1B956D54">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负责处理用户服务突发性公众事件、参与用户反馈意见的分析和处理；</w:t>
      </w:r>
    </w:p>
    <w:p w14:paraId="321576F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配合质量中心负责顾客满意度信息的收集，为改进服务质量提供依据；</w:t>
      </w:r>
    </w:p>
    <w:p w14:paraId="31075A3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负责日常事件和问题的录入工作；</w:t>
      </w:r>
    </w:p>
    <w:p w14:paraId="2953159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负责将现场反馈的问题进行分类指派相应的人员进行处理；</w:t>
      </w:r>
    </w:p>
    <w:p w14:paraId="553B8495">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负责用户的服务请求，解答用户的疑问，提供客户咨询和建议；</w:t>
      </w:r>
    </w:p>
    <w:p w14:paraId="464A5E30">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负责故障处理过程中对约定服务级别进行预警和告警；</w:t>
      </w:r>
    </w:p>
    <w:p w14:paraId="2A5DC314">
      <w:pPr>
        <w:pStyle w:val="22"/>
        <w:bidi w:val="0"/>
      </w:pPr>
      <w:bookmarkStart w:id="19" w:name="_Toc25933"/>
      <w:r>
        <w:t>备件库</w:t>
      </w:r>
      <w:bookmarkEnd w:id="19"/>
    </w:p>
    <w:p w14:paraId="5C74C97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1) 负责组织制定备品备件的管理实施细则及备品备件配置标准；</w:t>
      </w:r>
    </w:p>
    <w:p w14:paraId="5C221736">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2) 根据运维服务部提交备品备件更换申请，做备件的准备及出库工作；</w:t>
      </w:r>
    </w:p>
    <w:p w14:paraId="677F7B26">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3) 制定备品备件库存管理计划，对紧缺物资进行统计、汇总，向采购部提交申请；</w:t>
      </w:r>
    </w:p>
    <w:p w14:paraId="6905C675">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4) 对采购部所采物资进行入库登记、物品归类整理，并负责对运维服务部备品的信息管理，发布公司备品备件信息。</w:t>
      </w:r>
    </w:p>
    <w:p w14:paraId="1D311969">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5) 对库存物品定期进行盘点，组织技术人员对备品备件进行检测。</w:t>
      </w:r>
    </w:p>
    <w:p w14:paraId="789999FF">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6) 备品库根据出库数量，库存变化，应急事件等发生频次进行统计分析并提交报告。</w:t>
      </w:r>
    </w:p>
    <w:p w14:paraId="28A95DDA">
      <w:pPr>
        <w:pStyle w:val="22"/>
        <w:bidi w:val="0"/>
        <w:rPr>
          <w:rFonts w:hint="default"/>
          <w:lang w:val="en-US"/>
        </w:rPr>
      </w:pPr>
      <w:bookmarkStart w:id="20" w:name="_Toc12342"/>
      <w:r>
        <w:rPr>
          <w:rFonts w:hint="eastAsia"/>
          <w:lang w:val="en-US" w:eastAsia="zh-CN"/>
        </w:rPr>
        <w:t>服务知识</w:t>
      </w:r>
      <w:bookmarkEnd w:id="20"/>
    </w:p>
    <w:p w14:paraId="59CACD1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对知识收集、分析、生成、提交</w:t>
      </w:r>
    </w:p>
    <w:p w14:paraId="4E07A410">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对知识管理流程提出改进、优化建议</w:t>
      </w:r>
    </w:p>
    <w:p w14:paraId="601F86B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回顾整理服务知识中的知识；负责知识的汇总及分类整理</w:t>
      </w:r>
    </w:p>
    <w:p w14:paraId="426BAFAA">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对知识进行审核；确保知识可用于实际维护中，不会出现破坏性副作用。</w:t>
      </w:r>
    </w:p>
    <w:p w14:paraId="178E8157">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val="en-US" w:eastAsia="zh-CN"/>
        </w:rPr>
        <w:t>监督知识质量、深度，包括知识信息的更新，加强知识生成，产生新的知识，促进知识共享的过程。</w:t>
      </w:r>
    </w:p>
    <w:p w14:paraId="788DA67F">
      <w:pPr>
        <w:pStyle w:val="21"/>
        <w:bidi w:val="0"/>
      </w:pPr>
      <w:bookmarkStart w:id="21" w:name="_Toc26015"/>
      <w:r>
        <w:t>质量中心</w:t>
      </w:r>
      <w:bookmarkEnd w:id="21"/>
    </w:p>
    <w:p w14:paraId="17450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从满足公司业务需求和运维服务能力管理要求出发，通过制定质量服务政策，设定质量服务目标，制定质量管理计划，协调资源、落实人员角色和职责，管理风险和持续改进等方法，领导和开展各项服务能力管理活动。</w:t>
      </w:r>
    </w:p>
    <w:p w14:paraId="58E5B83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质量中心负责组织对运维服务能力管理体系（包括流程）的检查回顾，落实相应的改进工作，提高公司服务能力管理的有效性。</w:t>
      </w:r>
    </w:p>
    <w:p w14:paraId="714D6616">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负责定期对公司运维服务管理体系进行内部评审，对内审中发现的问题进行跟踪记录，负责项目改进措施的监督及检查。</w:t>
      </w:r>
    </w:p>
    <w:p w14:paraId="49F6BE4E">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负责管理评审工作的开展，并出具相关的计划以及报告。</w:t>
      </w:r>
    </w:p>
    <w:p w14:paraId="6CC58DB6">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负责组织级客户满意度的调查，投诉。</w:t>
      </w:r>
    </w:p>
    <w:p w14:paraId="4B4FCB93">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负责公司资质的管理和维护，并作为牵头部门负责相关资质的申报、年审、中期调查等相关事宜，确保公司业务的顺利开展。</w:t>
      </w:r>
    </w:p>
    <w:p w14:paraId="5D7B231C">
      <w:pPr>
        <w:pStyle w:val="21"/>
        <w:bidi w:val="0"/>
      </w:pPr>
      <w:bookmarkStart w:id="22" w:name="_Toc20204"/>
      <w:r>
        <w:t>研发中心</w:t>
      </w:r>
      <w:bookmarkEnd w:id="22"/>
    </w:p>
    <w:p w14:paraId="62EFFF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研发中心根据业务和市场分析，根据运维服务能力管理要求，制定研发规划，包括新技术和前沿技术的应用、技术储备等。同时，研发中心对内负责公司运维类产品或运维工具的研发,提供运维技术支持和支撑，具体如下：</w:t>
      </w:r>
    </w:p>
    <w:p w14:paraId="49FEA589">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跟踪运维技术发展，根据公司运维业务发展需要开发运维管理工具、发现问题的技术和解决问题的技术；</w:t>
      </w:r>
    </w:p>
    <w:p w14:paraId="1B81441A">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负责将用户前期的业务需求转化为软件可实现的需求；</w:t>
      </w:r>
    </w:p>
    <w:p w14:paraId="5D245C03">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负责新产品的评审、规划工作；</w:t>
      </w:r>
    </w:p>
    <w:p w14:paraId="101B3290">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负责制定现有产品的发展方向和开发计划；</w:t>
      </w:r>
    </w:p>
    <w:p w14:paraId="6B42F867">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负责产品/模块的架构规划和前期设计；</w:t>
      </w:r>
    </w:p>
    <w:p w14:paraId="309E1EE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建设和培养研发相关的技术队伍，组织公司内外的产品技术培训；</w:t>
      </w:r>
    </w:p>
    <w:p w14:paraId="5C187219">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负责研发部门及人员考核。</w:t>
      </w:r>
    </w:p>
    <w:p w14:paraId="3537F90E">
      <w:pPr>
        <w:pStyle w:val="21"/>
        <w:bidi w:val="0"/>
      </w:pPr>
      <w:bookmarkStart w:id="23" w:name="_Toc21145"/>
      <w:r>
        <w:t>应急管理小组</w:t>
      </w:r>
      <w:bookmarkEnd w:id="23"/>
    </w:p>
    <w:p w14:paraId="07C841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成立由副总担任组长的应急管理小组</w:t>
      </w:r>
      <w:r>
        <w:rPr>
          <w:rFonts w:ascii="宋体" w:hAnsi="宋体" w:eastAsia="宋体" w:cs="宋体"/>
          <w:sz w:val="24"/>
          <w:szCs w:val="24"/>
        </w:rPr>
        <w:t>，</w:t>
      </w:r>
      <w:r>
        <w:rPr>
          <w:rFonts w:hint="eastAsia" w:ascii="宋体" w:hAnsi="宋体" w:eastAsia="宋体" w:cs="宋体"/>
          <w:sz w:val="24"/>
          <w:szCs w:val="24"/>
          <w:lang w:val="en-US" w:eastAsia="zh-CN"/>
        </w:rPr>
        <w:t>主要工作成员包括质量中心组长和组员。</w:t>
      </w:r>
      <w:r>
        <w:rPr>
          <w:rFonts w:ascii="宋体" w:hAnsi="宋体" w:eastAsia="宋体" w:cs="宋体"/>
          <w:sz w:val="24"/>
          <w:szCs w:val="24"/>
        </w:rPr>
        <w:t>及时处理应急响应事件，为运维服务部提供技术支撑，具体如下：</w:t>
      </w:r>
    </w:p>
    <w:p w14:paraId="10C5ABCA">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根据不同类型的突发事件，制定详细的应急预案，确保事件发生时能够快速反应。</w:t>
      </w:r>
    </w:p>
    <w:p w14:paraId="2070E114">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ascii="宋体" w:hAnsi="宋体" w:eastAsia="宋体" w:cs="宋体"/>
          <w:sz w:val="24"/>
          <w:szCs w:val="24"/>
        </w:rPr>
        <w:t>定期组织应急演练，提高各部门协作能力和应急反应能力。</w:t>
      </w:r>
    </w:p>
    <w:p w14:paraId="2BEB5108">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应急响应事件结束后,组织对应急响应的评估,总结经验,完善应急预案,提供应急管理能力。</w:t>
      </w:r>
    </w:p>
    <w:p w14:paraId="3EB2C3DE">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建立信息收集机制，及时获取突发事件的信息，进行分析和研判，为决策提供依据。</w:t>
      </w:r>
    </w:p>
    <w:p w14:paraId="27122C06">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及时向客户发布信息，消除客户恐慌情绪，增强客户安全意识。</w:t>
      </w:r>
    </w:p>
    <w:sectPr>
      <w:footerReference r:id="rId7" w:type="default"/>
      <w:pgSz w:w="11912" w:h="16841"/>
      <w:pgMar w:top="1385" w:right="1786" w:bottom="1714" w:left="1768" w:header="0" w:footer="144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B6C27">
    <w:pPr>
      <w:spacing w:before="73" w:line="223" w:lineRule="auto"/>
      <w:ind w:left="4146"/>
      <w:rPr>
        <w:rFonts w:ascii="Times New Roman" w:hAnsi="Times New Roman" w:eastAsia="Times New Roman" w:cs="Times New Roman"/>
        <w:sz w:val="18"/>
        <w:szCs w:val="18"/>
      </w:rPr>
    </w:pPr>
    <w:r>
      <w:pict>
        <v:shape id="_x0000_s4097" o:spid="_x0000_s4097" style="position:absolute;left:0pt;margin-left:88.4pt;margin-top:756.3pt;height:0.5pt;width:417pt;mso-position-horizontal-relative:page;mso-position-vertical-relative:page;z-index:251660288;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38D14">
    <w:pPr>
      <w:spacing w:before="73" w:line="223" w:lineRule="auto"/>
      <w:ind w:left="4211"/>
      <w:rPr>
        <w:rFonts w:ascii="Times New Roman" w:hAnsi="Times New Roman" w:eastAsia="Times New Roman" w:cs="Times New Roman"/>
        <w:sz w:val="18"/>
        <w:szCs w:val="18"/>
      </w:rPr>
    </w:pPr>
    <w:r>
      <w:pict>
        <v:shape id="_x0000_s4098" o:spid="_x0000_s4098" style="position:absolute;left:0pt;margin-left:88.4pt;margin-top:756.3pt;height:0.5pt;width:417pt;mso-position-horizontal-relative:page;mso-position-vertical-relative:page;z-index:251661312;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82660">
    <w:pPr>
      <w:spacing w:before="73" w:line="220" w:lineRule="auto"/>
      <w:ind w:left="4132"/>
      <w:rPr>
        <w:rFonts w:ascii="Times New Roman" w:hAnsi="Times New Roman" w:eastAsia="Times New Roman" w:cs="Times New Roman"/>
        <w:sz w:val="18"/>
        <w:szCs w:val="18"/>
      </w:rPr>
    </w:pPr>
    <w:r>
      <w:pict>
        <v:shape id="_x0000_s4101" o:spid="_x0000_s4101" style="position:absolute;left:0pt;margin-left:88.4pt;margin-top:756.3pt;height:0.5pt;width:417pt;mso-position-horizontal-relative:page;mso-position-vertical-relative:page;z-index:251662336;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4B8BD"/>
    <w:multiLevelType w:val="singleLevel"/>
    <w:tmpl w:val="8764B8BD"/>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964FE1DF"/>
    <w:multiLevelType w:val="singleLevel"/>
    <w:tmpl w:val="964FE1DF"/>
    <w:lvl w:ilvl="0" w:tentative="0">
      <w:start w:val="1"/>
      <w:numFmt w:val="decimal"/>
      <w:lvlText w:val="(%1)"/>
      <w:lvlJc w:val="left"/>
      <w:pPr>
        <w:ind w:left="425" w:hanging="425"/>
      </w:pPr>
      <w:rPr>
        <w:rFonts w:hint="default"/>
      </w:rPr>
    </w:lvl>
  </w:abstractNum>
  <w:abstractNum w:abstractNumId="3">
    <w:nsid w:val="A6514C48"/>
    <w:multiLevelType w:val="singleLevel"/>
    <w:tmpl w:val="A6514C48"/>
    <w:lvl w:ilvl="0" w:tentative="0">
      <w:start w:val="1"/>
      <w:numFmt w:val="decimal"/>
      <w:lvlText w:val="(%1)"/>
      <w:lvlJc w:val="left"/>
      <w:pPr>
        <w:ind w:left="425" w:hanging="425"/>
      </w:pPr>
      <w:rPr>
        <w:rFonts w:hint="default"/>
      </w:rPr>
    </w:lvl>
  </w:abstractNum>
  <w:abstractNum w:abstractNumId="4">
    <w:nsid w:val="CFBD5F7C"/>
    <w:multiLevelType w:val="singleLevel"/>
    <w:tmpl w:val="CFBD5F7C"/>
    <w:lvl w:ilvl="0" w:tentative="0">
      <w:start w:val="1"/>
      <w:numFmt w:val="decimal"/>
      <w:lvlText w:val="(%1)"/>
      <w:lvlJc w:val="left"/>
      <w:pPr>
        <w:ind w:left="425" w:hanging="425"/>
      </w:pPr>
      <w:rPr>
        <w:rFonts w:hint="default"/>
      </w:rPr>
    </w:lvl>
  </w:abstractNum>
  <w:abstractNum w:abstractNumId="5">
    <w:nsid w:val="EE5F2F3A"/>
    <w:multiLevelType w:val="singleLevel"/>
    <w:tmpl w:val="EE5F2F3A"/>
    <w:lvl w:ilvl="0" w:tentative="0">
      <w:start w:val="1"/>
      <w:numFmt w:val="decimal"/>
      <w:lvlText w:val="(%1)"/>
      <w:lvlJc w:val="left"/>
      <w:pPr>
        <w:ind w:left="425" w:hanging="425"/>
      </w:pPr>
      <w:rPr>
        <w:rFonts w:hint="default"/>
      </w:rPr>
    </w:lvl>
  </w:abstractNum>
  <w:abstractNum w:abstractNumId="6">
    <w:nsid w:val="17773940"/>
    <w:multiLevelType w:val="singleLevel"/>
    <w:tmpl w:val="17773940"/>
    <w:lvl w:ilvl="0" w:tentative="0">
      <w:start w:val="1"/>
      <w:numFmt w:val="decimal"/>
      <w:lvlText w:val="(%1)"/>
      <w:lvlJc w:val="left"/>
      <w:pPr>
        <w:ind w:left="425" w:hanging="425"/>
      </w:pPr>
      <w:rPr>
        <w:rFonts w:hint="default"/>
      </w:rPr>
    </w:lvl>
  </w:abstractNum>
  <w:abstractNum w:abstractNumId="7">
    <w:nsid w:val="28266714"/>
    <w:multiLevelType w:val="singleLevel"/>
    <w:tmpl w:val="28266714"/>
    <w:lvl w:ilvl="0" w:tentative="0">
      <w:start w:val="1"/>
      <w:numFmt w:val="decimal"/>
      <w:lvlText w:val="(%1)"/>
      <w:lvlJc w:val="left"/>
      <w:pPr>
        <w:ind w:left="425" w:hanging="425"/>
      </w:pPr>
      <w:rPr>
        <w:rFonts w:hint="default"/>
      </w:rPr>
    </w:lvl>
  </w:abstractNum>
  <w:abstractNum w:abstractNumId="8">
    <w:nsid w:val="3A82F8B4"/>
    <w:multiLevelType w:val="singleLevel"/>
    <w:tmpl w:val="3A82F8B4"/>
    <w:lvl w:ilvl="0" w:tentative="0">
      <w:start w:val="1"/>
      <w:numFmt w:val="decimal"/>
      <w:lvlText w:val="(%1)"/>
      <w:lvlJc w:val="left"/>
      <w:pPr>
        <w:ind w:left="425" w:hanging="425"/>
      </w:pPr>
      <w:rPr>
        <w:rFonts w:hint="default"/>
      </w:rPr>
    </w:lvl>
  </w:abstractNum>
  <w:abstractNum w:abstractNumId="9">
    <w:nsid w:val="53C199DA"/>
    <w:multiLevelType w:val="singleLevel"/>
    <w:tmpl w:val="53C199DA"/>
    <w:lvl w:ilvl="0" w:tentative="0">
      <w:start w:val="1"/>
      <w:numFmt w:val="decimal"/>
      <w:lvlText w:val="(%1)"/>
      <w:lvlJc w:val="left"/>
      <w:pPr>
        <w:ind w:left="425" w:hanging="425"/>
      </w:pPr>
      <w:rPr>
        <w:rFonts w:hint="default"/>
      </w:rPr>
    </w:lvl>
  </w:abstractNum>
  <w:abstractNum w:abstractNumId="10">
    <w:nsid w:val="75A0620E"/>
    <w:multiLevelType w:val="singleLevel"/>
    <w:tmpl w:val="75A0620E"/>
    <w:lvl w:ilvl="0" w:tentative="0">
      <w:start w:val="1"/>
      <w:numFmt w:val="decimal"/>
      <w:lvlText w:val="(%1)"/>
      <w:lvlJc w:val="left"/>
      <w:pPr>
        <w:ind w:left="425" w:hanging="425"/>
      </w:pPr>
      <w:rPr>
        <w:rFonts w:hint="default"/>
      </w:rPr>
    </w:lvl>
  </w:abstractNum>
  <w:num w:numId="1">
    <w:abstractNumId w:val="1"/>
  </w:num>
  <w:num w:numId="2">
    <w:abstractNumId w:val="6"/>
  </w:num>
  <w:num w:numId="3">
    <w:abstractNumId w:val="0"/>
  </w:num>
  <w:num w:numId="4">
    <w:abstractNumId w:val="5"/>
  </w:num>
  <w:num w:numId="5">
    <w:abstractNumId w:val="2"/>
  </w:num>
  <w:num w:numId="6">
    <w:abstractNumId w:val="3"/>
  </w:num>
  <w:num w:numId="7">
    <w:abstractNumId w:val="4"/>
  </w:num>
  <w:num w:numId="8">
    <w:abstractNumId w:val="10"/>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50638A"/>
    <w:rsid w:val="005A0FB6"/>
    <w:rsid w:val="009F5EE4"/>
    <w:rsid w:val="00DC5E6F"/>
    <w:rsid w:val="00F1191B"/>
    <w:rsid w:val="00F4210C"/>
    <w:rsid w:val="01483505"/>
    <w:rsid w:val="021B4775"/>
    <w:rsid w:val="02581525"/>
    <w:rsid w:val="02D2752A"/>
    <w:rsid w:val="03A51E14"/>
    <w:rsid w:val="03BB7FBE"/>
    <w:rsid w:val="043D55F3"/>
    <w:rsid w:val="044C50BA"/>
    <w:rsid w:val="04622F71"/>
    <w:rsid w:val="04FC24E9"/>
    <w:rsid w:val="050F68B9"/>
    <w:rsid w:val="07B0406E"/>
    <w:rsid w:val="0822089A"/>
    <w:rsid w:val="08517143"/>
    <w:rsid w:val="08861368"/>
    <w:rsid w:val="08C72F61"/>
    <w:rsid w:val="091F0FEF"/>
    <w:rsid w:val="09570789"/>
    <w:rsid w:val="0A726EFC"/>
    <w:rsid w:val="0AAD3D30"/>
    <w:rsid w:val="0B470389"/>
    <w:rsid w:val="0B674587"/>
    <w:rsid w:val="0C0B585A"/>
    <w:rsid w:val="0C0D15D3"/>
    <w:rsid w:val="0C5E1E2E"/>
    <w:rsid w:val="0C776A4C"/>
    <w:rsid w:val="0C8B67F7"/>
    <w:rsid w:val="0E5A03D3"/>
    <w:rsid w:val="0E963B01"/>
    <w:rsid w:val="0EB9159E"/>
    <w:rsid w:val="0ED70AFC"/>
    <w:rsid w:val="0F7B0FFF"/>
    <w:rsid w:val="0FE64614"/>
    <w:rsid w:val="11A3317D"/>
    <w:rsid w:val="11F052D6"/>
    <w:rsid w:val="13262F2F"/>
    <w:rsid w:val="13985C26"/>
    <w:rsid w:val="13C14BEF"/>
    <w:rsid w:val="13CE7899"/>
    <w:rsid w:val="13E470BD"/>
    <w:rsid w:val="140212F1"/>
    <w:rsid w:val="14ED5620"/>
    <w:rsid w:val="16563778"/>
    <w:rsid w:val="167C538B"/>
    <w:rsid w:val="170B4961"/>
    <w:rsid w:val="1723614E"/>
    <w:rsid w:val="17EF6030"/>
    <w:rsid w:val="18680600"/>
    <w:rsid w:val="189A5F9C"/>
    <w:rsid w:val="18AB1F57"/>
    <w:rsid w:val="19DB061A"/>
    <w:rsid w:val="19DB4ABE"/>
    <w:rsid w:val="1A07140F"/>
    <w:rsid w:val="1AA650CC"/>
    <w:rsid w:val="1BAE7CE5"/>
    <w:rsid w:val="1CDD28FB"/>
    <w:rsid w:val="1D383FD6"/>
    <w:rsid w:val="1E674B72"/>
    <w:rsid w:val="1EAA1AE8"/>
    <w:rsid w:val="1EE10CEA"/>
    <w:rsid w:val="1F9C084C"/>
    <w:rsid w:val="1FB97650"/>
    <w:rsid w:val="20230F6D"/>
    <w:rsid w:val="20DB1848"/>
    <w:rsid w:val="21130FE1"/>
    <w:rsid w:val="21D7200F"/>
    <w:rsid w:val="221A6AB3"/>
    <w:rsid w:val="224649A4"/>
    <w:rsid w:val="23352DB5"/>
    <w:rsid w:val="23C95CE8"/>
    <w:rsid w:val="24042E63"/>
    <w:rsid w:val="2430155A"/>
    <w:rsid w:val="243E6375"/>
    <w:rsid w:val="24AB32DF"/>
    <w:rsid w:val="251A0B90"/>
    <w:rsid w:val="25D845A8"/>
    <w:rsid w:val="260E1D77"/>
    <w:rsid w:val="26361ABD"/>
    <w:rsid w:val="2690587F"/>
    <w:rsid w:val="27A42993"/>
    <w:rsid w:val="288366C9"/>
    <w:rsid w:val="28B906C0"/>
    <w:rsid w:val="293935AF"/>
    <w:rsid w:val="2A3E70CF"/>
    <w:rsid w:val="2A7F29B1"/>
    <w:rsid w:val="2AAB4039"/>
    <w:rsid w:val="2ACD2201"/>
    <w:rsid w:val="2BDC616D"/>
    <w:rsid w:val="2BFA6E1B"/>
    <w:rsid w:val="2C1D0F66"/>
    <w:rsid w:val="2C7212B2"/>
    <w:rsid w:val="2C81312E"/>
    <w:rsid w:val="2C867DBF"/>
    <w:rsid w:val="2CA376BD"/>
    <w:rsid w:val="2CD755B9"/>
    <w:rsid w:val="2D4A7B39"/>
    <w:rsid w:val="2D4F33A1"/>
    <w:rsid w:val="2DF61D27"/>
    <w:rsid w:val="2E0C3040"/>
    <w:rsid w:val="2E9737E8"/>
    <w:rsid w:val="2E9B34FE"/>
    <w:rsid w:val="2ED00512"/>
    <w:rsid w:val="2EDC0C65"/>
    <w:rsid w:val="2F9C6646"/>
    <w:rsid w:val="2FC247D6"/>
    <w:rsid w:val="30B17ECF"/>
    <w:rsid w:val="30ED7159"/>
    <w:rsid w:val="32736503"/>
    <w:rsid w:val="32F80BBE"/>
    <w:rsid w:val="335C05C6"/>
    <w:rsid w:val="337A6C9E"/>
    <w:rsid w:val="33994469"/>
    <w:rsid w:val="344E7738"/>
    <w:rsid w:val="34CA155F"/>
    <w:rsid w:val="34E16FD5"/>
    <w:rsid w:val="35725E7F"/>
    <w:rsid w:val="35CB37E1"/>
    <w:rsid w:val="36CF6403"/>
    <w:rsid w:val="37272367"/>
    <w:rsid w:val="373D070E"/>
    <w:rsid w:val="374C2700"/>
    <w:rsid w:val="37533157"/>
    <w:rsid w:val="386473A8"/>
    <w:rsid w:val="387168C2"/>
    <w:rsid w:val="38C324D5"/>
    <w:rsid w:val="38F512A1"/>
    <w:rsid w:val="390A24E3"/>
    <w:rsid w:val="391A0D07"/>
    <w:rsid w:val="393F076E"/>
    <w:rsid w:val="3A9B5E78"/>
    <w:rsid w:val="3AD924FC"/>
    <w:rsid w:val="3ADC1619"/>
    <w:rsid w:val="3AFE01B5"/>
    <w:rsid w:val="3B457B92"/>
    <w:rsid w:val="3BA945C4"/>
    <w:rsid w:val="3BB16FD5"/>
    <w:rsid w:val="3C771FCD"/>
    <w:rsid w:val="3D2828A4"/>
    <w:rsid w:val="3DA52B6A"/>
    <w:rsid w:val="3DDA0A65"/>
    <w:rsid w:val="3DF5589F"/>
    <w:rsid w:val="3E946E66"/>
    <w:rsid w:val="3F1E2BD3"/>
    <w:rsid w:val="409F74C9"/>
    <w:rsid w:val="414F3518"/>
    <w:rsid w:val="41850CE8"/>
    <w:rsid w:val="43030A5E"/>
    <w:rsid w:val="43462E94"/>
    <w:rsid w:val="43CB32AB"/>
    <w:rsid w:val="444529B0"/>
    <w:rsid w:val="446612A5"/>
    <w:rsid w:val="44A973E3"/>
    <w:rsid w:val="44DE1833"/>
    <w:rsid w:val="44FC7513"/>
    <w:rsid w:val="464E1FF0"/>
    <w:rsid w:val="46561334"/>
    <w:rsid w:val="466E4440"/>
    <w:rsid w:val="467C4DAF"/>
    <w:rsid w:val="467F0CF9"/>
    <w:rsid w:val="47863A0C"/>
    <w:rsid w:val="47C06F1E"/>
    <w:rsid w:val="48457423"/>
    <w:rsid w:val="485927D9"/>
    <w:rsid w:val="48C32A69"/>
    <w:rsid w:val="494A2C73"/>
    <w:rsid w:val="4A050C18"/>
    <w:rsid w:val="4AA21D90"/>
    <w:rsid w:val="4B775B45"/>
    <w:rsid w:val="4BD96800"/>
    <w:rsid w:val="4C07336D"/>
    <w:rsid w:val="4DAB5F7A"/>
    <w:rsid w:val="4E8642F1"/>
    <w:rsid w:val="4EC5306C"/>
    <w:rsid w:val="4EE47996"/>
    <w:rsid w:val="4F3855EC"/>
    <w:rsid w:val="4FC652ED"/>
    <w:rsid w:val="508F3931"/>
    <w:rsid w:val="511B51C5"/>
    <w:rsid w:val="51295B34"/>
    <w:rsid w:val="5181771E"/>
    <w:rsid w:val="52081BED"/>
    <w:rsid w:val="52854FEC"/>
    <w:rsid w:val="52880638"/>
    <w:rsid w:val="52990003"/>
    <w:rsid w:val="52DE7BA0"/>
    <w:rsid w:val="53D73DC2"/>
    <w:rsid w:val="53E04BF9"/>
    <w:rsid w:val="5435330D"/>
    <w:rsid w:val="54BE2C75"/>
    <w:rsid w:val="553B5E36"/>
    <w:rsid w:val="557E5D22"/>
    <w:rsid w:val="55DB4F23"/>
    <w:rsid w:val="57330EA4"/>
    <w:rsid w:val="57925AB5"/>
    <w:rsid w:val="57991466"/>
    <w:rsid w:val="58FF0A24"/>
    <w:rsid w:val="592F54BC"/>
    <w:rsid w:val="593B4656"/>
    <w:rsid w:val="59B9557B"/>
    <w:rsid w:val="5C270EC2"/>
    <w:rsid w:val="5CD94297"/>
    <w:rsid w:val="5D4B6E32"/>
    <w:rsid w:val="5D59154F"/>
    <w:rsid w:val="5D66355C"/>
    <w:rsid w:val="5D717F0E"/>
    <w:rsid w:val="5D7F0889"/>
    <w:rsid w:val="5E2D4789"/>
    <w:rsid w:val="5EF036AA"/>
    <w:rsid w:val="5F096FA4"/>
    <w:rsid w:val="5F221E14"/>
    <w:rsid w:val="5F2D4A41"/>
    <w:rsid w:val="60B3541A"/>
    <w:rsid w:val="60C767CF"/>
    <w:rsid w:val="60E51267"/>
    <w:rsid w:val="61007F33"/>
    <w:rsid w:val="61C513E2"/>
    <w:rsid w:val="61F25ACE"/>
    <w:rsid w:val="624125B1"/>
    <w:rsid w:val="62A3326C"/>
    <w:rsid w:val="634E31D8"/>
    <w:rsid w:val="63F92197"/>
    <w:rsid w:val="63FC68D1"/>
    <w:rsid w:val="648F5856"/>
    <w:rsid w:val="64B41760"/>
    <w:rsid w:val="64F25DE5"/>
    <w:rsid w:val="65052EDF"/>
    <w:rsid w:val="650A20A2"/>
    <w:rsid w:val="65F21726"/>
    <w:rsid w:val="67024A05"/>
    <w:rsid w:val="67204E8B"/>
    <w:rsid w:val="675D5D57"/>
    <w:rsid w:val="69017896"/>
    <w:rsid w:val="69B664CA"/>
    <w:rsid w:val="6A3A6264"/>
    <w:rsid w:val="6A6B0B13"/>
    <w:rsid w:val="6AC10733"/>
    <w:rsid w:val="6B0A3E88"/>
    <w:rsid w:val="6B217424"/>
    <w:rsid w:val="6B427AC6"/>
    <w:rsid w:val="6B4D0219"/>
    <w:rsid w:val="6C07661A"/>
    <w:rsid w:val="6C2A5C61"/>
    <w:rsid w:val="6C5F0204"/>
    <w:rsid w:val="6CBE4DDA"/>
    <w:rsid w:val="6CD91C43"/>
    <w:rsid w:val="6D2154B9"/>
    <w:rsid w:val="6D392803"/>
    <w:rsid w:val="6D4713C4"/>
    <w:rsid w:val="6E0E76C9"/>
    <w:rsid w:val="6E264AB5"/>
    <w:rsid w:val="6E991F9F"/>
    <w:rsid w:val="6F190B3E"/>
    <w:rsid w:val="6F3B4F58"/>
    <w:rsid w:val="6FF9271D"/>
    <w:rsid w:val="70A94143"/>
    <w:rsid w:val="70AC59E2"/>
    <w:rsid w:val="7101188A"/>
    <w:rsid w:val="711041C2"/>
    <w:rsid w:val="71D92AF9"/>
    <w:rsid w:val="73774085"/>
    <w:rsid w:val="73EF1E6D"/>
    <w:rsid w:val="748536C3"/>
    <w:rsid w:val="749B2AF9"/>
    <w:rsid w:val="74BD4A2C"/>
    <w:rsid w:val="75703482"/>
    <w:rsid w:val="764C17F9"/>
    <w:rsid w:val="76E61C4D"/>
    <w:rsid w:val="7706409E"/>
    <w:rsid w:val="77304C77"/>
    <w:rsid w:val="775D3592"/>
    <w:rsid w:val="78372035"/>
    <w:rsid w:val="78DA7EF9"/>
    <w:rsid w:val="797B41A3"/>
    <w:rsid w:val="79BC0A44"/>
    <w:rsid w:val="7A635363"/>
    <w:rsid w:val="7A907F98"/>
    <w:rsid w:val="7B0F1047"/>
    <w:rsid w:val="7B5B428C"/>
    <w:rsid w:val="7C71106C"/>
    <w:rsid w:val="7C977546"/>
    <w:rsid w:val="7D2F3C22"/>
    <w:rsid w:val="7E4454AB"/>
    <w:rsid w:val="7F2276EE"/>
    <w:rsid w:val="7F6B25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3614</Words>
  <Characters>3710</Characters>
  <TotalTime>0</TotalTime>
  <ScaleCrop>false</ScaleCrop>
  <LinksUpToDate>false</LinksUpToDate>
  <CharactersWithSpaces>3784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2025-08-17T23:17:00Z</dcterms:created>
  <dc:creator>admin</dc:creator>
  <cp:lastModifiedBy>郝宇</cp:lastModifiedBy>
  <dcterms:modified xsi:type="dcterms:W3CDTF">2025-08-27T02:56:00Z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2025-08-17T23:26:43Z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A97094D35EC745A798B0B15DB1AC0F0E_12</vt:lpwstr>
  </property>
</Properties>
</file>