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26B6C">
      <w:pPr>
        <w:pStyle w:val="11"/>
        <w:spacing w:line="252" w:lineRule="auto"/>
      </w:pPr>
    </w:p>
    <w:p w14:paraId="1F184CC9">
      <w:pPr>
        <w:pStyle w:val="11"/>
        <w:spacing w:line="253" w:lineRule="auto"/>
      </w:pPr>
    </w:p>
    <w:p w14:paraId="3BDB0546">
      <w:pPr>
        <w:pStyle w:val="11"/>
        <w:spacing w:line="253" w:lineRule="auto"/>
      </w:pPr>
    </w:p>
    <w:p w14:paraId="55BCF892">
      <w:pPr>
        <w:spacing w:before="169" w:line="220" w:lineRule="auto"/>
        <w:ind w:left="1329"/>
        <w:rPr>
          <w:rFonts w:ascii="宋体" w:hAnsi="宋体" w:eastAsia="宋体" w:cs="宋体"/>
          <w:sz w:val="52"/>
          <w:szCs w:val="52"/>
        </w:rPr>
      </w:pPr>
      <w:r>
        <w:rPr>
          <w:rFonts w:ascii="宋体" w:hAnsi="宋体" w:eastAsia="宋体" w:cs="宋体"/>
          <w:spacing w:val="-3"/>
          <w:sz w:val="52"/>
          <w:szCs w:val="52"/>
        </w:rPr>
        <w:t>公司组织架构及职责说明</w:t>
      </w:r>
    </w:p>
    <w:p w14:paraId="21721DB9">
      <w:pPr>
        <w:pStyle w:val="11"/>
        <w:spacing w:line="252" w:lineRule="auto"/>
      </w:pPr>
    </w:p>
    <w:p w14:paraId="672FF9FC">
      <w:pPr>
        <w:pStyle w:val="11"/>
        <w:spacing w:line="252" w:lineRule="auto"/>
      </w:pPr>
    </w:p>
    <w:p w14:paraId="43592012">
      <w:pPr>
        <w:pStyle w:val="11"/>
        <w:spacing w:line="253" w:lineRule="auto"/>
      </w:pPr>
    </w:p>
    <w:p w14:paraId="374DC569">
      <w:pPr>
        <w:pStyle w:val="11"/>
        <w:spacing w:line="253" w:lineRule="auto"/>
      </w:pPr>
    </w:p>
    <w:p w14:paraId="2B03AF4D">
      <w:pPr>
        <w:pStyle w:val="11"/>
        <w:spacing w:line="253" w:lineRule="auto"/>
      </w:pPr>
    </w:p>
    <w:p w14:paraId="1D427116">
      <w:pPr>
        <w:pStyle w:val="11"/>
        <w:spacing w:line="253" w:lineRule="auto"/>
      </w:pPr>
    </w:p>
    <w:p w14:paraId="10667387">
      <w:pPr>
        <w:pStyle w:val="11"/>
        <w:spacing w:line="253" w:lineRule="auto"/>
      </w:pPr>
    </w:p>
    <w:p w14:paraId="41AE9F77">
      <w:pPr>
        <w:pStyle w:val="11"/>
        <w:spacing w:line="253" w:lineRule="auto"/>
      </w:pPr>
    </w:p>
    <w:p w14:paraId="76AA7E1B">
      <w:pPr>
        <w:pStyle w:val="11"/>
        <w:spacing w:line="253" w:lineRule="auto"/>
      </w:pPr>
    </w:p>
    <w:p w14:paraId="1860388F">
      <w:pPr>
        <w:pStyle w:val="11"/>
        <w:spacing w:line="253" w:lineRule="auto"/>
      </w:pPr>
    </w:p>
    <w:p w14:paraId="11FD0F95">
      <w:pPr>
        <w:pStyle w:val="11"/>
        <w:spacing w:line="253" w:lineRule="auto"/>
      </w:pPr>
    </w:p>
    <w:p w14:paraId="7C93B0A7">
      <w:pPr>
        <w:pStyle w:val="11"/>
        <w:spacing w:line="253" w:lineRule="auto"/>
      </w:pPr>
    </w:p>
    <w:p w14:paraId="1B4ADE11">
      <w:pPr>
        <w:pStyle w:val="11"/>
        <w:spacing w:line="253" w:lineRule="auto"/>
      </w:pPr>
    </w:p>
    <w:p w14:paraId="20B5F46C">
      <w:pPr>
        <w:spacing w:line="1572" w:lineRule="exact"/>
        <w:ind w:firstLine="1535"/>
      </w:pPr>
      <w:r>
        <w:rPr>
          <w:position w:val="-31"/>
        </w:rPr>
        <w:drawing>
          <wp:inline distT="0" distB="0" distL="0" distR="0">
            <wp:extent cx="3173730" cy="99822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3174364" cy="998220"/>
                    </a:xfrm>
                    <a:prstGeom prst="rect">
                      <a:avLst/>
                    </a:prstGeom>
                  </pic:spPr>
                </pic:pic>
              </a:graphicData>
            </a:graphic>
          </wp:inline>
        </w:drawing>
      </w:r>
    </w:p>
    <w:p w14:paraId="33182108">
      <w:pPr>
        <w:pStyle w:val="11"/>
        <w:spacing w:line="256" w:lineRule="auto"/>
      </w:pPr>
    </w:p>
    <w:p w14:paraId="464236CB">
      <w:pPr>
        <w:pStyle w:val="11"/>
        <w:spacing w:line="256" w:lineRule="auto"/>
      </w:pPr>
    </w:p>
    <w:p w14:paraId="741E1653">
      <w:pPr>
        <w:pStyle w:val="11"/>
        <w:spacing w:line="256" w:lineRule="auto"/>
      </w:pPr>
    </w:p>
    <w:p w14:paraId="71ABF0C5">
      <w:pPr>
        <w:pStyle w:val="11"/>
        <w:spacing w:line="256" w:lineRule="auto"/>
      </w:pPr>
    </w:p>
    <w:p w14:paraId="670C923D">
      <w:pPr>
        <w:pStyle w:val="11"/>
        <w:spacing w:line="257" w:lineRule="auto"/>
      </w:pPr>
    </w:p>
    <w:p w14:paraId="79F80771">
      <w:pPr>
        <w:pStyle w:val="11"/>
        <w:spacing w:line="257" w:lineRule="auto"/>
      </w:pPr>
    </w:p>
    <w:p w14:paraId="1DDB35E5">
      <w:pPr>
        <w:pStyle w:val="11"/>
        <w:spacing w:line="257" w:lineRule="auto"/>
      </w:pPr>
    </w:p>
    <w:p w14:paraId="69F260E2">
      <w:pPr>
        <w:pStyle w:val="11"/>
        <w:spacing w:line="257" w:lineRule="auto"/>
      </w:pPr>
    </w:p>
    <w:p w14:paraId="2458228C">
      <w:pPr>
        <w:pStyle w:val="11"/>
        <w:spacing w:line="257" w:lineRule="auto"/>
      </w:pPr>
    </w:p>
    <w:p w14:paraId="31841C45">
      <w:pPr>
        <w:pStyle w:val="11"/>
        <w:spacing w:line="257" w:lineRule="auto"/>
      </w:pPr>
    </w:p>
    <w:p w14:paraId="0EF8255D">
      <w:pPr>
        <w:pStyle w:val="11"/>
        <w:spacing w:line="257" w:lineRule="auto"/>
      </w:pPr>
    </w:p>
    <w:p w14:paraId="13E66C77">
      <w:pPr>
        <w:pStyle w:val="11"/>
        <w:spacing w:line="257" w:lineRule="auto"/>
      </w:pPr>
    </w:p>
    <w:p w14:paraId="1FCBF49B">
      <w:pPr>
        <w:pStyle w:val="11"/>
        <w:spacing w:line="257" w:lineRule="auto"/>
      </w:pPr>
    </w:p>
    <w:p w14:paraId="0C3EECB1">
      <w:pPr>
        <w:spacing w:before="117" w:line="219" w:lineRule="auto"/>
        <w:ind w:left="1647"/>
        <w:rPr>
          <w:rFonts w:ascii="宋体" w:hAnsi="宋体" w:eastAsia="宋体" w:cs="宋体"/>
          <w:sz w:val="36"/>
          <w:szCs w:val="36"/>
        </w:rPr>
      </w:pPr>
      <w:r>
        <w:rPr>
          <w:rFonts w:ascii="宋体" w:hAnsi="宋体" w:eastAsia="宋体" w:cs="宋体"/>
          <w:spacing w:val="-1"/>
          <w:sz w:val="36"/>
          <w:szCs w:val="36"/>
        </w:rPr>
        <w:t>青岛慧海联创信息技术有限公司</w:t>
      </w:r>
    </w:p>
    <w:p w14:paraId="7FCDB06C">
      <w:pPr>
        <w:spacing w:line="219" w:lineRule="auto"/>
        <w:rPr>
          <w:rFonts w:ascii="宋体" w:hAnsi="宋体" w:eastAsia="宋体" w:cs="宋体"/>
          <w:sz w:val="36"/>
          <w:szCs w:val="36"/>
        </w:rPr>
      </w:pPr>
    </w:p>
    <w:p w14:paraId="69B7F4AB">
      <w:pPr>
        <w:spacing w:line="219" w:lineRule="auto"/>
        <w:jc w:val="center"/>
        <w:rPr>
          <w:rFonts w:hint="default" w:ascii="宋体" w:hAnsi="宋体" w:eastAsia="宋体" w:cs="宋体"/>
          <w:sz w:val="36"/>
          <w:szCs w:val="36"/>
          <w:lang w:val="en-US" w:eastAsia="zh-CN"/>
        </w:rPr>
        <w:sectPr>
          <w:pgSz w:w="11912" w:h="16841"/>
          <w:pgMar w:top="1431" w:right="1786" w:bottom="2683" w:left="1786" w:header="0" w:footer="2255" w:gutter="0"/>
          <w:cols w:space="720" w:num="1"/>
        </w:sectPr>
      </w:pPr>
      <w:r>
        <w:rPr>
          <w:rFonts w:hint="eastAsia" w:ascii="宋体" w:hAnsi="宋体" w:eastAsia="宋体" w:cs="宋体"/>
          <w:sz w:val="36"/>
          <w:szCs w:val="36"/>
          <w:lang w:val="en-US" w:eastAsia="zh-CN"/>
        </w:rPr>
        <w:t>2025年1月4日</w:t>
      </w:r>
    </w:p>
    <w:p w14:paraId="2FEC0457">
      <w:pPr>
        <w:spacing w:before="58" w:line="220" w:lineRule="auto"/>
        <w:ind w:left="3626"/>
        <w:outlineLvl w:val="0"/>
        <w:rPr>
          <w:rFonts w:ascii="宋体" w:hAnsi="宋体" w:eastAsia="宋体" w:cs="宋体"/>
          <w:sz w:val="28"/>
          <w:szCs w:val="28"/>
        </w:rPr>
      </w:pPr>
      <w:bookmarkStart w:id="0" w:name="_Toc6525"/>
      <w:r>
        <w:rPr>
          <w:rFonts w:ascii="宋体" w:hAnsi="宋体" w:eastAsia="宋体" w:cs="宋体"/>
          <w:spacing w:val="-2"/>
          <w:sz w:val="28"/>
          <w:szCs w:val="28"/>
        </w:rPr>
        <w:t>文档信息</w:t>
      </w:r>
      <w:bookmarkEnd w:id="0"/>
    </w:p>
    <w:p w14:paraId="5418D84D">
      <w:pPr>
        <w:spacing w:before="37"/>
      </w:pPr>
    </w:p>
    <w:tbl>
      <w:tblPr>
        <w:tblStyle w:val="18"/>
        <w:tblW w:w="8653" w:type="dxa"/>
        <w:tblInd w:w="2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705"/>
        <w:gridCol w:w="1560"/>
        <w:gridCol w:w="2123"/>
        <w:gridCol w:w="1701"/>
        <w:gridCol w:w="1564"/>
      </w:tblGrid>
      <w:tr w14:paraId="22DBDF2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3" w:hRule="atLeast"/>
        </w:trPr>
        <w:tc>
          <w:tcPr>
            <w:tcW w:w="1705" w:type="dxa"/>
            <w:vAlign w:val="top"/>
          </w:tcPr>
          <w:p w14:paraId="73A28C31">
            <w:pPr>
              <w:pStyle w:val="19"/>
              <w:spacing w:before="134" w:line="221" w:lineRule="auto"/>
              <w:ind w:left="232"/>
            </w:pPr>
            <w:r>
              <w:rPr>
                <w:spacing w:val="-2"/>
              </w:rPr>
              <w:t>文档名称编号</w:t>
            </w:r>
          </w:p>
        </w:tc>
        <w:tc>
          <w:tcPr>
            <w:tcW w:w="6948" w:type="dxa"/>
            <w:gridSpan w:val="4"/>
            <w:vAlign w:val="top"/>
          </w:tcPr>
          <w:p w14:paraId="3CBF7121">
            <w:pPr>
              <w:pStyle w:val="19"/>
              <w:spacing w:before="135" w:line="219" w:lineRule="auto"/>
              <w:ind w:left="123"/>
            </w:pPr>
            <w:r>
              <w:t>公司组织架构及职责说明（HHLC-ITSS</w:t>
            </w:r>
            <w:r>
              <w:rPr>
                <w:spacing w:val="-1"/>
              </w:rPr>
              <w:t>-ZZJG/ZZSM）</w:t>
            </w:r>
          </w:p>
        </w:tc>
      </w:tr>
      <w:tr w14:paraId="1821538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3236F800">
            <w:pPr>
              <w:pStyle w:val="19"/>
              <w:spacing w:before="130" w:line="221" w:lineRule="auto"/>
              <w:ind w:left="444"/>
            </w:pPr>
            <w:r>
              <w:rPr>
                <w:spacing w:val="-2"/>
              </w:rPr>
              <w:t>编制单位</w:t>
            </w:r>
          </w:p>
        </w:tc>
        <w:tc>
          <w:tcPr>
            <w:tcW w:w="6948" w:type="dxa"/>
            <w:gridSpan w:val="4"/>
            <w:vAlign w:val="top"/>
          </w:tcPr>
          <w:p w14:paraId="20025CC2">
            <w:pPr>
              <w:pStyle w:val="19"/>
              <w:spacing w:before="130" w:line="220" w:lineRule="auto"/>
              <w:ind w:left="117"/>
            </w:pPr>
            <w:r>
              <w:rPr>
                <w:spacing w:val="-1"/>
              </w:rPr>
              <w:t>青岛慧海联创信息技术有限公司</w:t>
            </w:r>
          </w:p>
        </w:tc>
      </w:tr>
      <w:tr w14:paraId="3632A64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0" w:hRule="atLeast"/>
        </w:trPr>
        <w:tc>
          <w:tcPr>
            <w:tcW w:w="1705" w:type="dxa"/>
            <w:vAlign w:val="top"/>
          </w:tcPr>
          <w:p w14:paraId="3082D1F7">
            <w:pPr>
              <w:pStyle w:val="19"/>
              <w:spacing w:before="133" w:line="220" w:lineRule="auto"/>
              <w:ind w:left="444"/>
            </w:pPr>
            <w:r>
              <w:rPr>
                <w:spacing w:val="-2"/>
              </w:rPr>
              <w:t>文档版本</w:t>
            </w:r>
          </w:p>
        </w:tc>
        <w:tc>
          <w:tcPr>
            <w:tcW w:w="1560" w:type="dxa"/>
            <w:vAlign w:val="top"/>
          </w:tcPr>
          <w:p w14:paraId="169AE3C3">
            <w:pPr>
              <w:pStyle w:val="19"/>
              <w:spacing w:before="133" w:line="220" w:lineRule="auto"/>
              <w:ind w:left="370"/>
            </w:pPr>
            <w:r>
              <w:rPr>
                <w:spacing w:val="-2"/>
              </w:rPr>
              <w:t>版本日期</w:t>
            </w:r>
          </w:p>
        </w:tc>
        <w:tc>
          <w:tcPr>
            <w:tcW w:w="2123" w:type="dxa"/>
            <w:vAlign w:val="top"/>
          </w:tcPr>
          <w:p w14:paraId="2E92EFCD">
            <w:pPr>
              <w:pStyle w:val="19"/>
              <w:spacing w:before="133" w:line="220" w:lineRule="auto"/>
              <w:ind w:left="654"/>
            </w:pPr>
            <w:r>
              <w:rPr>
                <w:spacing w:val="-2"/>
              </w:rPr>
              <w:t>版本说明</w:t>
            </w:r>
          </w:p>
        </w:tc>
        <w:tc>
          <w:tcPr>
            <w:tcW w:w="1701" w:type="dxa"/>
            <w:vAlign w:val="top"/>
          </w:tcPr>
          <w:p w14:paraId="54E5D743">
            <w:pPr>
              <w:pStyle w:val="19"/>
              <w:spacing w:before="134" w:line="221" w:lineRule="auto"/>
              <w:ind w:left="600"/>
            </w:pPr>
            <w:r>
              <w:rPr>
                <w:spacing w:val="-4"/>
              </w:rPr>
              <w:t>作</w:t>
            </w:r>
            <w:r>
              <w:rPr>
                <w:spacing w:val="10"/>
              </w:rPr>
              <w:t xml:space="preserve"> </w:t>
            </w:r>
            <w:r>
              <w:rPr>
                <w:spacing w:val="-4"/>
              </w:rPr>
              <w:t>者</w:t>
            </w:r>
          </w:p>
        </w:tc>
        <w:tc>
          <w:tcPr>
            <w:tcW w:w="1564" w:type="dxa"/>
            <w:vAlign w:val="top"/>
          </w:tcPr>
          <w:p w14:paraId="2241C08B">
            <w:pPr>
              <w:pStyle w:val="19"/>
              <w:spacing w:before="134" w:line="221" w:lineRule="auto"/>
              <w:ind w:left="592"/>
            </w:pPr>
            <w:r>
              <w:rPr>
                <w:spacing w:val="-5"/>
              </w:rPr>
              <w:t>审核</w:t>
            </w:r>
          </w:p>
        </w:tc>
      </w:tr>
      <w:tr w14:paraId="012C8D2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5" w:hRule="atLeast"/>
        </w:trPr>
        <w:tc>
          <w:tcPr>
            <w:tcW w:w="1705" w:type="dxa"/>
            <w:vAlign w:val="top"/>
          </w:tcPr>
          <w:p w14:paraId="1F69E059">
            <w:pPr>
              <w:pStyle w:val="19"/>
              <w:spacing w:before="161"/>
              <w:ind w:left="646"/>
            </w:pPr>
            <w:r>
              <w:rPr>
                <w:spacing w:val="-1"/>
              </w:rPr>
              <w:t>V1.0</w:t>
            </w:r>
          </w:p>
        </w:tc>
        <w:tc>
          <w:tcPr>
            <w:tcW w:w="1560" w:type="dxa"/>
            <w:vAlign w:val="top"/>
          </w:tcPr>
          <w:p w14:paraId="5BF97A3A">
            <w:pPr>
              <w:pStyle w:val="19"/>
              <w:spacing w:before="160" w:line="241" w:lineRule="auto"/>
              <w:ind w:left="372"/>
            </w:pPr>
            <w:r>
              <w:rPr>
                <w:spacing w:val="-2"/>
              </w:rPr>
              <w:t>2025-1-4</w:t>
            </w:r>
          </w:p>
        </w:tc>
        <w:tc>
          <w:tcPr>
            <w:tcW w:w="2123" w:type="dxa"/>
            <w:vAlign w:val="top"/>
          </w:tcPr>
          <w:p w14:paraId="071C8D57">
            <w:pPr>
              <w:pStyle w:val="19"/>
              <w:spacing w:before="132" w:line="220" w:lineRule="auto"/>
              <w:ind w:left="656"/>
            </w:pPr>
            <w:r>
              <w:rPr>
                <w:spacing w:val="-3"/>
              </w:rPr>
              <w:t>发布版本</w:t>
            </w:r>
          </w:p>
        </w:tc>
        <w:tc>
          <w:tcPr>
            <w:tcW w:w="1701" w:type="dxa"/>
            <w:vAlign w:val="top"/>
          </w:tcPr>
          <w:p w14:paraId="6A1F23AB">
            <w:pPr>
              <w:pStyle w:val="19"/>
              <w:spacing w:before="132" w:line="229" w:lineRule="auto"/>
              <w:ind w:left="653"/>
            </w:pPr>
            <w:r>
              <w:rPr>
                <w:spacing w:val="-2"/>
              </w:rPr>
              <w:t>王慧</w:t>
            </w:r>
          </w:p>
        </w:tc>
        <w:tc>
          <w:tcPr>
            <w:tcW w:w="1564" w:type="dxa"/>
            <w:vAlign w:val="top"/>
          </w:tcPr>
          <w:p w14:paraId="0EC39575">
            <w:pPr>
              <w:pStyle w:val="19"/>
              <w:spacing w:before="131" w:line="221" w:lineRule="auto"/>
              <w:ind w:left="480"/>
            </w:pPr>
            <w:r>
              <w:rPr>
                <w:spacing w:val="-3"/>
              </w:rPr>
              <w:t>张仲全</w:t>
            </w:r>
          </w:p>
        </w:tc>
      </w:tr>
      <w:tr w14:paraId="6572A7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8" w:hRule="atLeast"/>
        </w:trPr>
        <w:tc>
          <w:tcPr>
            <w:tcW w:w="1705" w:type="dxa"/>
            <w:vAlign w:val="top"/>
          </w:tcPr>
          <w:p w14:paraId="2118C8FF">
            <w:pPr>
              <w:rPr>
                <w:rFonts w:ascii="Arial"/>
                <w:sz w:val="21"/>
              </w:rPr>
            </w:pPr>
          </w:p>
        </w:tc>
        <w:tc>
          <w:tcPr>
            <w:tcW w:w="1560" w:type="dxa"/>
            <w:vAlign w:val="top"/>
          </w:tcPr>
          <w:p w14:paraId="4402263D">
            <w:pPr>
              <w:rPr>
                <w:rFonts w:ascii="Arial"/>
                <w:sz w:val="21"/>
              </w:rPr>
            </w:pPr>
          </w:p>
        </w:tc>
        <w:tc>
          <w:tcPr>
            <w:tcW w:w="2123" w:type="dxa"/>
            <w:vAlign w:val="top"/>
          </w:tcPr>
          <w:p w14:paraId="79CF26A7">
            <w:pPr>
              <w:rPr>
                <w:rFonts w:ascii="Arial"/>
                <w:sz w:val="21"/>
              </w:rPr>
            </w:pPr>
          </w:p>
        </w:tc>
        <w:tc>
          <w:tcPr>
            <w:tcW w:w="1701" w:type="dxa"/>
            <w:vAlign w:val="top"/>
          </w:tcPr>
          <w:p w14:paraId="21CD1766">
            <w:pPr>
              <w:rPr>
                <w:rFonts w:ascii="Arial"/>
                <w:sz w:val="21"/>
              </w:rPr>
            </w:pPr>
          </w:p>
        </w:tc>
        <w:tc>
          <w:tcPr>
            <w:tcW w:w="1564" w:type="dxa"/>
            <w:vAlign w:val="top"/>
          </w:tcPr>
          <w:p w14:paraId="32871B7D">
            <w:pPr>
              <w:rPr>
                <w:rFonts w:ascii="Arial"/>
                <w:sz w:val="21"/>
              </w:rPr>
            </w:pPr>
          </w:p>
        </w:tc>
      </w:tr>
      <w:tr w14:paraId="14D7334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705" w:type="dxa"/>
            <w:vAlign w:val="top"/>
          </w:tcPr>
          <w:p w14:paraId="1AE1AA75">
            <w:pPr>
              <w:rPr>
                <w:rFonts w:ascii="Arial"/>
                <w:sz w:val="21"/>
              </w:rPr>
            </w:pPr>
          </w:p>
        </w:tc>
        <w:tc>
          <w:tcPr>
            <w:tcW w:w="1560" w:type="dxa"/>
            <w:vAlign w:val="top"/>
          </w:tcPr>
          <w:p w14:paraId="5227F846">
            <w:pPr>
              <w:rPr>
                <w:rFonts w:ascii="Arial"/>
                <w:sz w:val="21"/>
              </w:rPr>
            </w:pPr>
          </w:p>
        </w:tc>
        <w:tc>
          <w:tcPr>
            <w:tcW w:w="2123" w:type="dxa"/>
            <w:vAlign w:val="top"/>
          </w:tcPr>
          <w:p w14:paraId="0C7F63B1">
            <w:pPr>
              <w:rPr>
                <w:rFonts w:ascii="Arial"/>
                <w:sz w:val="21"/>
              </w:rPr>
            </w:pPr>
          </w:p>
        </w:tc>
        <w:tc>
          <w:tcPr>
            <w:tcW w:w="1701" w:type="dxa"/>
            <w:vAlign w:val="top"/>
          </w:tcPr>
          <w:p w14:paraId="43680A72">
            <w:pPr>
              <w:rPr>
                <w:rFonts w:ascii="Arial"/>
                <w:sz w:val="21"/>
              </w:rPr>
            </w:pPr>
          </w:p>
        </w:tc>
        <w:tc>
          <w:tcPr>
            <w:tcW w:w="1564" w:type="dxa"/>
            <w:vAlign w:val="top"/>
          </w:tcPr>
          <w:p w14:paraId="20565E1E">
            <w:pPr>
              <w:rPr>
                <w:rFonts w:ascii="Arial"/>
                <w:sz w:val="21"/>
              </w:rPr>
            </w:pPr>
          </w:p>
        </w:tc>
      </w:tr>
      <w:tr w14:paraId="48F2C4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83" w:hRule="atLeast"/>
        </w:trPr>
        <w:tc>
          <w:tcPr>
            <w:tcW w:w="1705" w:type="dxa"/>
            <w:vAlign w:val="top"/>
          </w:tcPr>
          <w:p w14:paraId="2D8FF2D8">
            <w:pPr>
              <w:rPr>
                <w:rFonts w:ascii="Arial"/>
                <w:sz w:val="21"/>
              </w:rPr>
            </w:pPr>
          </w:p>
        </w:tc>
        <w:tc>
          <w:tcPr>
            <w:tcW w:w="1560" w:type="dxa"/>
            <w:vAlign w:val="top"/>
          </w:tcPr>
          <w:p w14:paraId="04C440AD">
            <w:pPr>
              <w:rPr>
                <w:rFonts w:ascii="Arial"/>
                <w:sz w:val="21"/>
              </w:rPr>
            </w:pPr>
          </w:p>
        </w:tc>
        <w:tc>
          <w:tcPr>
            <w:tcW w:w="2123" w:type="dxa"/>
            <w:vAlign w:val="top"/>
          </w:tcPr>
          <w:p w14:paraId="3A88DBA3">
            <w:pPr>
              <w:rPr>
                <w:rFonts w:ascii="Arial"/>
                <w:sz w:val="21"/>
              </w:rPr>
            </w:pPr>
          </w:p>
        </w:tc>
        <w:tc>
          <w:tcPr>
            <w:tcW w:w="1701" w:type="dxa"/>
            <w:vAlign w:val="top"/>
          </w:tcPr>
          <w:p w14:paraId="664A54B5">
            <w:pPr>
              <w:rPr>
                <w:rFonts w:ascii="Arial"/>
                <w:sz w:val="21"/>
              </w:rPr>
            </w:pPr>
          </w:p>
        </w:tc>
        <w:tc>
          <w:tcPr>
            <w:tcW w:w="1564" w:type="dxa"/>
            <w:vAlign w:val="top"/>
          </w:tcPr>
          <w:p w14:paraId="3CEDD6AF">
            <w:pPr>
              <w:rPr>
                <w:rFonts w:ascii="Arial"/>
                <w:sz w:val="21"/>
              </w:rPr>
            </w:pPr>
          </w:p>
        </w:tc>
      </w:tr>
    </w:tbl>
    <w:p w14:paraId="2F765020">
      <w:pPr>
        <w:pStyle w:val="11"/>
      </w:pPr>
    </w:p>
    <w:p w14:paraId="65AED54F">
      <w:pPr>
        <w:sectPr>
          <w:footerReference r:id="rId5" w:type="default"/>
          <w:pgSz w:w="11912" w:h="16841"/>
          <w:pgMar w:top="1431" w:right="1459" w:bottom="1714" w:left="1768" w:header="0" w:footer="1438" w:gutter="0"/>
          <w:cols w:space="720" w:num="1"/>
        </w:sectPr>
      </w:pPr>
    </w:p>
    <w:p w14:paraId="5B2ECD60">
      <w:pPr>
        <w:pStyle w:val="11"/>
        <w:spacing w:line="308" w:lineRule="auto"/>
      </w:pPr>
    </w:p>
    <w:p w14:paraId="10979765">
      <w:pPr>
        <w:pStyle w:val="11"/>
        <w:spacing w:line="309" w:lineRule="auto"/>
      </w:pPr>
    </w:p>
    <w:p w14:paraId="01E1E019">
      <w:pPr>
        <w:pStyle w:val="11"/>
        <w:spacing w:line="309" w:lineRule="auto"/>
      </w:pPr>
    </w:p>
    <w:sdt>
      <w:sdtPr>
        <w:rPr>
          <w:rFonts w:ascii="宋体" w:hAnsi="宋体" w:eastAsia="宋体" w:cs="Arial"/>
          <w:snapToGrid w:val="0"/>
          <w:color w:val="000000"/>
          <w:kern w:val="0"/>
          <w:sz w:val="21"/>
          <w:szCs w:val="21"/>
          <w:lang w:val="en-US" w:eastAsia="en-US" w:bidi="ar-SA"/>
        </w:rPr>
        <w:id w:val="147472755"/>
        <w15:color w:val="DBDBDB"/>
        <w:docPartObj>
          <w:docPartGallery w:val="Table of Contents"/>
          <w:docPartUnique/>
        </w:docPartObj>
      </w:sdtPr>
      <w:sdtEndPr>
        <w:rPr>
          <w:rFonts w:ascii="Times New Roman" w:hAnsi="Times New Roman" w:eastAsia="Times New Roman" w:cs="Times New Roman"/>
          <w:snapToGrid w:val="0"/>
          <w:color w:val="000000"/>
          <w:kern w:val="0"/>
          <w:sz w:val="24"/>
          <w:szCs w:val="24"/>
          <w:lang w:val="en-US" w:eastAsia="en-US" w:bidi="ar-SA"/>
        </w:rPr>
      </w:sdtEndPr>
      <w:sdtContent>
        <w:p w14:paraId="1370ACA1">
          <w:pPr>
            <w:spacing w:before="0" w:beforeLines="0" w:after="0" w:afterLines="0" w:line="240" w:lineRule="auto"/>
            <w:ind w:left="0" w:leftChars="0" w:right="0" w:rightChars="0" w:firstLine="0" w:firstLineChars="0"/>
            <w:jc w:val="center"/>
          </w:pPr>
          <w:r>
            <w:rPr>
              <w:rFonts w:ascii="宋体" w:hAnsi="宋体" w:eastAsia="宋体"/>
              <w:sz w:val="21"/>
            </w:rPr>
            <w:t>目录</w:t>
          </w:r>
        </w:p>
        <w:p w14:paraId="035202E5">
          <w:pPr>
            <w:pStyle w:val="14"/>
            <w:tabs>
              <w:tab w:val="right" w:leader="dot" w:pos="8442"/>
            </w:tabs>
            <w:rPr>
              <w:rFonts w:hint="eastAsia" w:ascii="Microsoft JhengHei" w:hAnsi="Microsoft JhengHei" w:eastAsia="Microsoft JhengHei" w:cs="Microsoft JhengHei"/>
              <w:sz w:val="24"/>
              <w:szCs w:val="24"/>
            </w:rPr>
          </w:pPr>
          <w:r>
            <w:rPr>
              <w:rFonts w:ascii="Times New Roman" w:hAnsi="Times New Roman" w:eastAsia="Times New Roman" w:cs="Times New Roman"/>
              <w:sz w:val="24"/>
              <w:szCs w:val="24"/>
            </w:rPr>
            <w:fldChar w:fldCharType="begin"/>
          </w:r>
          <w:r>
            <w:rPr>
              <w:rFonts w:ascii="Times New Roman" w:hAnsi="Times New Roman" w:eastAsia="Times New Roman" w:cs="Times New Roman"/>
              <w:sz w:val="24"/>
              <w:szCs w:val="24"/>
            </w:rPr>
            <w:instrText xml:space="preserve">TOC \o "1-3" \h \u </w:instrText>
          </w:r>
          <w:r>
            <w:rPr>
              <w:rFonts w:ascii="Times New Roman" w:hAnsi="Times New Roman" w:eastAsia="Times New Roman" w:cs="Times New Roman"/>
              <w:sz w:val="24"/>
              <w:szCs w:val="24"/>
            </w:rPr>
            <w:fldChar w:fldCharType="separate"/>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_Toc6525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pacing w:val="-2"/>
              <w:sz w:val="24"/>
              <w:szCs w:val="24"/>
            </w:rPr>
            <w:t>文档信息</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_Toc6525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82C5E9A">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_Toc12515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 公司组织架构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_Toc12515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4</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ECE4CD0">
          <w:pPr>
            <w:pStyle w:val="14"/>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_Toc12322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 部门及职责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_Toc12322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2680D529">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_Toc7423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2.1. 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_Toc7423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1A543C2">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_Toc9673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2.2. 副总经理职责</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_Toc9673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5</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9CE849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_Toc12214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 综合管理部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_Toc12214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DF143C9">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_Toc11712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2.3.1. 人力资源部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_Toc11712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3B066DD">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_Toc1568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2.3.2. 财务部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_Toc1568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6</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3C942B3B">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_Toc21431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2.4. 采购部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_Toc21431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690D7D6">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_Toc15421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2.5. 营销中心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_Toc15421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7</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F399768">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_Toc20089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 运维服务部</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_Toc20089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8</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7A3FC138">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_Toc13650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2.6.1. 服务台</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_Toc13650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4C717CC">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_Toc25933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2.6.2. 备件库</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_Toc25933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9</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55A46950">
          <w:pPr>
            <w:pStyle w:val="12"/>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_Toc12342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lang w:val="en-US"/>
            </w:rPr>
            <w:t xml:space="preserve">2.6.3. </w:t>
          </w:r>
          <w:r>
            <w:rPr>
              <w:rFonts w:hint="eastAsia" w:ascii="Microsoft JhengHei" w:hAnsi="Microsoft JhengHei" w:eastAsia="Microsoft JhengHei" w:cs="Microsoft JhengHei"/>
              <w:sz w:val="24"/>
              <w:szCs w:val="24"/>
              <w:lang w:val="en-US" w:eastAsia="zh-CN"/>
            </w:rPr>
            <w:t>服务知识</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_Toc12342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4F893987">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_Toc26015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2.7. 质量中心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_Toc26015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10</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B3D53AA">
          <w:pPr>
            <w:pStyle w:val="15"/>
            <w:tabs>
              <w:tab w:val="right" w:leader="dot" w:pos="8442"/>
            </w:tabs>
            <w:rPr>
              <w:rFonts w:hint="eastAsia" w:ascii="Microsoft JhengHei" w:hAnsi="Microsoft JhengHei" w:eastAsia="Microsoft JhengHei" w:cs="Microsoft JhengHei"/>
              <w:sz w:val="24"/>
              <w:szCs w:val="24"/>
            </w:rPr>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_Toc20204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2.8. 研发中心</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_Toc20204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1EC65F0C">
          <w:pPr>
            <w:pStyle w:val="15"/>
            <w:tabs>
              <w:tab w:val="right" w:leader="dot" w:pos="8442"/>
            </w:tabs>
          </w:pP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HYPERLINK \l _Toc21145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2.9. 应急管理小组</w:t>
          </w:r>
          <w:r>
            <w:rPr>
              <w:rFonts w:hint="eastAsia" w:ascii="Microsoft JhengHei" w:hAnsi="Microsoft JhengHei" w:eastAsia="Microsoft JhengHei" w:cs="Microsoft JhengHei"/>
              <w:sz w:val="24"/>
              <w:szCs w:val="24"/>
            </w:rPr>
            <w:tab/>
          </w:r>
          <w:r>
            <w:rPr>
              <w:rFonts w:hint="eastAsia" w:ascii="Microsoft JhengHei" w:hAnsi="Microsoft JhengHei" w:eastAsia="Microsoft JhengHei" w:cs="Microsoft JhengHei"/>
              <w:sz w:val="24"/>
              <w:szCs w:val="24"/>
            </w:rPr>
            <w:fldChar w:fldCharType="begin"/>
          </w:r>
          <w:r>
            <w:rPr>
              <w:rFonts w:hint="eastAsia" w:ascii="Microsoft JhengHei" w:hAnsi="Microsoft JhengHei" w:eastAsia="Microsoft JhengHei" w:cs="Microsoft JhengHei"/>
              <w:sz w:val="24"/>
              <w:szCs w:val="24"/>
            </w:rPr>
            <w:instrText xml:space="preserve"> PAGEREF _Toc21145 \h </w:instrText>
          </w:r>
          <w:r>
            <w:rPr>
              <w:rFonts w:hint="eastAsia" w:ascii="Microsoft JhengHei" w:hAnsi="Microsoft JhengHei" w:eastAsia="Microsoft JhengHei" w:cs="Microsoft JhengHei"/>
              <w:sz w:val="24"/>
              <w:szCs w:val="24"/>
            </w:rPr>
            <w:fldChar w:fldCharType="separate"/>
          </w:r>
          <w:r>
            <w:rPr>
              <w:rFonts w:hint="eastAsia" w:ascii="Microsoft JhengHei" w:hAnsi="Microsoft JhengHei" w:eastAsia="Microsoft JhengHei" w:cs="Microsoft JhengHei"/>
              <w:sz w:val="24"/>
              <w:szCs w:val="24"/>
            </w:rPr>
            <w:t>11</w:t>
          </w:r>
          <w:r>
            <w:rPr>
              <w:rFonts w:hint="eastAsia" w:ascii="Microsoft JhengHei" w:hAnsi="Microsoft JhengHei" w:eastAsia="Microsoft JhengHei" w:cs="Microsoft JhengHei"/>
              <w:sz w:val="24"/>
              <w:szCs w:val="24"/>
            </w:rPr>
            <w:fldChar w:fldCharType="end"/>
          </w:r>
          <w:r>
            <w:rPr>
              <w:rFonts w:hint="eastAsia" w:ascii="Microsoft JhengHei" w:hAnsi="Microsoft JhengHei" w:eastAsia="Microsoft JhengHei" w:cs="Microsoft JhengHei"/>
              <w:sz w:val="24"/>
              <w:szCs w:val="24"/>
            </w:rPr>
            <w:fldChar w:fldCharType="end"/>
          </w:r>
        </w:p>
        <w:p w14:paraId="6893ED88">
          <w:pPr>
            <w:spacing w:line="235" w:lineRule="auto"/>
            <w:rPr>
              <w:rFonts w:ascii="Times New Roman" w:hAnsi="Times New Roman" w:eastAsia="Times New Roman" w:cs="Times New Roman"/>
              <w:snapToGrid w:val="0"/>
              <w:color w:val="000000"/>
              <w:kern w:val="0"/>
              <w:sz w:val="24"/>
              <w:szCs w:val="24"/>
              <w:lang w:val="en-US" w:eastAsia="en-US" w:bidi="ar-SA"/>
            </w:rPr>
          </w:pPr>
          <w:r>
            <w:rPr>
              <w:rFonts w:ascii="Times New Roman" w:hAnsi="Times New Roman" w:eastAsia="Times New Roman" w:cs="Times New Roman"/>
              <w:szCs w:val="24"/>
            </w:rPr>
            <w:fldChar w:fldCharType="end"/>
          </w:r>
        </w:p>
      </w:sdtContent>
    </w:sdt>
    <w:p w14:paraId="65EC4AE8">
      <w:pPr>
        <w:spacing w:line="235" w:lineRule="auto"/>
        <w:rPr>
          <w:rFonts w:ascii="Times New Roman" w:hAnsi="Times New Roman" w:eastAsia="Times New Roman" w:cs="Times New Roman"/>
          <w:snapToGrid w:val="0"/>
          <w:color w:val="000000"/>
          <w:kern w:val="0"/>
          <w:sz w:val="24"/>
          <w:szCs w:val="24"/>
          <w:lang w:val="en-US" w:eastAsia="en-US" w:bidi="ar-SA"/>
        </w:rPr>
        <w:sectPr>
          <w:footerReference r:id="rId6" w:type="default"/>
          <w:pgSz w:w="11912" w:h="16841"/>
          <w:pgMar w:top="1431" w:right="1786" w:bottom="1714" w:left="1684" w:header="0" w:footer="1438" w:gutter="0"/>
          <w:cols w:space="720" w:num="1"/>
        </w:sectPr>
      </w:pPr>
    </w:p>
    <w:p w14:paraId="7AB77D69">
      <w:pPr>
        <w:pStyle w:val="20"/>
        <w:bidi w:val="0"/>
      </w:pPr>
      <w:bookmarkStart w:id="1" w:name="bookmark1"/>
      <w:bookmarkEnd w:id="1"/>
      <w:bookmarkStart w:id="2" w:name="bookmark13"/>
      <w:bookmarkEnd w:id="2"/>
      <w:bookmarkStart w:id="3" w:name="_Toc12515"/>
      <w:r>
        <w:t>公司组织架构</w:t>
      </w:r>
      <w:bookmarkEnd w:id="3"/>
    </w:p>
    <w:p w14:paraId="07E4A040">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青岛慧海联创信息技术有限公司的相关组织部门包括：</w:t>
      </w:r>
    </w:p>
    <w:p w14:paraId="3E4C64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应急管理小组、综合管理部（下设人力资源部、财务部）、采购部、营销中心、运维服务部（下设服务台、备件库</w:t>
      </w:r>
      <w:r>
        <w:rPr>
          <w:rFonts w:hint="eastAsia" w:ascii="宋体" w:hAnsi="宋体" w:eastAsia="宋体" w:cs="宋体"/>
          <w:spacing w:val="-3"/>
          <w:sz w:val="24"/>
          <w:szCs w:val="24"/>
          <w:lang w:eastAsia="zh-CN"/>
        </w:rPr>
        <w:t>、</w:t>
      </w:r>
      <w:r>
        <w:rPr>
          <w:rFonts w:hint="eastAsia" w:ascii="宋体" w:hAnsi="宋体" w:eastAsia="宋体" w:cs="宋体"/>
          <w:spacing w:val="-3"/>
          <w:sz w:val="24"/>
          <w:szCs w:val="24"/>
          <w:lang w:val="en-US" w:eastAsia="zh-CN"/>
        </w:rPr>
        <w:t>服务知识</w:t>
      </w:r>
      <w:r>
        <w:rPr>
          <w:rFonts w:ascii="宋体" w:hAnsi="宋体" w:eastAsia="宋体" w:cs="宋体"/>
          <w:spacing w:val="-3"/>
          <w:sz w:val="24"/>
          <w:szCs w:val="24"/>
        </w:rPr>
        <w:t>）、质量</w:t>
      </w:r>
      <w:r>
        <w:rPr>
          <w:rFonts w:hint="eastAsia" w:ascii="宋体" w:hAnsi="宋体" w:eastAsia="宋体" w:cs="宋体"/>
          <w:spacing w:val="-3"/>
          <w:sz w:val="24"/>
          <w:szCs w:val="24"/>
          <w:lang w:val="en-US" w:eastAsia="zh-CN"/>
        </w:rPr>
        <w:t>中心</w:t>
      </w:r>
      <w:r>
        <w:rPr>
          <w:rFonts w:ascii="宋体" w:hAnsi="宋体" w:eastAsia="宋体" w:cs="宋体"/>
          <w:spacing w:val="-3"/>
          <w:sz w:val="24"/>
          <w:szCs w:val="24"/>
        </w:rPr>
        <w:t>，研发中心。</w:t>
      </w:r>
    </w:p>
    <w:p w14:paraId="702AB872">
      <w:pPr>
        <w:spacing w:before="185" w:line="366" w:lineRule="auto"/>
        <w:ind w:left="42" w:right="301" w:firstLine="478"/>
        <w:rPr>
          <w:rFonts w:ascii="宋体" w:hAnsi="宋体" w:eastAsia="宋体" w:cs="宋体"/>
          <w:spacing w:val="-6"/>
          <w:sz w:val="24"/>
          <w:szCs w:val="24"/>
        </w:rPr>
      </w:pPr>
      <w:bookmarkStart w:id="26" w:name="_GoBack"/>
      <w:bookmarkEnd w:id="26"/>
    </w:p>
    <w:p w14:paraId="779E8FE3">
      <w:pPr>
        <w:pStyle w:val="11"/>
        <w:spacing w:line="272" w:lineRule="auto"/>
      </w:pPr>
    </w:p>
    <w:p w14:paraId="6AE8F6C2">
      <w:pPr>
        <w:pStyle w:val="11"/>
        <w:spacing w:line="272" w:lineRule="auto"/>
      </w:pPr>
    </w:p>
    <w:p w14:paraId="4F8BF9A0">
      <w:pPr>
        <w:spacing w:line="3710" w:lineRule="exact"/>
        <w:ind w:firstLine="463"/>
      </w:pPr>
      <w:r>
        <w:drawing>
          <wp:anchor distT="0" distB="0" distL="114300" distR="114300" simplePos="0" relativeHeight="251659264" behindDoc="0" locked="0" layoutInCell="1" allowOverlap="1">
            <wp:simplePos x="0" y="0"/>
            <wp:positionH relativeFrom="column">
              <wp:posOffset>294005</wp:posOffset>
            </wp:positionH>
            <wp:positionV relativeFrom="paragraph">
              <wp:posOffset>-386080</wp:posOffset>
            </wp:positionV>
            <wp:extent cx="5306695" cy="2265680"/>
            <wp:effectExtent l="0" t="0" r="12065"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306695" cy="2265680"/>
                    </a:xfrm>
                    <a:prstGeom prst="rect">
                      <a:avLst/>
                    </a:prstGeom>
                    <a:noFill/>
                    <a:ln>
                      <a:noFill/>
                    </a:ln>
                  </pic:spPr>
                </pic:pic>
              </a:graphicData>
            </a:graphic>
          </wp:anchor>
        </w:drawing>
      </w:r>
    </w:p>
    <w:p w14:paraId="52079845">
      <w:pPr>
        <w:pStyle w:val="11"/>
        <w:spacing w:line="314" w:lineRule="auto"/>
      </w:pPr>
    </w:p>
    <w:p w14:paraId="3D86ABA0">
      <w:pPr>
        <w:pStyle w:val="11"/>
        <w:spacing w:line="314" w:lineRule="auto"/>
      </w:pPr>
    </w:p>
    <w:p w14:paraId="60E89582">
      <w:pPr>
        <w:pStyle w:val="20"/>
        <w:bidi w:val="0"/>
      </w:pPr>
      <w:bookmarkStart w:id="4" w:name="bookmark1"/>
      <w:bookmarkEnd w:id="4"/>
      <w:bookmarkStart w:id="5" w:name="_Toc12322"/>
      <w:r>
        <w:t>部门及职责</w:t>
      </w:r>
      <w:bookmarkEnd w:id="5"/>
    </w:p>
    <w:p w14:paraId="05CF8179">
      <w:pPr>
        <w:pStyle w:val="21"/>
        <w:bidi w:val="0"/>
      </w:pPr>
      <w:bookmarkStart w:id="6" w:name="bookmark1"/>
      <w:bookmarkEnd w:id="6"/>
      <w:bookmarkStart w:id="7" w:name="_Toc7423"/>
      <w:r>
        <w:t>总经理职责</w:t>
      </w:r>
      <w:bookmarkEnd w:id="7"/>
    </w:p>
    <w:p w14:paraId="169B4C7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依据公司发展战略，制定和实施公司中长期的发展战略，提升公司信息技术的应用水平和竞争优势。</w:t>
      </w:r>
    </w:p>
    <w:p w14:paraId="641BF94C">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负责制订并落实公司各项规章制度、改革方案、改革措施。</w:t>
      </w:r>
    </w:p>
    <w:p w14:paraId="396B1CF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负责公司IT系统的整体规划、设计、组建、实施，通过必要的升级、新技术引进或整合等手段，组建实施及维护公司当前的系统，并保持公司系统对业务的有效支持。</w:t>
      </w:r>
    </w:p>
    <w:p w14:paraId="181E7B5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4) 主导企业文化建设的基本方向，提出公司组织机构设置方案。</w:t>
      </w:r>
    </w:p>
    <w:p w14:paraId="28FE1E1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负责公司内部各部门的组织管理，实施在职能权责内的人力资源管理，对公司的经济效益负责，拥有经营指挥权和各种资源分配权。</w:t>
      </w:r>
    </w:p>
    <w:p w14:paraId="50316746">
      <w:pPr>
        <w:pStyle w:val="21"/>
        <w:bidi w:val="0"/>
      </w:pPr>
      <w:bookmarkStart w:id="8" w:name="bookmark14"/>
      <w:bookmarkEnd w:id="8"/>
      <w:bookmarkStart w:id="9" w:name="_Toc9673"/>
      <w:r>
        <w:t>副总经理职责</w:t>
      </w:r>
      <w:bookmarkEnd w:id="9"/>
    </w:p>
    <w:p w14:paraId="2636910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负责项目实施和运维工作，组织项目实施计划、维护计划，项目实施团队建立和管理，项目实施进度和质量的监督和考核，项目执行过程中主要问题的协调和解决，维护体系的建立和执行；</w:t>
      </w:r>
    </w:p>
    <w:p w14:paraId="0A94B5FA">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负责分管部门的业务管理、工作执行、目标达成和考核、组织团队规划协调和建设及分管部门定期汇报；</w:t>
      </w:r>
    </w:p>
    <w:p w14:paraId="51155072">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负责内部项目型工作的规范体系建设，项目内部开展的协调沟通工作，以及项目规范管理工作的组织实施和检查、考核工作；监督管理，监管督促项目实施维护工作的贯彻与执行；客户服务，提供客户服务渠道协调相关人员解决问题；</w:t>
      </w:r>
    </w:p>
    <w:p w14:paraId="6ABBB9A3">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4) 及时掌握项目实施、运维进展和情况，定期向总经理汇报并通报其他相关部门，提出建议和意见；</w:t>
      </w:r>
    </w:p>
    <w:p w14:paraId="63D5DCDB">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负责编制项目费用预算、分管部门预算，经总经理审批后监督执行。</w:t>
      </w:r>
    </w:p>
    <w:p w14:paraId="574C1D27">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hint="default" w:ascii="宋体" w:hAnsi="宋体" w:eastAsia="宋体" w:cs="宋体"/>
          <w:spacing w:val="-3"/>
          <w:sz w:val="24"/>
          <w:szCs w:val="24"/>
          <w:lang w:val="en-US" w:eastAsia="zh-CN"/>
        </w:rPr>
      </w:pPr>
      <w:r>
        <w:rPr>
          <w:rFonts w:hint="eastAsia" w:ascii="宋体" w:hAnsi="宋体" w:eastAsia="宋体" w:cs="宋体"/>
          <w:spacing w:val="-3"/>
          <w:sz w:val="24"/>
          <w:szCs w:val="24"/>
          <w:lang w:val="en-US" w:eastAsia="zh-CN"/>
        </w:rPr>
        <w:t>6)负责统筹规划应急相关事宜,指导运维服务部和质量中心更好的完成应急策划和应急演练。</w:t>
      </w:r>
    </w:p>
    <w:p w14:paraId="3CD7E205">
      <w:pPr>
        <w:pStyle w:val="21"/>
        <w:bidi w:val="0"/>
      </w:pPr>
      <w:bookmarkStart w:id="10" w:name="_Toc12214"/>
      <w:r>
        <w:t>综合管理部</w:t>
      </w:r>
      <w:bookmarkEnd w:id="10"/>
    </w:p>
    <w:p w14:paraId="5FF217A4">
      <w:pPr>
        <w:pStyle w:val="22"/>
        <w:bidi w:val="0"/>
      </w:pPr>
      <w:bookmarkStart w:id="11" w:name="_Toc11712"/>
      <w:r>
        <w:t>人力资源部</w:t>
      </w:r>
      <w:bookmarkEnd w:id="11"/>
    </w:p>
    <w:p w14:paraId="6750F64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依据公司规划和运维服务能力管理人员要求，负责编制公司各项人力资源管理制度，构建、完善公司的人力资源管理体系，确保运维技术人员具备应有的运维服务研发、实施、支持等能力。具体包括：</w:t>
      </w:r>
    </w:p>
    <w:p w14:paraId="20CC7169">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1) 负责推进公司年度整体人力资源工作计划的制定，指导、监督各部门开展日常推进；</w:t>
      </w:r>
    </w:p>
    <w:p w14:paraId="7C901C3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2) 根据公司年度人员规划，拓展招聘渠道，规范招聘流程，开展人员招聘</w:t>
      </w:r>
    </w:p>
    <w:p w14:paraId="0824C4EF">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3) 参与公司组织结构调整，完善各部门职能，开展工作分析，制定工作流程，编制职位说明书；</w:t>
      </w:r>
    </w:p>
    <w:p w14:paraId="6FC24008">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bookmarkStart w:id="12" w:name="bookmark15"/>
      <w:bookmarkEnd w:id="12"/>
      <w:r>
        <w:rPr>
          <w:rFonts w:ascii="宋体" w:hAnsi="宋体" w:eastAsia="宋体" w:cs="宋体"/>
          <w:spacing w:val="-3"/>
          <w:sz w:val="24"/>
          <w:szCs w:val="24"/>
        </w:rPr>
        <w:t>4) 负责制定公司的人才培养与储备制度，并根据年度人才策略开展人才培养系列活动；</w:t>
      </w:r>
    </w:p>
    <w:p w14:paraId="2119E935">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5) 负责编制年度员工分配预算，根据总额控制的原则对各部门的员工分配进行控制。</w:t>
      </w:r>
    </w:p>
    <w:p w14:paraId="7EB57376">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6) 负责构建员工福利体系，开展员工社会保险、住房公积金的缴纳统筹，办理员工的补充医疗保险和员工年度体检等；</w:t>
      </w:r>
    </w:p>
    <w:p w14:paraId="47ED09A1">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7) 负责制定公司的绩效管理体系，开展员工绩效考核，并参与公司对各事业部、各部门的年度绩效考核；</w:t>
      </w:r>
    </w:p>
    <w:p w14:paraId="7A1CC72D">
      <w:pPr>
        <w:keepNext w:val="0"/>
        <w:keepLines w:val="0"/>
        <w:pageBreakBefore w:val="0"/>
        <w:widowControl/>
        <w:kinsoku w:val="0"/>
        <w:wordWrap/>
        <w:overflowPunct/>
        <w:topLinePunct w:val="0"/>
        <w:autoSpaceDE w:val="0"/>
        <w:autoSpaceDN w:val="0"/>
        <w:bidi w:val="0"/>
        <w:adjustRightInd w:val="0"/>
        <w:snapToGrid w:val="0"/>
        <w:spacing w:line="360" w:lineRule="auto"/>
        <w:ind w:left="0" w:firstLine="468" w:firstLineChars="200"/>
        <w:textAlignment w:val="baseline"/>
        <w:rPr>
          <w:rFonts w:ascii="宋体" w:hAnsi="宋体" w:eastAsia="宋体" w:cs="宋体"/>
          <w:spacing w:val="-3"/>
          <w:sz w:val="24"/>
          <w:szCs w:val="24"/>
        </w:rPr>
      </w:pPr>
      <w:r>
        <w:rPr>
          <w:rFonts w:ascii="宋体" w:hAnsi="宋体" w:eastAsia="宋体" w:cs="宋体"/>
          <w:spacing w:val="-3"/>
          <w:sz w:val="24"/>
          <w:szCs w:val="24"/>
        </w:rPr>
        <w:t>8) 负责起草公司劳动合同文本，规范劳动合同管理流程，并根据实际情况开展劳动用工形式的规范管理。</w:t>
      </w:r>
    </w:p>
    <w:p w14:paraId="1E82CB8F">
      <w:pPr>
        <w:pStyle w:val="22"/>
        <w:bidi w:val="0"/>
      </w:pPr>
      <w:bookmarkStart w:id="13" w:name="_Toc1568"/>
      <w:r>
        <w:t>财务部</w:t>
      </w:r>
      <w:bookmarkEnd w:id="13"/>
    </w:p>
    <w:p w14:paraId="2ECC6C6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建立、健全财务管理体系，对财务部门的日常管理、资金运作等进行总体控制；</w:t>
      </w:r>
    </w:p>
    <w:p w14:paraId="475C128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主持财务报表的编制工作，保证财务信息对外披露的正常进行，有效地监督检查财务制度、预算的执行情况以及适当及时的调整；</w:t>
      </w:r>
    </w:p>
    <w:p w14:paraId="66EB082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对公司税收进行整体筹划与管理，按时完成税务申报以及年度审计工作；</w:t>
      </w:r>
    </w:p>
    <w:p w14:paraId="7FF6967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比较精确地监控和预测现金流量，确定和监控公司负债和资本的合理结构，统筹管理和运作公司资金并对其进行有效的风险控制；</w:t>
      </w:r>
    </w:p>
    <w:p w14:paraId="039AD9F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对公司重大的投资、融资、并购等经营活动提供建议和决策支持，参与风险评估、指导、跟踪和控制；</w:t>
      </w:r>
    </w:p>
    <w:p w14:paraId="22C6DD3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与财政、税务、银行、证券等相关政府部门及会计师事务所等相关中介机构建立并保持良好的关系；</w:t>
      </w:r>
    </w:p>
    <w:p w14:paraId="738FE4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向上级主管汇报公司经营状况、经营成果、财务收支及计划的具体情况，为公司高级管理人员提供财务分析，提出有益的建议；</w:t>
      </w:r>
    </w:p>
    <w:p w14:paraId="33AF80D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负责运维管理体系有效运行所需资金的落实；</w:t>
      </w:r>
    </w:p>
    <w:p w14:paraId="0F4D050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2C7C0100">
      <w:pPr>
        <w:pStyle w:val="21"/>
        <w:bidi w:val="0"/>
      </w:pPr>
      <w:bookmarkStart w:id="14" w:name="bookmark16"/>
      <w:bookmarkEnd w:id="14"/>
      <w:bookmarkStart w:id="15" w:name="_Toc21431"/>
      <w:r>
        <w:t>采购部</w:t>
      </w:r>
      <w:bookmarkEnd w:id="15"/>
    </w:p>
    <w:p w14:paraId="3575A95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负责制订物资采购计划。</w:t>
      </w:r>
    </w:p>
    <w:p w14:paraId="790A557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保障质量目标的经济性，降低产品和运输费用。</w:t>
      </w:r>
    </w:p>
    <w:p w14:paraId="6E3AD25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组织制定与本部门核心职能相关的管理制度及工作流程；</w:t>
      </w:r>
    </w:p>
    <w:p w14:paraId="0600AF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4) 负责对备品备件部门提交的采购申请进行采购；</w:t>
      </w:r>
    </w:p>
    <w:p w14:paraId="64729EF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5) 负责对运维服务部所需日常物资进行采购；</w:t>
      </w:r>
    </w:p>
    <w:p w14:paraId="7C9D65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6) 管理采购合同及供应商文件资料，建立供应商信息资源库；</w:t>
      </w:r>
    </w:p>
    <w:p w14:paraId="57B5438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7) 制作、编写各类采购指标的统计报表；</w:t>
      </w:r>
    </w:p>
    <w:p w14:paraId="51A6107C">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8) 完成领导交办的其他工作。</w:t>
      </w:r>
    </w:p>
    <w:p w14:paraId="520946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9) 对供应商进行评估考核。</w:t>
      </w:r>
    </w:p>
    <w:p w14:paraId="0C1E3EF6">
      <w:pPr>
        <w:pStyle w:val="21"/>
        <w:bidi w:val="0"/>
      </w:pPr>
      <w:bookmarkStart w:id="16" w:name="_Toc15421"/>
      <w:r>
        <w:t>营销中心</w:t>
      </w:r>
      <w:bookmarkEnd w:id="16"/>
    </w:p>
    <w:p w14:paraId="35446E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1) 负责公司的品牌建设：通过政府关系维护、协会关系维护、行业媒体推广、政府类活动参与等方式进行公司品牌建设和推广，负责公司对外的品牌宣传行为，牵头参与政府及行业的各类奖项评选。作为接口部门，负责完成工信部、软件协会等政府部门提供月报、季报、半年报等相关数据统计工作；</w:t>
      </w:r>
    </w:p>
    <w:p w14:paraId="0A83CDD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2) 负责公司政府关系维护并牵头参与各类运行维护项目：负责监测和获取政府和相关机构的关于公司业务相关IT类评选信息，并作为牵头部门负责IT类项目的报名、投标、执行及验收任务，尽可能地为公司争取承担重大项目的机会和资金支持；</w:t>
      </w:r>
    </w:p>
    <w:p w14:paraId="5BB66C0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72" w:firstLineChars="200"/>
        <w:textAlignment w:val="baseline"/>
        <w:rPr>
          <w:rFonts w:ascii="宋体" w:hAnsi="宋体" w:eastAsia="宋体" w:cs="宋体"/>
          <w:spacing w:val="-2"/>
          <w:sz w:val="24"/>
          <w:szCs w:val="24"/>
        </w:rPr>
      </w:pPr>
      <w:r>
        <w:rPr>
          <w:rFonts w:ascii="宋体" w:hAnsi="宋体" w:eastAsia="宋体" w:cs="宋体"/>
          <w:spacing w:val="-2"/>
          <w:sz w:val="24"/>
          <w:szCs w:val="24"/>
        </w:rPr>
        <w:t>3) 负责公司企业文化建设：全权负责企业期刊的策划、组稿和发布工作，并每两年牵头编纂企业文化书籍；作为牵头部门，负责公司中文网站的建设、更新和日常维护，软件公司内网的内容更新和维护；负责软件公司相关楼层的墙面文化建设；协助人力资源部策划、执行和推广公司企业文化奖项目；</w:t>
      </w:r>
    </w:p>
    <w:p w14:paraId="1A0478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68" w:firstLineChars="200"/>
        <w:textAlignment w:val="baseline"/>
        <w:rPr>
          <w:rFonts w:ascii="宋体" w:hAnsi="宋体" w:eastAsia="宋体" w:cs="宋体"/>
          <w:spacing w:val="-6"/>
          <w:sz w:val="24"/>
          <w:szCs w:val="24"/>
        </w:rPr>
      </w:pPr>
      <w:r>
        <w:rPr>
          <w:rFonts w:ascii="宋体" w:hAnsi="宋体" w:eastAsia="宋体" w:cs="宋体"/>
          <w:spacing w:val="-3"/>
          <w:sz w:val="24"/>
          <w:szCs w:val="24"/>
        </w:rPr>
        <w:t>4)</w:t>
      </w:r>
      <w:r>
        <w:rPr>
          <w:rFonts w:ascii="宋体" w:hAnsi="宋体" w:eastAsia="宋体" w:cs="宋体"/>
          <w:spacing w:val="101"/>
          <w:sz w:val="24"/>
          <w:szCs w:val="24"/>
        </w:rPr>
        <w:t xml:space="preserve"> </w:t>
      </w:r>
      <w:r>
        <w:rPr>
          <w:rFonts w:ascii="宋体" w:hAnsi="宋体" w:eastAsia="宋体" w:cs="宋体"/>
          <w:spacing w:val="-3"/>
          <w:sz w:val="24"/>
          <w:szCs w:val="24"/>
        </w:rPr>
        <w:t>负责公司日常市场支持：负责公司市场物料（包括公司宣传册、彩页、</w:t>
      </w:r>
      <w:r>
        <w:rPr>
          <w:rFonts w:ascii="宋体" w:hAnsi="宋体" w:eastAsia="宋体" w:cs="宋体"/>
          <w:sz w:val="24"/>
          <w:szCs w:val="24"/>
        </w:rPr>
        <w:t>信封、手提袋及礼品）的策划、制作和日常</w:t>
      </w:r>
      <w:r>
        <w:rPr>
          <w:rFonts w:ascii="宋体" w:hAnsi="宋体" w:eastAsia="宋体" w:cs="宋体"/>
          <w:spacing w:val="-1"/>
          <w:sz w:val="24"/>
          <w:szCs w:val="24"/>
        </w:rPr>
        <w:t>管理；负责协助相关部门</w:t>
      </w:r>
      <w:r>
        <w:rPr>
          <w:rFonts w:ascii="宋体" w:hAnsi="宋体" w:eastAsia="宋体" w:cs="宋体"/>
          <w:spacing w:val="-6"/>
          <w:sz w:val="24"/>
          <w:szCs w:val="24"/>
        </w:rPr>
        <w:t>组织公司活动。</w:t>
      </w:r>
    </w:p>
    <w:p w14:paraId="0E787517">
      <w:pPr>
        <w:pStyle w:val="21"/>
        <w:bidi w:val="0"/>
      </w:pPr>
      <w:bookmarkStart w:id="17" w:name="bookmark17"/>
      <w:bookmarkEnd w:id="17"/>
      <w:bookmarkStart w:id="18" w:name="_Toc20089"/>
      <w:r>
        <w:t>运维服务部</w:t>
      </w:r>
      <w:bookmarkEnd w:id="18"/>
    </w:p>
    <w:p w14:paraId="07C7DB1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各项目全生命周期管理,从项目立项到项目验收收款的全部环节的追踪、反馈、提醒等工作；负责各项目组过程的管控，确保各项目组具备公司要求的服务管理能力，确保运维服务管理过程在各项目组得到正确实施并发挥其效能，管控过程包括服务级别管理、服务报告管理、事件管理、问题管理、配置管理、变更管理、发布管理、信息安全管理</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容量管理、过程框架设计管理、服务可用性和连续性管理</w:t>
      </w:r>
      <w:r>
        <w:rPr>
          <w:rFonts w:ascii="宋体" w:hAnsi="宋体" w:eastAsia="宋体" w:cs="宋体"/>
          <w:sz w:val="24"/>
          <w:szCs w:val="24"/>
        </w:rPr>
        <w:t>等过程。为公司各级管理者提供生产经营数据为各级管理者的各项决策提供基础数据支撑；提升公司内部管理的规范性和运行效率。</w:t>
      </w:r>
    </w:p>
    <w:p w14:paraId="695A20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负责公司服务台、备件库以及</w:t>
      </w:r>
      <w:r>
        <w:rPr>
          <w:rFonts w:hint="eastAsia" w:ascii="宋体" w:hAnsi="宋体" w:eastAsia="宋体" w:cs="宋体"/>
          <w:sz w:val="24"/>
          <w:szCs w:val="24"/>
          <w:lang w:val="en-US" w:eastAsia="zh-CN"/>
        </w:rPr>
        <w:t>服务知识</w:t>
      </w:r>
      <w:r>
        <w:rPr>
          <w:rFonts w:ascii="宋体" w:hAnsi="宋体" w:eastAsia="宋体" w:cs="宋体"/>
          <w:sz w:val="24"/>
          <w:szCs w:val="24"/>
        </w:rPr>
        <w:t>的管理。</w:t>
      </w:r>
    </w:p>
    <w:p w14:paraId="35E83D1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项目软硬件运维项目的实施工作、售后工作；</w:t>
      </w:r>
    </w:p>
    <w:p w14:paraId="54E9E8D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公司内部数据中心、服务器、信息平台等系统运维工作；</w:t>
      </w:r>
    </w:p>
    <w:p w14:paraId="0FAD6CF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项目相关技术文档等管理工作；</w:t>
      </w:r>
    </w:p>
    <w:p w14:paraId="4126BC1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搭建并管理运维工具需要的软硬件环境，并按质量管理体系，对项目实施过程资料进行规范的配置管理；</w:t>
      </w:r>
    </w:p>
    <w:p w14:paraId="3A7EA2F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落实并不断充实、完善公司运维管理体系的具体内容，配合研发中心优化运维工具或系统的技术架构、系统架构；</w:t>
      </w:r>
    </w:p>
    <w:p w14:paraId="3481208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负责组织制定及维护公司运维服务目录。</w:t>
      </w:r>
    </w:p>
    <w:p w14:paraId="3AC8E2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是为客户提供运维交付的主体。</w:t>
      </w:r>
    </w:p>
    <w:p w14:paraId="56109F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9) 服务过程中应急事务的处理。</w:t>
      </w:r>
    </w:p>
    <w:p w14:paraId="6F30959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10) 负责最终软件库及服务数据管理</w:t>
      </w:r>
    </w:p>
    <w:p w14:paraId="0F46EE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11) 负责从研发中心接收经过测试、验证和授权的最终版软件包</w:t>
      </w:r>
    </w:p>
    <w:p w14:paraId="20C05E2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12) 管理软件的不同版本，确保只有正确的、被批准的版本才能部署到生产环境。</w:t>
      </w:r>
    </w:p>
    <w:p w14:paraId="11B05892">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13) 清理过期和废弃的版本。</w:t>
      </w:r>
    </w:p>
    <w:p w14:paraId="1526F78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14) 定义需要被管理的数据，生命周期，责任人</w:t>
      </w:r>
    </w:p>
    <w:p w14:paraId="0EEA4EE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15) 确保所有的服务数据的准确性、一致性和时效性</w:t>
      </w:r>
    </w:p>
    <w:p w14:paraId="17CCB31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16) 通过管理软件许可证、硬件资源等数据。优化资源利用，避免浪费</w:t>
      </w:r>
    </w:p>
    <w:p w14:paraId="45A63AC4">
      <w:pPr>
        <w:pStyle w:val="22"/>
        <w:bidi w:val="0"/>
      </w:pPr>
      <w:bookmarkStart w:id="19" w:name="_Toc13650"/>
      <w:r>
        <w:t>服务台</w:t>
      </w:r>
      <w:bookmarkEnd w:id="19"/>
    </w:p>
    <w:p w14:paraId="61511C6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负责公司服务台的运行与维护，接受项目组、客户、运维人员的运行维护服务请求，并形成相应请求记录，及时跟踪服务请求的处理进展。同时开展客户满意度调查，客户回访，客户投诉等，同时负责对服务台服务流程的调研与反馈。</w:t>
      </w:r>
    </w:p>
    <w:p w14:paraId="28DF0CC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bookmarkStart w:id="20" w:name="bookmark18"/>
      <w:bookmarkEnd w:id="20"/>
      <w:r>
        <w:rPr>
          <w:rFonts w:ascii="宋体" w:hAnsi="宋体" w:eastAsia="宋体" w:cs="宋体"/>
          <w:sz w:val="24"/>
          <w:szCs w:val="24"/>
        </w:rPr>
        <w:t>1) 持续优化运维服务台管理制度，开展对服务台人员的培训工作与考核；</w:t>
      </w:r>
    </w:p>
    <w:p w14:paraId="24923BA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负责服务台的运作，使用有效手段和方法受理需方的运行维护服务请求，及时跟踪服务请求的处理进展；</w:t>
      </w:r>
    </w:p>
    <w:p w14:paraId="1B956D5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负责处理用户服务突发性公众事件、参与用户反馈意见的分析和处理；</w:t>
      </w:r>
    </w:p>
    <w:p w14:paraId="321576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配合质量中心负责顾客满意度信息的收集，为改进服务质量提供依据；</w:t>
      </w:r>
    </w:p>
    <w:p w14:paraId="31075A3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负责日常事件和问题的录入工作；</w:t>
      </w:r>
    </w:p>
    <w:p w14:paraId="295315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负责将现场反馈的问题进行分类指派相应的人员进行处理；</w:t>
      </w:r>
    </w:p>
    <w:p w14:paraId="553B849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负责用户的服务请求，解答用户的疑问，提供客户咨询和建议；</w:t>
      </w:r>
    </w:p>
    <w:p w14:paraId="464A5E3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8) 负责故障处理过程中对约定服务级别进行预警和告警；</w:t>
      </w:r>
    </w:p>
    <w:p w14:paraId="2A5DC314">
      <w:pPr>
        <w:pStyle w:val="22"/>
        <w:bidi w:val="0"/>
      </w:pPr>
      <w:bookmarkStart w:id="21" w:name="_Toc25933"/>
      <w:r>
        <w:t>备件库</w:t>
      </w:r>
      <w:bookmarkEnd w:id="21"/>
    </w:p>
    <w:p w14:paraId="5C74C97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负责组织制定备品备件的管理实施细则及备品备件配置标准；</w:t>
      </w:r>
    </w:p>
    <w:p w14:paraId="5C22173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根据运维服务部提交备品备件更换申请，做备件的准备及出库工作；</w:t>
      </w:r>
    </w:p>
    <w:p w14:paraId="677F7B2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制定备品备件库存管理计划，对紧缺物资进行统计、汇总， 向采购部提交申请；</w:t>
      </w:r>
    </w:p>
    <w:p w14:paraId="6905C675">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对采购部所采物资进行入库登记、物品归类整理，并负责对运维服务部备品的信息管理，发布公司备品备件信息。</w:t>
      </w:r>
    </w:p>
    <w:p w14:paraId="1D31196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对库存物品定期进行盘点，组织技术人员对备品备件进行检测。</w:t>
      </w:r>
    </w:p>
    <w:p w14:paraId="789999FF">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备品库根据出库数量，库存变化，应急事件等发生频次进行统计分析并提交报告。</w:t>
      </w:r>
    </w:p>
    <w:p w14:paraId="28A95DDA">
      <w:pPr>
        <w:pStyle w:val="22"/>
        <w:bidi w:val="0"/>
        <w:rPr>
          <w:rFonts w:hint="default"/>
          <w:lang w:val="en-US"/>
        </w:rPr>
      </w:pPr>
      <w:bookmarkStart w:id="22" w:name="_Toc12342"/>
      <w:r>
        <w:rPr>
          <w:rFonts w:hint="eastAsia"/>
          <w:lang w:val="en-US" w:eastAsia="zh-CN"/>
        </w:rPr>
        <w:t>服务知识</w:t>
      </w:r>
      <w:bookmarkEnd w:id="22"/>
    </w:p>
    <w:p w14:paraId="59CACD1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1)</w:t>
      </w:r>
      <w:r>
        <w:rPr>
          <w:rFonts w:hint="eastAsia" w:ascii="宋体" w:hAnsi="宋体" w:eastAsia="宋体" w:cs="宋体"/>
          <w:sz w:val="24"/>
          <w:szCs w:val="24"/>
          <w:lang w:val="en-US" w:eastAsia="zh-CN"/>
        </w:rPr>
        <w:t>对知识收集、分析、生成、提交</w:t>
      </w:r>
    </w:p>
    <w:p w14:paraId="4E07A41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w:t>
      </w:r>
      <w:r>
        <w:rPr>
          <w:rFonts w:ascii="宋体" w:hAnsi="宋体" w:eastAsia="宋体" w:cs="宋体"/>
          <w:sz w:val="24"/>
          <w:szCs w:val="24"/>
        </w:rPr>
        <w:t>)</w:t>
      </w:r>
      <w:r>
        <w:rPr>
          <w:rFonts w:hint="eastAsia" w:ascii="宋体" w:hAnsi="宋体" w:eastAsia="宋体" w:cs="宋体"/>
          <w:sz w:val="24"/>
          <w:szCs w:val="24"/>
          <w:lang w:val="en-US" w:eastAsia="zh-CN"/>
        </w:rPr>
        <w:t>对知识管理流程提出改进、优化建议</w:t>
      </w:r>
    </w:p>
    <w:p w14:paraId="601F86BB">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w:t>
      </w:r>
      <w:r>
        <w:rPr>
          <w:rFonts w:hint="eastAsia" w:ascii="宋体" w:hAnsi="宋体" w:eastAsia="宋体" w:cs="宋体"/>
          <w:sz w:val="24"/>
          <w:szCs w:val="24"/>
          <w:lang w:val="en-US" w:eastAsia="zh-CN"/>
        </w:rPr>
        <w:t>回顾整理服务知识中的知识；负责知识的汇总及分类整理</w:t>
      </w:r>
    </w:p>
    <w:p w14:paraId="426BAFA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w:t>
      </w:r>
      <w:r>
        <w:rPr>
          <w:rFonts w:hint="eastAsia" w:ascii="宋体" w:hAnsi="宋体" w:eastAsia="宋体" w:cs="宋体"/>
          <w:sz w:val="24"/>
          <w:szCs w:val="24"/>
          <w:lang w:val="en-US" w:eastAsia="zh-CN"/>
        </w:rPr>
        <w:t>对知识进行审核；确保知识可用于实际维护中，不会出现破坏性副作用。</w:t>
      </w:r>
    </w:p>
    <w:p w14:paraId="178E815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5</w:t>
      </w:r>
      <w:r>
        <w:rPr>
          <w:rFonts w:ascii="宋体" w:hAnsi="宋体" w:eastAsia="宋体" w:cs="宋体"/>
          <w:sz w:val="24"/>
          <w:szCs w:val="24"/>
        </w:rPr>
        <w:t>)</w:t>
      </w:r>
      <w:r>
        <w:rPr>
          <w:rFonts w:hint="eastAsia" w:ascii="宋体" w:hAnsi="宋体" w:eastAsia="宋体" w:cs="宋体"/>
          <w:sz w:val="24"/>
          <w:szCs w:val="24"/>
          <w:lang w:val="en-US" w:eastAsia="zh-CN"/>
        </w:rPr>
        <w:t>监督知识质量、深度，包括知识信息的更新，加强知识生成，产生新的知识，促进知识共享的过程。</w:t>
      </w:r>
    </w:p>
    <w:p w14:paraId="788DA67F">
      <w:pPr>
        <w:pStyle w:val="21"/>
        <w:bidi w:val="0"/>
      </w:pPr>
      <w:bookmarkStart w:id="23" w:name="_Toc26015"/>
      <w:r>
        <w:t>质量中心</w:t>
      </w:r>
      <w:bookmarkEnd w:id="23"/>
    </w:p>
    <w:p w14:paraId="1745083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从满足公司业务需求和运维服务能力管理要求出发，通过制定质量服务政策，设定质量服务目标，制定质量管理计划，协调资源、落实人员角色和职责，管理风险和持续改进等方法，领导和开展各项服务能力管理活动。</w:t>
      </w:r>
    </w:p>
    <w:p w14:paraId="58E5B831">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质量中心负责组织对运维服务能力管理体系（包括流程）的检查回顾，落实相应的改进工作，提高公司服务能力管理的有效性。</w:t>
      </w:r>
    </w:p>
    <w:p w14:paraId="714D661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负责定期对公司运维服务管理体系进行内部评审，对内审中发现的问题进行跟踪记录，负责项目改进措施的监督及检查。</w:t>
      </w:r>
    </w:p>
    <w:p w14:paraId="49F6BE4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负责管理评审工作的开展，并出具相关的计划以及报告。</w:t>
      </w:r>
    </w:p>
    <w:p w14:paraId="6CC58DB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负责组织级客户满意度的调查，投诉。</w:t>
      </w:r>
    </w:p>
    <w:p w14:paraId="4B4FCB9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负责公司资质的管理和维护，并作为牵头部门负责相关资质的申报、年审、中期调查等相关事宜，确保公司业务的顺利开展。</w:t>
      </w:r>
    </w:p>
    <w:p w14:paraId="5D7B231C">
      <w:pPr>
        <w:pStyle w:val="21"/>
        <w:bidi w:val="0"/>
      </w:pPr>
      <w:bookmarkStart w:id="24" w:name="_Toc20204"/>
      <w:r>
        <w:t>研发中心</w:t>
      </w:r>
      <w:bookmarkEnd w:id="24"/>
    </w:p>
    <w:p w14:paraId="62EFFF6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研发中心根据业务和市场分析，根据运维服务能力管理要求，制定研发规划，包括新技术和前沿技术的应用、技术储备等。同时，研发中心对内负责公司运维类产品或运维工具的研发,提供运维技术支持和支撑，具体如下：</w:t>
      </w:r>
    </w:p>
    <w:p w14:paraId="49FEA58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跟踪运维技术发展，根据公司运维业务发展需要开发运维管理工具、发现问题的技术和解决问题的技术；</w:t>
      </w:r>
    </w:p>
    <w:p w14:paraId="1B81441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2) 负责将用户前期的业务需求转化为软件可实现的需求；</w:t>
      </w:r>
    </w:p>
    <w:p w14:paraId="5D245C03">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3) 负责新产品的评审、规划工作；</w:t>
      </w:r>
    </w:p>
    <w:p w14:paraId="101B3290">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4) 负责制定现有产品的发展方向和开发计划；</w:t>
      </w:r>
    </w:p>
    <w:p w14:paraId="6B42F867">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5) 负责产品/模块的架构规划和前期设计；</w:t>
      </w:r>
    </w:p>
    <w:p w14:paraId="309E1EE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6) 建设和培养研发相关的技术队伍，组织公司内外的产品技术培训；</w:t>
      </w:r>
    </w:p>
    <w:p w14:paraId="5C187219">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7) 负责研发部门及人员考核。</w:t>
      </w:r>
    </w:p>
    <w:p w14:paraId="3537F90E">
      <w:pPr>
        <w:pStyle w:val="21"/>
        <w:bidi w:val="0"/>
      </w:pPr>
      <w:bookmarkStart w:id="25" w:name="_Toc21145"/>
      <w:r>
        <w:t>应急管理小组</w:t>
      </w:r>
      <w:bookmarkEnd w:id="25"/>
    </w:p>
    <w:p w14:paraId="07C841FD">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hint="eastAsia" w:ascii="宋体" w:hAnsi="宋体" w:eastAsia="宋体" w:cs="宋体"/>
          <w:sz w:val="24"/>
          <w:szCs w:val="24"/>
          <w:lang w:val="en-US" w:eastAsia="zh-CN"/>
        </w:rPr>
        <w:t>成立由副总担任组长的应急管理小组</w:t>
      </w:r>
      <w:r>
        <w:rPr>
          <w:rFonts w:ascii="宋体" w:hAnsi="宋体" w:eastAsia="宋体" w:cs="宋体"/>
          <w:sz w:val="24"/>
          <w:szCs w:val="24"/>
        </w:rPr>
        <w:t>，</w:t>
      </w:r>
      <w:r>
        <w:rPr>
          <w:rFonts w:hint="eastAsia" w:ascii="宋体" w:hAnsi="宋体" w:eastAsia="宋体" w:cs="宋体"/>
          <w:sz w:val="24"/>
          <w:szCs w:val="24"/>
          <w:lang w:val="en-US" w:eastAsia="zh-CN"/>
        </w:rPr>
        <w:t>主要工作成员包括质量中心组长和组员。</w:t>
      </w:r>
      <w:r>
        <w:rPr>
          <w:rFonts w:ascii="宋体" w:hAnsi="宋体" w:eastAsia="宋体" w:cs="宋体"/>
          <w:sz w:val="24"/>
          <w:szCs w:val="24"/>
        </w:rPr>
        <w:t>及时处理应急响应事件，为运维服务部提供技术支撑，具体如下：</w:t>
      </w:r>
    </w:p>
    <w:p w14:paraId="10C5ABCA">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ascii="宋体" w:hAnsi="宋体" w:eastAsia="宋体" w:cs="宋体"/>
          <w:sz w:val="24"/>
          <w:szCs w:val="24"/>
        </w:rPr>
      </w:pPr>
      <w:r>
        <w:rPr>
          <w:rFonts w:ascii="宋体" w:hAnsi="宋体" w:eastAsia="宋体" w:cs="宋体"/>
          <w:sz w:val="24"/>
          <w:szCs w:val="24"/>
        </w:rPr>
        <w:t>1) 根据不同类型的突发事件，制定详细的应急预案，确保事件发生时能够快速反应。</w:t>
      </w:r>
    </w:p>
    <w:p w14:paraId="2070E114">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ascii="宋体" w:hAnsi="宋体" w:eastAsia="宋体" w:cs="宋体"/>
          <w:sz w:val="24"/>
          <w:szCs w:val="24"/>
        </w:rPr>
        <w:t>2) 定期组织应急演练，提高各部门协作能力和应急反应能力。</w:t>
      </w:r>
    </w:p>
    <w:p w14:paraId="2BEB5108">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w:t>
      </w:r>
      <w:r>
        <w:rPr>
          <w:rFonts w:ascii="宋体" w:hAnsi="宋体" w:eastAsia="宋体" w:cs="宋体"/>
          <w:sz w:val="24"/>
          <w:szCs w:val="24"/>
        </w:rPr>
        <w:t xml:space="preserve">) </w:t>
      </w:r>
      <w:r>
        <w:rPr>
          <w:rFonts w:hint="eastAsia" w:ascii="宋体" w:hAnsi="宋体" w:eastAsia="宋体" w:cs="宋体"/>
          <w:sz w:val="24"/>
          <w:szCs w:val="24"/>
          <w:lang w:val="en-US" w:eastAsia="zh-CN"/>
        </w:rPr>
        <w:t>应急响应事件结束后,组织对应急响应的评估,总结经验,完善应急预案,提供应急管理能力。</w:t>
      </w:r>
    </w:p>
    <w:p w14:paraId="3EB2C3DE">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w:t>
      </w:r>
      <w:r>
        <w:rPr>
          <w:rFonts w:ascii="宋体" w:hAnsi="宋体" w:eastAsia="宋体" w:cs="宋体"/>
          <w:sz w:val="24"/>
          <w:szCs w:val="24"/>
        </w:rPr>
        <w:t xml:space="preserve">) </w:t>
      </w:r>
      <w:r>
        <w:rPr>
          <w:rFonts w:hint="eastAsia" w:ascii="宋体" w:hAnsi="宋体" w:eastAsia="宋体" w:cs="宋体"/>
          <w:sz w:val="24"/>
          <w:szCs w:val="24"/>
          <w:lang w:val="en-US" w:eastAsia="zh-CN"/>
        </w:rPr>
        <w:t>建立信息收集机制，及时获取突发事件的信息，进行分析和研判，为决策提供依据。</w:t>
      </w:r>
    </w:p>
    <w:p w14:paraId="27122C06">
      <w:pPr>
        <w:keepNext w:val="0"/>
        <w:keepLines w:val="0"/>
        <w:pageBreakBefore w:val="0"/>
        <w:widowControl/>
        <w:kinsoku w:val="0"/>
        <w:wordWrap/>
        <w:overflowPunct/>
        <w:topLinePunct w:val="0"/>
        <w:autoSpaceDE w:val="0"/>
        <w:autoSpaceDN w:val="0"/>
        <w:bidi w:val="0"/>
        <w:adjustRightInd w:val="0"/>
        <w:snapToGrid w:val="0"/>
        <w:spacing w:line="360" w:lineRule="auto"/>
        <w:ind w:left="0" w:right="0" w:firstLine="480" w:firstLineChars="200"/>
        <w:textAlignment w:val="baseline"/>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5</w:t>
      </w:r>
      <w:r>
        <w:rPr>
          <w:rFonts w:ascii="宋体" w:hAnsi="宋体" w:eastAsia="宋体" w:cs="宋体"/>
          <w:sz w:val="24"/>
          <w:szCs w:val="24"/>
        </w:rPr>
        <w:t xml:space="preserve">) </w:t>
      </w:r>
      <w:r>
        <w:rPr>
          <w:rFonts w:hint="eastAsia" w:ascii="宋体" w:hAnsi="宋体" w:eastAsia="宋体" w:cs="宋体"/>
          <w:sz w:val="24"/>
          <w:szCs w:val="24"/>
          <w:lang w:val="en-US" w:eastAsia="zh-CN"/>
        </w:rPr>
        <w:t>及时向客户发布信息，消除客户恐慌情绪，增强客户安全意识。</w:t>
      </w:r>
    </w:p>
    <w:sectPr>
      <w:footerReference r:id="rId7" w:type="default"/>
      <w:pgSz w:w="11912" w:h="16841"/>
      <w:pgMar w:top="1385" w:right="1786" w:bottom="1714" w:left="1768" w:header="0" w:footer="144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AB6C27">
    <w:pPr>
      <w:spacing w:before="73" w:line="223" w:lineRule="auto"/>
      <w:ind w:left="4146"/>
      <w:rPr>
        <w:rFonts w:ascii="Times New Roman" w:hAnsi="Times New Roman" w:eastAsia="Times New Roman" w:cs="Times New Roman"/>
        <w:sz w:val="18"/>
        <w:szCs w:val="18"/>
      </w:rPr>
    </w:pPr>
    <w:r>
      <w:pict>
        <v:shape id="_x0000_s4097" o:spid="_x0000_s4097" style="position:absolute;left:0pt;margin-left:88.4pt;margin-top:756.3pt;height:0.5pt;width:417pt;mso-position-horizontal-relative:page;mso-position-vertical-relative:page;z-index:251660288;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938D14">
    <w:pPr>
      <w:spacing w:before="73" w:line="223" w:lineRule="auto"/>
      <w:ind w:left="4211"/>
      <w:rPr>
        <w:rFonts w:ascii="Times New Roman" w:hAnsi="Times New Roman" w:eastAsia="Times New Roman" w:cs="Times New Roman"/>
        <w:sz w:val="18"/>
        <w:szCs w:val="18"/>
      </w:rPr>
    </w:pPr>
    <w:r>
      <w:pict>
        <v:shape id="_x0000_s4098" o:spid="_x0000_s4098" style="position:absolute;left:0pt;margin-left:88.4pt;margin-top:756.3pt;height:0.5pt;width:417pt;mso-position-horizontal-relative:page;mso-position-vertical-relative:page;z-index:251661312;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E82660">
    <w:pPr>
      <w:spacing w:before="73" w:line="220" w:lineRule="auto"/>
      <w:ind w:left="4132"/>
      <w:rPr>
        <w:rFonts w:ascii="Times New Roman" w:hAnsi="Times New Roman" w:eastAsia="Times New Roman" w:cs="Times New Roman"/>
        <w:sz w:val="18"/>
        <w:szCs w:val="18"/>
      </w:rPr>
    </w:pPr>
    <w:r>
      <w:pict>
        <v:shape id="_x0000_s4101" o:spid="_x0000_s4101" style="position:absolute;left:0pt;margin-left:88.4pt;margin-top:756.3pt;height:0.5pt;width:417pt;mso-position-horizontal-relative:page;mso-position-vertical-relative:page;z-index:251662336;mso-width-relative:page;mso-height-relative:page;" filled="f" stroked="t" coordsize="8340,10" o:allowincell="f" path="m0,5l8340,5e">
          <v:fill on="f" focussize="0,0"/>
          <v:stroke weight="0.5pt" color="#000000" miterlimit="10"/>
          <v:imagedata o:title=""/>
          <o:lock v:ext="edit"/>
        </v:shape>
      </w:pict>
    </w:r>
    <w:r>
      <w:rPr>
        <w:rFonts w:ascii="Times New Roman" w:hAnsi="Times New Roman" w:eastAsia="Times New Roman" w:cs="Times New Roman"/>
        <w:sz w:val="18"/>
        <w:szCs w:val="18"/>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documentProtection w:enforcement="0"/>
  <w:characterSpacingControl w:val="doNotCompress"/>
  <w:hdrShapeDefaults>
    <o:shapelayout v:ext="edit">
      <o:idmap v:ext="edit" data="3,4"/>
    </o:shapelayout>
  </w:hdrShapeDefault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050638A"/>
    <w:rsid w:val="005A0FB6"/>
    <w:rsid w:val="00DC5E6F"/>
    <w:rsid w:val="00F1191B"/>
    <w:rsid w:val="00F4210C"/>
    <w:rsid w:val="01483505"/>
    <w:rsid w:val="021B4775"/>
    <w:rsid w:val="02581525"/>
    <w:rsid w:val="02D2752A"/>
    <w:rsid w:val="03A51E14"/>
    <w:rsid w:val="03BB7FBE"/>
    <w:rsid w:val="043D55F3"/>
    <w:rsid w:val="04622F71"/>
    <w:rsid w:val="04FC24E9"/>
    <w:rsid w:val="050F68B9"/>
    <w:rsid w:val="07B0406E"/>
    <w:rsid w:val="0822089A"/>
    <w:rsid w:val="08517143"/>
    <w:rsid w:val="08861368"/>
    <w:rsid w:val="08C72F61"/>
    <w:rsid w:val="091F0FEF"/>
    <w:rsid w:val="09570789"/>
    <w:rsid w:val="0A726EFC"/>
    <w:rsid w:val="0B674587"/>
    <w:rsid w:val="0C0B585A"/>
    <w:rsid w:val="0C0D15D3"/>
    <w:rsid w:val="0C5E1E2E"/>
    <w:rsid w:val="0C776A4C"/>
    <w:rsid w:val="0C8B67F7"/>
    <w:rsid w:val="0E5A03D3"/>
    <w:rsid w:val="0E963B01"/>
    <w:rsid w:val="0EB9159E"/>
    <w:rsid w:val="0ED70AFC"/>
    <w:rsid w:val="0F7B0FFF"/>
    <w:rsid w:val="0FE64614"/>
    <w:rsid w:val="11A3317D"/>
    <w:rsid w:val="11F052D6"/>
    <w:rsid w:val="13262F2F"/>
    <w:rsid w:val="13985C26"/>
    <w:rsid w:val="13E470BD"/>
    <w:rsid w:val="140212F1"/>
    <w:rsid w:val="14ED5620"/>
    <w:rsid w:val="16563778"/>
    <w:rsid w:val="167C538B"/>
    <w:rsid w:val="170B4961"/>
    <w:rsid w:val="1723614E"/>
    <w:rsid w:val="17EF6030"/>
    <w:rsid w:val="18680600"/>
    <w:rsid w:val="189A5F9C"/>
    <w:rsid w:val="18AB1F57"/>
    <w:rsid w:val="19DB061A"/>
    <w:rsid w:val="19DB4ABE"/>
    <w:rsid w:val="1A07140F"/>
    <w:rsid w:val="1AA650CC"/>
    <w:rsid w:val="1BAE7CE5"/>
    <w:rsid w:val="1CDD28FB"/>
    <w:rsid w:val="1D383FD6"/>
    <w:rsid w:val="1E674B72"/>
    <w:rsid w:val="1EAA1AE8"/>
    <w:rsid w:val="1EE10CEA"/>
    <w:rsid w:val="1F9C084C"/>
    <w:rsid w:val="1FB97650"/>
    <w:rsid w:val="20230F6D"/>
    <w:rsid w:val="20DB1848"/>
    <w:rsid w:val="21130FE1"/>
    <w:rsid w:val="21D7200F"/>
    <w:rsid w:val="221A6AB3"/>
    <w:rsid w:val="224649A4"/>
    <w:rsid w:val="23C95CE8"/>
    <w:rsid w:val="24042E63"/>
    <w:rsid w:val="2430155A"/>
    <w:rsid w:val="243E6375"/>
    <w:rsid w:val="24AB32DF"/>
    <w:rsid w:val="251A0B90"/>
    <w:rsid w:val="25D845A8"/>
    <w:rsid w:val="26361ABD"/>
    <w:rsid w:val="27A42993"/>
    <w:rsid w:val="288366C9"/>
    <w:rsid w:val="28B906C0"/>
    <w:rsid w:val="293935AF"/>
    <w:rsid w:val="2A3E70CF"/>
    <w:rsid w:val="2A7F29B1"/>
    <w:rsid w:val="2AAB4039"/>
    <w:rsid w:val="2ACD2201"/>
    <w:rsid w:val="2BDC616D"/>
    <w:rsid w:val="2BFA6E1B"/>
    <w:rsid w:val="2C1D0F66"/>
    <w:rsid w:val="2C7212B2"/>
    <w:rsid w:val="2C81312E"/>
    <w:rsid w:val="2C867DBF"/>
    <w:rsid w:val="2CD755B9"/>
    <w:rsid w:val="2D4A7B39"/>
    <w:rsid w:val="2D4F33A1"/>
    <w:rsid w:val="2E0C3040"/>
    <w:rsid w:val="2E9737E8"/>
    <w:rsid w:val="2E9B34FE"/>
    <w:rsid w:val="2ED00512"/>
    <w:rsid w:val="2EDC0C65"/>
    <w:rsid w:val="2F9C6646"/>
    <w:rsid w:val="2FC247D6"/>
    <w:rsid w:val="30B17ECF"/>
    <w:rsid w:val="30ED7159"/>
    <w:rsid w:val="32F80BBE"/>
    <w:rsid w:val="335C05C6"/>
    <w:rsid w:val="337A6C9E"/>
    <w:rsid w:val="33994469"/>
    <w:rsid w:val="344E7738"/>
    <w:rsid w:val="34CA155F"/>
    <w:rsid w:val="34E16FD5"/>
    <w:rsid w:val="35725E7F"/>
    <w:rsid w:val="35CB37E1"/>
    <w:rsid w:val="37272367"/>
    <w:rsid w:val="373D070E"/>
    <w:rsid w:val="374C2700"/>
    <w:rsid w:val="386473A8"/>
    <w:rsid w:val="387168C2"/>
    <w:rsid w:val="38C324D5"/>
    <w:rsid w:val="38F512A1"/>
    <w:rsid w:val="390A24E3"/>
    <w:rsid w:val="391A0D07"/>
    <w:rsid w:val="393F076E"/>
    <w:rsid w:val="3A9B5E78"/>
    <w:rsid w:val="3AD924FC"/>
    <w:rsid w:val="3ADC1619"/>
    <w:rsid w:val="3AFE01B5"/>
    <w:rsid w:val="3BA945C4"/>
    <w:rsid w:val="3BB16FD5"/>
    <w:rsid w:val="3C771FCD"/>
    <w:rsid w:val="3D2828A4"/>
    <w:rsid w:val="3DA52B6A"/>
    <w:rsid w:val="3DDA0A65"/>
    <w:rsid w:val="3E946E66"/>
    <w:rsid w:val="3F1E2BD3"/>
    <w:rsid w:val="409F74C9"/>
    <w:rsid w:val="41850CE8"/>
    <w:rsid w:val="43462E94"/>
    <w:rsid w:val="43CB32AB"/>
    <w:rsid w:val="444529B0"/>
    <w:rsid w:val="446612A5"/>
    <w:rsid w:val="44A973E3"/>
    <w:rsid w:val="44DE1833"/>
    <w:rsid w:val="44FC7513"/>
    <w:rsid w:val="464E1FF0"/>
    <w:rsid w:val="46561334"/>
    <w:rsid w:val="466E4440"/>
    <w:rsid w:val="467C4DAF"/>
    <w:rsid w:val="467F0CF9"/>
    <w:rsid w:val="47C06F1E"/>
    <w:rsid w:val="485927D9"/>
    <w:rsid w:val="48C32A69"/>
    <w:rsid w:val="494A2C73"/>
    <w:rsid w:val="4A050C18"/>
    <w:rsid w:val="4AA21D90"/>
    <w:rsid w:val="4BD96800"/>
    <w:rsid w:val="4C07336D"/>
    <w:rsid w:val="4DAB5F7A"/>
    <w:rsid w:val="4EC5306C"/>
    <w:rsid w:val="4EE47996"/>
    <w:rsid w:val="4F3855EC"/>
    <w:rsid w:val="4FC652ED"/>
    <w:rsid w:val="508F3931"/>
    <w:rsid w:val="511B51C5"/>
    <w:rsid w:val="51295B34"/>
    <w:rsid w:val="5181771E"/>
    <w:rsid w:val="52081BED"/>
    <w:rsid w:val="52854FEC"/>
    <w:rsid w:val="52880638"/>
    <w:rsid w:val="52990003"/>
    <w:rsid w:val="52DE7BA0"/>
    <w:rsid w:val="53D73DC2"/>
    <w:rsid w:val="53E04BF9"/>
    <w:rsid w:val="5435330D"/>
    <w:rsid w:val="54BE2C75"/>
    <w:rsid w:val="553B5E36"/>
    <w:rsid w:val="557E5D22"/>
    <w:rsid w:val="55DB4F23"/>
    <w:rsid w:val="57330EA4"/>
    <w:rsid w:val="57925AB5"/>
    <w:rsid w:val="57991466"/>
    <w:rsid w:val="58FF0A24"/>
    <w:rsid w:val="592F54BC"/>
    <w:rsid w:val="593B4656"/>
    <w:rsid w:val="59B9557B"/>
    <w:rsid w:val="5C270EC2"/>
    <w:rsid w:val="5CD94297"/>
    <w:rsid w:val="5D4B6E32"/>
    <w:rsid w:val="5D59154F"/>
    <w:rsid w:val="5D66355C"/>
    <w:rsid w:val="5D717F0E"/>
    <w:rsid w:val="5D7F0889"/>
    <w:rsid w:val="5E2D4789"/>
    <w:rsid w:val="5F096FA4"/>
    <w:rsid w:val="5F221E14"/>
    <w:rsid w:val="5F2D4A41"/>
    <w:rsid w:val="60B3541A"/>
    <w:rsid w:val="60C767CF"/>
    <w:rsid w:val="60E51267"/>
    <w:rsid w:val="61007F33"/>
    <w:rsid w:val="61C513E2"/>
    <w:rsid w:val="61F25ACE"/>
    <w:rsid w:val="624125B1"/>
    <w:rsid w:val="62A3326C"/>
    <w:rsid w:val="634E31D8"/>
    <w:rsid w:val="63F92197"/>
    <w:rsid w:val="63FC68D1"/>
    <w:rsid w:val="648F5856"/>
    <w:rsid w:val="64B41760"/>
    <w:rsid w:val="64F25DE5"/>
    <w:rsid w:val="650A20A2"/>
    <w:rsid w:val="65F21726"/>
    <w:rsid w:val="67024A05"/>
    <w:rsid w:val="67204E8B"/>
    <w:rsid w:val="675D5D57"/>
    <w:rsid w:val="69B664CA"/>
    <w:rsid w:val="6A3A6264"/>
    <w:rsid w:val="6AC10733"/>
    <w:rsid w:val="6B0A3E88"/>
    <w:rsid w:val="6B427AC6"/>
    <w:rsid w:val="6C07661A"/>
    <w:rsid w:val="6C2A5C61"/>
    <w:rsid w:val="6C5F0204"/>
    <w:rsid w:val="6CBE4DDA"/>
    <w:rsid w:val="6CD91C43"/>
    <w:rsid w:val="6D2154B9"/>
    <w:rsid w:val="6D392803"/>
    <w:rsid w:val="6E0E76C9"/>
    <w:rsid w:val="6F3B4F58"/>
    <w:rsid w:val="6FF9271D"/>
    <w:rsid w:val="70A94143"/>
    <w:rsid w:val="7101188A"/>
    <w:rsid w:val="711041C2"/>
    <w:rsid w:val="71D92AF9"/>
    <w:rsid w:val="73774085"/>
    <w:rsid w:val="73EF1E6D"/>
    <w:rsid w:val="748536C3"/>
    <w:rsid w:val="749B2AF9"/>
    <w:rsid w:val="74BD4A2C"/>
    <w:rsid w:val="75703482"/>
    <w:rsid w:val="764C17F9"/>
    <w:rsid w:val="76E61C4D"/>
    <w:rsid w:val="77304C77"/>
    <w:rsid w:val="775D3592"/>
    <w:rsid w:val="78372035"/>
    <w:rsid w:val="78DA7EF9"/>
    <w:rsid w:val="797B41A3"/>
    <w:rsid w:val="79BC0A44"/>
    <w:rsid w:val="7A635363"/>
    <w:rsid w:val="7A907F98"/>
    <w:rsid w:val="7B0F1047"/>
    <w:rsid w:val="7B5B428C"/>
    <w:rsid w:val="7C977546"/>
    <w:rsid w:val="7D2F3C22"/>
    <w:rsid w:val="7E4454AB"/>
    <w:rsid w:val="7F2276EE"/>
    <w:rsid w:val="7F6B254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Body Text"/>
    <w:basedOn w:val="1"/>
    <w:semiHidden/>
    <w:qFormat/>
    <w:uiPriority w:val="0"/>
    <w:rPr>
      <w:rFonts w:ascii="Arial" w:hAnsi="Arial" w:eastAsia="Arial" w:cs="Arial"/>
      <w:sz w:val="21"/>
      <w:szCs w:val="21"/>
      <w:lang w:val="en-US" w:eastAsia="en-US" w:bidi="ar-SA"/>
    </w:rPr>
  </w:style>
  <w:style w:type="paragraph" w:styleId="12">
    <w:name w:val="toc 3"/>
    <w:basedOn w:val="1"/>
    <w:next w:val="1"/>
    <w:qFormat/>
    <w:uiPriority w:val="0"/>
    <w:pPr>
      <w:ind w:left="840" w:leftChars="400"/>
    </w:p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toc 1"/>
    <w:basedOn w:val="1"/>
    <w:next w:val="1"/>
    <w:qFormat/>
    <w:uiPriority w:val="0"/>
    <w:rPr>
      <w:rFonts w:ascii="Arial" w:hAnsi="Arial" w:eastAsia="Microsoft JhengHei"/>
      <w:sz w:val="24"/>
    </w:rPr>
  </w:style>
  <w:style w:type="paragraph" w:styleId="15">
    <w:name w:val="toc 2"/>
    <w:basedOn w:val="1"/>
    <w:next w:val="1"/>
    <w:qFormat/>
    <w:uiPriority w:val="0"/>
    <w:pPr>
      <w:ind w:left="420" w:leftChars="200"/>
    </w:pPr>
  </w:style>
  <w:style w:type="table" w:customStyle="1" w:styleId="18">
    <w:name w:val="Table Normal"/>
    <w:semiHidden/>
    <w:unhideWhenUsed/>
    <w:qFormat/>
    <w:uiPriority w:val="0"/>
    <w:tblPr>
      <w:tblCellMar>
        <w:top w:w="0" w:type="dxa"/>
        <w:left w:w="0" w:type="dxa"/>
        <w:bottom w:w="0" w:type="dxa"/>
        <w:right w:w="0" w:type="dxa"/>
      </w:tblCellMar>
    </w:tblPr>
  </w:style>
  <w:style w:type="paragraph" w:customStyle="1" w:styleId="19">
    <w:name w:val="Table Text"/>
    <w:basedOn w:val="1"/>
    <w:semiHidden/>
    <w:qFormat/>
    <w:uiPriority w:val="0"/>
    <w:rPr>
      <w:rFonts w:ascii="宋体" w:hAnsi="宋体" w:eastAsia="宋体" w:cs="宋体"/>
      <w:sz w:val="21"/>
      <w:szCs w:val="21"/>
      <w:lang w:val="en-US" w:eastAsia="en-US" w:bidi="ar-SA"/>
    </w:rPr>
  </w:style>
  <w:style w:type="paragraph" w:customStyle="1" w:styleId="20">
    <w:name w:val="柴_标题1"/>
    <w:basedOn w:val="2"/>
    <w:next w:val="1"/>
    <w:qFormat/>
    <w:uiPriority w:val="0"/>
    <w:pPr>
      <w:spacing w:before="100" w:after="90" w:line="360" w:lineRule="auto"/>
    </w:pPr>
    <w:rPr>
      <w:rFonts w:ascii="Arial" w:hAnsi="Arial" w:eastAsia="宋体"/>
      <w:sz w:val="32"/>
    </w:rPr>
  </w:style>
  <w:style w:type="paragraph" w:customStyle="1" w:styleId="21">
    <w:name w:val="柴_标题2"/>
    <w:basedOn w:val="3"/>
    <w:next w:val="1"/>
    <w:qFormat/>
    <w:uiPriority w:val="0"/>
    <w:pPr>
      <w:spacing w:line="360" w:lineRule="auto"/>
    </w:pPr>
    <w:rPr>
      <w:rFonts w:ascii="Arial" w:hAnsi="Arial" w:eastAsia="宋体"/>
      <w:sz w:val="28"/>
    </w:rPr>
  </w:style>
  <w:style w:type="paragraph" w:customStyle="1" w:styleId="22">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23">
    <w:name w:val="柴_目录"/>
    <w:basedOn w:val="1"/>
    <w:next w:val="11"/>
    <w:qFormat/>
    <w:uiPriority w:val="0"/>
    <w:pPr>
      <w:tabs>
        <w:tab w:val="right" w:leader="dot" w:pos="8442"/>
      </w:tabs>
      <w:ind w:left="0" w:leftChars="0"/>
    </w:pPr>
    <w:rPr>
      <w:rFonts w:ascii="Arial" w:hAnsi="Arial" w:eastAsia="Microsoft JhengHei"/>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10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11</Pages>
  <Words>4487</Words>
  <Characters>4678</Characters>
  <TotalTime>3</TotalTime>
  <ScaleCrop>false</ScaleCrop>
  <LinksUpToDate>false</LinksUpToDate>
  <CharactersWithSpaces>4833</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2025-08-17T23:17:00Z</dcterms:created>
  <dc:creator>admin</dc:creator>
  <cp:lastModifiedBy>郝宇</cp:lastModifiedBy>
  <dcterms:modified xsi:type="dcterms:W3CDTF">2025-08-26T08:01:30Z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2025-08-17T23:26:43Z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A97094D35EC745A798B0B15DB1AC0F0E_12</vt:lpwstr>
  </property>
</Properties>
</file>